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10</w:t>
      </w:r>
    </w:p>
    <w:p>
      <w:pPr>
        <w:pStyle w:val="Title"/>
        <w:spacing w:after="40"/>
      </w:pPr>
      <w:r>
        <w:t xml:space="preserve">Ítem 1. El ROE apalancado: la deuda como multiplicador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Por qué endeudarse agranda el retorno del accionista… hasta que se da vuelta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Modigliani-Miller · DuPont · value-generation</w:t>
      </w:r>
    </w:p>
    <w:p>
      <w:pPr>
        <w:pStyle w:val="Heading2"/>
        <w:spacing w:after="100" w:before="220"/>
      </w:pPr>
      <w:r>
        <w:t xml:space="preserve">La fórmula que separa operación de financiamiento</w:t>
      </w:r>
    </w:p>
    <w:p>
      <w:pPr>
        <w:spacing w:after="140" w:line="276"/>
      </w:pPr>
      <w:r>
        <w:t xml:space="preserve">El retorno del accionista (</w:t>
      </w:r>
      <w:r>
        <w:rPr>
          <w:b/>
          <w:bCs/>
        </w:rPr>
        <w:t xml:space="preserve">ROE</w:t>
      </w:r>
      <w:r>
        <w:t xml:space="preserve">) se puede leer como el retorno de la operación más un premio por la deuda: </w:t>
      </w:r>
      <w:r>
        <w:rPr>
          <w:b/>
          <w:bCs/>
        </w:rPr>
        <w:t xml:space="preserve">ROE = ROIC + (ROIC − i·(1−t))·D/E</w:t>
      </w:r>
      <w:r>
        <w:t xml:space="preserve">. El primer término, el </w:t>
      </w:r>
      <w:r>
        <w:rPr>
          <w:b/>
          <w:bCs/>
        </w:rPr>
        <w:t xml:space="preserve">ROIC</w:t>
      </w:r>
      <w:r>
        <w:t xml:space="preserve">, es lo que rinde el capital invertido en el negocio, sin importar cómo se financie. El segundo es el </w:t>
      </w:r>
      <w:r>
        <w:rPr>
          <w:b/>
          <w:bCs/>
        </w:rPr>
        <w:t xml:space="preserve">efecto del apalancamiento</w:t>
      </w:r>
      <w:r>
        <w:t xml:space="preserve">: la diferencia entre lo que rinde el capital y lo que cuesta la deuda </w:t>
      </w:r>
      <w:r>
        <w:rPr>
          <w:b/>
          <w:bCs/>
        </w:rPr>
        <w:t xml:space="preserve">después de impuestos</w:t>
      </w:r>
      <w:r>
        <w:t xml:space="preserve"> (i·(1−t)), amplificada por la razón </w:t>
      </w:r>
      <w:r>
        <w:rPr>
          <w:b/>
          <w:bCs/>
        </w:rPr>
        <w:t xml:space="preserve">deuda/equity (D/E)</w:t>
      </w:r>
      <w:r>
        <w:t xml:space="preserve">.</w:t>
      </w:r>
    </w:p>
    <w:p>
      <w:pPr>
        <w:spacing w:after="140" w:line="276"/>
      </w:pPr>
      <w:r>
        <w:t xml:space="preserve">La lectura es directa y poderosa: si el negocio </w:t>
      </w:r>
      <w:r>
        <w:rPr>
          <w:b/>
          <w:bCs/>
        </w:rPr>
        <w:t xml:space="preserve">rinde más de lo que cuesta la deuda</w:t>
      </w:r>
      <w:r>
        <w:t xml:space="preserve"> (ROIC &gt; i·(1−t)), cada peso prestado trabaja a favor del dueño y el ROE </w:t>
      </w:r>
      <w:r>
        <w:rPr>
          <w:b/>
          <w:bCs/>
        </w:rPr>
        <w:t xml:space="preserve">supera</w:t>
      </w:r>
      <w:r>
        <w:t xml:space="preserve"> al ROIC. La deuda funciona como una </w:t>
      </w:r>
      <w:r>
        <w:rPr>
          <w:b/>
          <w:bCs/>
        </w:rPr>
        <w:t xml:space="preserve">palanca</w:t>
      </w:r>
      <w:r>
        <w:t xml:space="preserve"> que agranda el retorno sobre el capital propio, que es más escaso. Por eso un dueño hábil usa deuda barata para potenciar un negocio rentable.</w:t>
      </w:r>
    </w:p>
    <w:p>
      <w:pPr>
        <w:spacing w:after="140" w:line="276"/>
      </w:pPr>
      <w:r>
        <w:t xml:space="preserve">Pero la palanca es de </w:t>
      </w:r>
      <w:r>
        <w:rPr>
          <w:b/>
          <w:bCs/>
        </w:rPr>
        <w:t xml:space="preserve">doble filo</w:t>
      </w:r>
      <w:r>
        <w:t xml:space="preserve">. Si el ROIC </w:t>
      </w:r>
      <w:r>
        <w:rPr>
          <w:b/>
          <w:bCs/>
        </w:rPr>
        <w:t xml:space="preserve">cae por debajo</w:t>
      </w:r>
      <w:r>
        <w:t xml:space="preserve"> del costo de la deuda, el segundo término se vuelve negativo y la deuda </w:t>
      </w:r>
      <w:r>
        <w:rPr>
          <w:b/>
          <w:bCs/>
        </w:rPr>
        <w:t xml:space="preserve">destruye</w:t>
      </w:r>
      <w:r>
        <w:t xml:space="preserve"> retorno: el ROE se hunde por debajo del ROIC, y cuanto mayor es el D/E, más profundo es el pozo. La misma D/E que magnificaba la ganancia ahora magnifica la pérdida.</w:t>
      </w:r>
    </w:p>
    <w:p>
      <w:pPr>
        <w:pStyle w:val="Heading2"/>
        <w:spacing w:after="100" w:before="220"/>
      </w:pPr>
      <w:r>
        <w:t xml:space="preserve">El espejo del DuPont: ROE de buena y de mala calidad</w:t>
      </w:r>
    </w:p>
    <w:p>
      <w:pPr>
        <w:spacing w:after="140" w:line="276"/>
      </w:pPr>
      <w:r>
        <w:t xml:space="preserve">Esta fórmula es la hermana del </w:t>
      </w:r>
      <w:r>
        <w:rPr>
          <w:b/>
          <w:bCs/>
        </w:rPr>
        <w:t xml:space="preserve">DuPont de cinco factores</w:t>
      </w:r>
      <w:r>
        <w:t xml:space="preserve">, donde el </w:t>
      </w:r>
      <w:r>
        <w:rPr>
          <w:b/>
          <w:bCs/>
        </w:rPr>
        <w:t xml:space="preserve">multiplicador financiero (Activos/Patrimonio)</w:t>
      </w:r>
      <w:r>
        <w:t xml:space="preserve"> captura exactamente esta amplificación. Un ROE alto puede venir de un negocio excelente (margen y rotación) o, simplemente, de </w:t>
      </w:r>
      <w:r>
        <w:rPr>
          <w:b/>
          <w:bCs/>
        </w:rPr>
        <w:t xml:space="preserve">mucha deuda</w:t>
      </w:r>
      <w:r>
        <w:t xml:space="preserve"> sobre un negocio mediocre. Son perfiles de riesgo opuestos con el mismo número.</w:t>
      </w:r>
    </w:p>
    <w:p>
      <w:pPr>
        <w:spacing w:after="140" w:line="276"/>
      </w:pPr>
      <w:r>
        <w:t xml:space="preserve">En </w:t>
      </w:r>
      <w:r>
        <w:rPr>
          <w:b/>
          <w:bCs/>
        </w:rPr>
        <w:t xml:space="preserve">Andina</w:t>
      </w:r>
      <w:r>
        <w:t xml:space="preserve">, el dueño mira un ROE que luce decente, pero buena parte viene del apalancamiento, no de la operación. Es </w:t>
      </w:r>
      <w:r>
        <w:rPr>
          <w:b/>
          <w:bCs/>
        </w:rPr>
        <w:t xml:space="preserve">ROE de mala calidad</w:t>
      </w:r>
      <w:r>
        <w:t xml:space="preserve">: frágil, dependiente de que el crédito siga fluyendo y de que el ROIC no afloje. Cuando los intereses (560 sobre un EBIT de 830) se comen la utilidad, la palanca empieza a jugar en contra.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este ítem conecta el </w:t>
      </w:r>
      <w:r>
        <w:rPr>
          <w:b/>
          <w:bCs/>
        </w:rPr>
        <w:t xml:space="preserve">ROIC vs WACC</w:t>
      </w:r>
      <w:r>
        <w:t xml:space="preserve"> de la Semana 9 (creación de valor operativa) con el </w:t>
      </w:r>
      <w:r>
        <w:rPr>
          <w:b/>
          <w:bCs/>
        </w:rPr>
        <w:t xml:space="preserve">riesgo financiero</w:t>
      </w:r>
      <w:r>
        <w:t xml:space="preserve"> (GAF, ítem 5) y con el </w:t>
      </w:r>
      <w:r>
        <w:rPr>
          <w:b/>
          <w:bCs/>
        </w:rPr>
        <w:t xml:space="preserve">costo del equity</w:t>
      </w:r>
      <w:r>
        <w:t xml:space="preserve">: a más deuda, más volátil el ROE, más beta apalancada y más Ke exigido. La palanca que sube el retorno esperado también sube el riesgo.</w:t>
      </w:r>
    </w:p>
    <w:p>
      <w:pPr>
        <w:pStyle w:val="Heading2"/>
        <w:spacing w:after="100" w:before="220"/>
      </w:pPr>
      <w:r>
        <w:t xml:space="preserve">Errores frecuentes del CEO</w:t>
      </w:r>
    </w:p>
    <w:p>
      <w:pPr>
        <w:spacing w:after="140" w:line="276"/>
      </w:pPr>
      <w:r>
        <w:t xml:space="preserve">Festejar un ROE alto sin descomponerlo: creer que el negocio es brillante cuando en realidad está sobreapalancado. Tomar deuda "porque el ROE sube" sin chequear si el ROIC todavía supera al costo de la deuda. Y olvidar que el premio del apalancamiento es un premio </w:t>
      </w:r>
      <w:r>
        <w:rPr>
          <w:b/>
          <w:bCs/>
        </w:rPr>
        <w:t xml:space="preserve">por riesgo</w:t>
      </w:r>
      <w:r>
        <w:t xml:space="preserve">: existe solo mientras el negocio rinda más que la deuda.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ROIC (rinde el capital)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0.14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de la deuda (i, antes de impuesto)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0.18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impuesto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0.35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Razón deuda/equity (D/E)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de deuda después de impuesto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i*(1-tax)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Spread (ROIC − i·(1−t))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roic-iAfter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Efecto del apalancamiento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spread*de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ROE apalancado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roic+spread*de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2026-06-24T11:50:52.719Z</dcterms:created>
  <dcterms:modified xsi:type="dcterms:W3CDTF">2026-06-24T11:50:52.719Z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