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D4AF37"/>
          <w:sz w:val="18"/>
          <w:szCs w:val="18"/>
        </w:rPr>
        <w:t xml:space="preserve">ACADEMIA FC + IA · Semana 10</w:t>
      </w:r>
    </w:p>
    <w:p>
      <w:pPr>
        <w:pStyle w:val="Title"/>
        <w:spacing w:after="40"/>
      </w:pPr>
      <w:r>
        <w:t xml:space="preserve">Ítem 4. Dificultades financieras: probabilidad de default y Altman Z'' EMS</w:t>
      </w:r>
    </w:p>
    <w:p>
      <w:pPr>
        <w:spacing w:after="40"/>
      </w:pPr>
      <w:r>
        <w:rPr>
          <w:i/>
          <w:iCs/>
          <w:color w:val="555555"/>
          <w:sz w:val="22"/>
          <w:szCs w:val="22"/>
        </w:rPr>
        <w:t xml:space="preserve">El costo esperado de la quiebra que resta valor en el APV</w:t>
      </w:r>
    </w:p>
    <w:p>
      <w:pPr>
        <w:spacing w:after="160"/>
      </w:pPr>
      <w:r>
        <w:rPr>
          <w:b/>
          <w:bCs/>
          <w:color w:val="94741F"/>
          <w:sz w:val="18"/>
          <w:szCs w:val="18"/>
        </w:rPr>
        <w:t xml:space="preserve">Marco: Altman Z'' EMS · dificultades-financieras · APV</w:t>
      </w:r>
    </w:p>
    <w:p>
      <w:pPr>
        <w:pStyle w:val="Heading2"/>
        <w:spacing w:after="100" w:before="220"/>
      </w:pPr>
      <w:r>
        <w:t xml:space="preserve">El contrapeso del escudo: lo que la deuda cuesta</w:t>
      </w:r>
    </w:p>
    <w:p>
      <w:pPr>
        <w:spacing w:after="140" w:line="276"/>
      </w:pPr>
      <w:r>
        <w:t xml:space="preserve">Más deuda no es solo más escudo fiscal: también es </w:t>
      </w:r>
      <w:r>
        <w:rPr>
          <w:b/>
          <w:bCs/>
        </w:rPr>
        <w:t xml:space="preserve">más probabilidad de insolvencia</w:t>
      </w:r>
      <w:r>
        <w:t xml:space="preserve"> y, con ella, un </w:t>
      </w:r>
      <w:r>
        <w:rPr>
          <w:b/>
          <w:bCs/>
        </w:rPr>
        <w:t xml:space="preserve">costo esperado de dificultades financieras</w:t>
      </w:r>
      <w:r>
        <w:t xml:space="preserve"> que </w:t>
      </w:r>
      <w:r>
        <w:rPr>
          <w:b/>
          <w:bCs/>
        </w:rPr>
        <w:t xml:space="preserve">resta</w:t>
      </w:r>
      <w:r>
        <w:t xml:space="preserve"> valor en el APV. Omitirlo produce valuaciones optimistas que sobreestiman el beneficio de endeudarse. Las PyMEs de emergentes, con ratios de deuda/activo altos y pocas alternativas a la banca, son especialmente vulnerables.</w:t>
      </w:r>
    </w:p>
    <w:p>
      <w:pPr>
        <w:spacing w:after="140" w:line="276"/>
      </w:pPr>
      <w:r>
        <w:t xml:space="preserve">El costo esperado se arma como </w:t>
      </w:r>
      <w:r>
        <w:rPr>
          <w:b/>
          <w:bCs/>
        </w:rPr>
        <w:t xml:space="preserve">P(default) × costos ex-post</w:t>
      </w:r>
      <w:r>
        <w:t xml:space="preserve">, descontado a Ku (si el riesgo nace de la operación) o a la tasa de la deuda: </w:t>
      </w:r>
      <w:r>
        <w:rPr>
          <w:b/>
          <w:bCs/>
        </w:rPr>
        <w:t xml:space="preserve">VP(dificultades) = Σ [P(default)·Costos] / (1+Ku)^t</w:t>
      </w:r>
      <w:r>
        <w:t xml:space="preserve">. Los </w:t>
      </w:r>
      <w:r>
        <w:rPr>
          <w:b/>
          <w:bCs/>
        </w:rPr>
        <w:t xml:space="preserve">costos ex-post</w:t>
      </w:r>
      <w:r>
        <w:t xml:space="preserve"> son los que aparecen </w:t>
      </w:r>
      <w:r>
        <w:rPr>
          <w:b/>
          <w:bCs/>
        </w:rPr>
        <w:t xml:space="preserve">si</w:t>
      </w:r>
      <w:r>
        <w:t xml:space="preserve"> ocurre la quiebra: directos (honorarios legales y concursales) e indirectos (pérdida de clientes, corte de proveedores, fuga de talento clave), estos últimos casi siempre mayores.</w:t>
      </w:r>
    </w:p>
    <w:p>
      <w:pPr>
        <w:spacing w:after="140" w:line="276"/>
      </w:pPr>
      <w:r>
        <w:t xml:space="preserve">La severidad de esos costos depende de dos factores: la </w:t>
      </w:r>
      <w:r>
        <w:rPr>
          <w:b/>
          <w:bCs/>
        </w:rPr>
        <w:t xml:space="preserve">tangibilidad de los activos</w:t>
      </w:r>
      <w:r>
        <w:t xml:space="preserve"> (más activos fijos = más garantías = menos costo de liquidación) y la </w:t>
      </w:r>
      <w:r>
        <w:rPr>
          <w:b/>
          <w:bCs/>
        </w:rPr>
        <w:t xml:space="preserve">concentración de la propiedad</w:t>
      </w:r>
      <w:r>
        <w:t xml:space="preserve"> (una familia dueña acuerda rápido y evita la destrucción de un concurso largo). Dos PyMEs con igual P(default) pueden tener costos esperados muy distintos.</w:t>
      </w:r>
    </w:p>
    <w:p>
      <w:pPr>
        <w:pStyle w:val="Heading2"/>
        <w:spacing w:after="100" w:before="220"/>
      </w:pPr>
      <w:r>
        <w:t xml:space="preserve">Estimar la probabilidad: el Altman Z'' para emergentes</w:t>
      </w:r>
    </w:p>
    <w:p>
      <w:pPr>
        <w:spacing w:after="140" w:line="276"/>
      </w:pPr>
      <w:r>
        <w:t xml:space="preserve">Para PyMEs </w:t>
      </w:r>
      <w:r>
        <w:rPr>
          <w:b/>
          <w:bCs/>
        </w:rPr>
        <w:t xml:space="preserve">sin calificación crediticia</w:t>
      </w:r>
      <w:r>
        <w:t xml:space="preserve">, la herramienta es el </w:t>
      </w:r>
      <w:r>
        <w:rPr>
          <w:b/>
          <w:bCs/>
        </w:rPr>
        <w:t xml:space="preserve">Altman Z'' ajustado para mercados emergentes (EMS)</w:t>
      </w:r>
      <w:r>
        <w:t xml:space="preserve">. Su clave es que </w:t>
      </w:r>
      <w:r>
        <w:rPr>
          <w:b/>
          <w:bCs/>
        </w:rPr>
        <w:t xml:space="preserve">suprime el indicador de rotación (Ventas/Activos, el X5)</w:t>
      </w:r>
      <w:r>
        <w:t xml:space="preserve"> para neutralizar los sesgos de sector y tamaño, e incorpora una constante de estandarización de </w:t>
      </w:r>
      <w:r>
        <w:rPr>
          <w:b/>
          <w:bCs/>
        </w:rPr>
        <w:t xml:space="preserve">3,25</w:t>
      </w:r>
      <w:r>
        <w:t xml:space="preserve">. Todos sus componentes salen de </w:t>
      </w:r>
      <w:r>
        <w:rPr>
          <w:b/>
          <w:bCs/>
        </w:rPr>
        <w:t xml:space="preserve">valores contables</w:t>
      </w:r>
      <w:r>
        <w:t xml:space="preserve">, porque la empresa no cotiza.</w:t>
      </w:r>
    </w:p>
    <w:p>
      <w:pPr>
        <w:spacing w:after="140" w:line="276"/>
      </w:pPr>
      <w:r>
        <w:t xml:space="preserve">La fórmula es </w:t>
      </w:r>
      <w:r>
        <w:rPr>
          <w:b/>
          <w:bCs/>
        </w:rPr>
        <w:t xml:space="preserve">Z'' = 3,25 + 6,56·X1 + 3,26·X2 + 6,72·X3 + 1,05·X4</w:t>
      </w:r>
      <w:r>
        <w:t xml:space="preserve">, donde X1 = capital de trabajo/activos (liquidez), X2 = utilidades retenidas/activos (autofinanciamiento histórico), X3 = EBIT/activos (productividad operativa) y X4 = patrimonio en libros/pasivos (solvencia). Las zonas: </w:t>
      </w:r>
      <w:r>
        <w:rPr>
          <w:b/>
          <w:bCs/>
        </w:rPr>
        <w:t xml:space="preserve">Z'' &gt; 2,6 segura</w:t>
      </w:r>
      <w:r>
        <w:t xml:space="preserve">, </w:t>
      </w:r>
      <w:r>
        <w:rPr>
          <w:b/>
          <w:bCs/>
        </w:rPr>
        <w:t xml:space="preserve">1,1–2,6 gris/alerta</w:t>
      </w:r>
      <w:r>
        <w:t xml:space="preserve">, </w:t>
      </w:r>
      <w:r>
        <w:rPr>
          <w:b/>
          <w:bCs/>
        </w:rPr>
        <w:t xml:space="preserve">Z'' &lt; 1,1 dificultades</w:t>
      </w:r>
      <w:r>
        <w:t xml:space="preserve"> (alta probabilidad de quiebra).</w:t>
      </w:r>
    </w:p>
    <w:p>
      <w:pPr>
        <w:spacing w:after="140" w:line="276"/>
      </w:pPr>
      <w:r>
        <w:t xml:space="preserve">El Z'' da una </w:t>
      </w:r>
      <w:r>
        <w:rPr>
          <w:b/>
          <w:bCs/>
        </w:rPr>
        <w:t xml:space="preserve">clasificación</w:t>
      </w:r>
      <w:r>
        <w:t xml:space="preserve"> del riesgo; para una probabilidad puntual y dinámica que entre a la fórmula del VP suele complementarse con el </w:t>
      </w:r>
      <w:r>
        <w:rPr>
          <w:b/>
          <w:bCs/>
        </w:rPr>
        <w:t xml:space="preserve">logit de panel de Pindado</w:t>
      </w:r>
      <w:r>
        <w:t xml:space="preserve"> (que produce una P continua a partir de EBIT/activos, intereses/activos y reservas/activos). El simulador convierte la zona del Z'' en una P(default) aproximada para estimar el costo esperado.</w:t>
      </w:r>
    </w:p>
    <w:p>
      <w:pPr>
        <w:pStyle w:val="Heading2"/>
        <w:spacing w:after="100" w:before="220"/>
      </w:pPr>
      <w:r>
        <w:t xml:space="preserve">Interrelación y el balance del APV</w:t>
      </w:r>
    </w:p>
    <w:p>
      <w:pPr>
        <w:spacing w:after="140" w:line="276"/>
      </w:pPr>
      <w:r>
        <w:t xml:space="preserve">Este componente </w:t>
      </w:r>
      <w:r>
        <w:rPr>
          <w:b/>
          <w:bCs/>
        </w:rPr>
        <w:t xml:space="preserve">resta</w:t>
      </w:r>
      <w:r>
        <w:t xml:space="preserve"> al APV y es el contrapeso directo del escudo (ítems 2 y 3). La pregunta del APV es: </w:t>
      </w:r>
      <w:r>
        <w:rPr>
          <w:b/>
          <w:bCs/>
        </w:rPr>
        <w:t xml:space="preserve">¿VP(escudo) &gt; VP(dificultades)?</w:t>
      </w:r>
      <w:r>
        <w:t xml:space="preserve"> Si el costo esperado de la quiebra supera al ahorro fiscal, </w:t>
      </w:r>
      <w:r>
        <w:rPr>
          <w:b/>
          <w:bCs/>
        </w:rPr>
        <w:t xml:space="preserve">endeudarse destruye valor</w:t>
      </w:r>
      <w:r>
        <w:t xml:space="preserve">, por más tentador que luzca el escudo. Ese balance se cierra en el ítem 5.</w:t>
      </w:r>
    </w:p>
    <w:p>
      <w:pPr>
        <w:spacing w:after="140" w:line="276"/>
      </w:pPr>
      <w:r>
        <w:rPr>
          <w:b/>
          <w:bCs/>
        </w:rPr>
        <w:t xml:space="preserve">Andina</w:t>
      </w:r>
      <w:r>
        <w:t xml:space="preserve"> es un caso de alerta: con un EBIT de 830 contra intereses de 560, la cobertura es apenas ~1,5x y la caja está siempre tensa. Su Z'' debería vigilarse de cerca: está justamente en la franja donde la probabilidad de dificultades empieza a pesar sobre el valor.</w:t>
      </w:r>
    </w:p>
    <w:p>
      <w:pPr>
        <w:pStyle w:val="Heading2"/>
        <w:spacing w:after="100" w:before="220"/>
      </w:pPr>
      <w:r>
        <w:t xml:space="preserve">El modelo: variables y fórmulas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B1120" w:color="0B112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Variable de entrada</w:t>
            </w:r>
          </w:p>
        </w:tc>
        <w:tc>
          <w:tcPr>
            <w:shd w:fill="0B1120" w:color="0B112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Valor base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X1 = Capital de trabajo / Activos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0.12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X2 = Utilidades retenidas / Activos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0.18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X3 = EBIT / Activos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0.08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X4 = Patrimonio (libros) / Pasivos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0.6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Valor de los activos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7000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Costos ex-post (% del valor si quiebra)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0.25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B1120" w:color="0B112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Indicador calculado</w:t>
            </w:r>
          </w:p>
        </w:tc>
        <w:tc>
          <w:tcPr>
            <w:shd w:fill="0B1120" w:color="0B112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Fórmula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Altman Z'' EMS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3.25+6.56</w:t>
            </w:r>
            <w:r>
              <w:rPr>
                <w:i/>
                <w:iCs/>
                <w:sz w:val="18"/>
                <w:szCs w:val="18"/>
              </w:rPr>
              <w:t xml:space="preserve">x1+3.26</w:t>
            </w:r>
            <w:r>
              <w:rPr>
                <w:sz w:val="18"/>
                <w:szCs w:val="18"/>
              </w:rPr>
              <w:t xml:space="preserve">x2+6.72</w:t>
            </w:r>
            <w:r>
              <w:rPr>
                <w:i/>
                <w:iCs/>
                <w:sz w:val="18"/>
                <w:szCs w:val="18"/>
              </w:rPr>
              <w:t xml:space="preserve">x3+1.05</w:t>
            </w:r>
            <w:r>
              <w:rPr>
                <w:sz w:val="18"/>
                <w:szCs w:val="18"/>
              </w:rPr>
              <w:t xml:space="preserve">x4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P(default) aproximada por zona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IF(zEms&gt;2.6,0.02,IF(zEms&gt;=1.1,0.1,0.3))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Costo esperado de dificultades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pDefault</w:t>
            </w:r>
            <w:r>
              <w:rPr>
                <w:i/>
                <w:iCs/>
                <w:sz w:val="18"/>
                <w:szCs w:val="18"/>
              </w:rPr>
              <w:t xml:space="preserve">costoExPost</w:t>
            </w:r>
            <w:r>
              <w:rPr>
                <w:sz w:val="18"/>
                <w:szCs w:val="18"/>
              </w:rPr>
              <w:t xml:space="preserve">valorActivos</w:t>
            </w:r>
          </w:p>
        </w:tc>
      </w:tr>
    </w:tbl>
    <w:p>
      <w:pPr>
        <w:spacing w:before="160"/>
      </w:pPr>
      <w:r>
        <w:t xml:space="preserve">Abrí el </w:t>
      </w:r>
      <w:r>
        <w:rPr>
          <w:b/>
          <w:bCs/>
        </w:rPr>
        <w:t xml:space="preserve">modelo interactivo</w:t>
      </w:r>
      <w:r>
        <w:t xml:space="preserve"> de este ítem en la plataforma para mover las variables en vivo, y usá el Excel para construir tu propio caso con matrices dinámicas.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rPr>
      <w:b/>
      <w:bCs/>
      <w:color w:val="0B1120"/>
      <w:sz w:val="36"/>
      <w:szCs w:val="36"/>
    </w:rPr>
  </w:style>
  <w:style w:type="paragraph" w:styleId="Heading2">
    <w:name w:val="Heading 2"/>
    <w:pPr>
      <w:spacing w:after="100" w:before="200"/>
    </w:pPr>
    <w:rPr>
      <w:b/>
      <w:bCs/>
      <w:color w:val="94741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2026-06-24T11:50:52.767Z</dcterms:created>
  <dcterms:modified xsi:type="dcterms:W3CDTF">2026-06-24T11:50:52.767Z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