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12</w:t>
      </w:r>
    </w:p>
    <w:p>
      <w:pPr>
        <w:pStyle w:val="Title"/>
        <w:spacing w:after="40"/>
      </w:pPr>
      <w:r>
        <w:t xml:space="preserve">Ítem 1. Valuación por DCF (FCFF descontado al WACC)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De los flujos proyectados al Enterprise Value y al Equity Value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DCF · McKinsey · Gordon</w:t>
      </w:r>
    </w:p>
    <w:p>
      <w:pPr>
        <w:pStyle w:val="Heading2"/>
        <w:spacing w:after="100" w:before="220"/>
      </w:pPr>
      <w:r>
        <w:t xml:space="preserve">La lógica del DCF: una empresa vale lo que rinde en caja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DCF (Discounted Cash Flow)</w:t>
      </w:r>
      <w:r>
        <w:t xml:space="preserve"> parte de una idea simple y demoledora: una empresa no vale lo que dice su balance ni lo que ganó el año pasado, sino el </w:t>
      </w:r>
      <w:r>
        <w:rPr>
          <w:b/>
          <w:bCs/>
        </w:rPr>
        <w:t xml:space="preserve">valor presente de toda la caja libre que producirá de acá en adelante</w:t>
      </w:r>
      <w:r>
        <w:t xml:space="preserve">. Esa caja es el </w:t>
      </w:r>
      <w:r>
        <w:rPr>
          <w:b/>
          <w:bCs/>
        </w:rPr>
        <w:t xml:space="preserve">FCFF (Free Cash Flow to the Firm)</w:t>
      </w:r>
      <w:r>
        <w:t xml:space="preserve">, el flujo disponible para </w:t>
      </w:r>
      <w:r>
        <w:rPr>
          <w:i/>
          <w:iCs/>
        </w:rPr>
        <w:t xml:space="preserve">todos</w:t>
      </w:r>
      <w:r>
        <w:t xml:space="preserve"> los proveedores de capital —acreedores y accionistas— antes de las decisiones de financiamiento. Se arma como FCFF = EBIT·(1−t) + Amortizaciones − ΔCapital de trabajo − CAPEX.</w:t>
      </w:r>
    </w:p>
    <w:p>
      <w:pPr>
        <w:spacing w:after="140" w:line="276"/>
      </w:pPr>
      <w:r>
        <w:t xml:space="preserve">El método tiene dos bloques. Primero, un </w:t>
      </w:r>
      <w:r>
        <w:rPr>
          <w:b/>
          <w:bCs/>
        </w:rPr>
        <w:t xml:space="preserve">horizonte explícito</w:t>
      </w:r>
      <w:r>
        <w:t xml:space="preserve"> (típicamente 5 años) donde se proyecta el FCFF año por año y se lo descuenta al </w:t>
      </w:r>
      <w:r>
        <w:rPr>
          <w:b/>
          <w:bCs/>
        </w:rPr>
        <w:t xml:space="preserve">WACC</w:t>
      </w:r>
      <w:r>
        <w:t xml:space="preserve"> de la Semana 9. Segundo, un </w:t>
      </w:r>
      <w:r>
        <w:rPr>
          <w:b/>
          <w:bCs/>
        </w:rPr>
        <w:t xml:space="preserve">valor terminal</w:t>
      </w:r>
      <w:r>
        <w:t xml:space="preserve"> que captura todo lo que pasa después del último año explícito, comprimido en un solo número mediante la </w:t>
      </w:r>
      <w:r>
        <w:rPr>
          <w:b/>
          <w:bCs/>
        </w:rPr>
        <w:t xml:space="preserve">perpetuidad de Gordon</w:t>
      </w:r>
      <w:r>
        <w:t xml:space="preserve">. La suma de ambos descontados es el </w:t>
      </w:r>
      <w:r>
        <w:rPr>
          <w:b/>
          <w:bCs/>
        </w:rPr>
        <w:t xml:space="preserve">Enterprise Value (EV)</w:t>
      </w:r>
      <w:r>
        <w:t xml:space="preserve">, el valor de la operación entera.</w:t>
      </w:r>
    </w:p>
    <w:p>
      <w:pPr>
        <w:spacing w:after="140" w:line="276"/>
      </w:pPr>
      <w:r>
        <w:t xml:space="preserve">En el caso de </w:t>
      </w:r>
      <w:r>
        <w:rPr>
          <w:b/>
          <w:bCs/>
        </w:rPr>
        <w:t xml:space="preserve">Andina Manufacturas</w:t>
      </w:r>
      <w:r>
        <w:t xml:space="preserve">, el flujo operativo antes de intereses e impuestos ronda los </w:t>
      </w:r>
      <w:r>
        <w:rPr>
          <w:b/>
          <w:bCs/>
        </w:rPr>
        <w:t xml:space="preserve">305k USD</w:t>
      </w:r>
      <w:r>
        <w:t xml:space="preserve"> y la tasa de descuento relevante ronda el </w:t>
      </w:r>
      <w:r>
        <w:rPr>
          <w:b/>
          <w:bCs/>
        </w:rPr>
        <w:t xml:space="preserve">21%</w:t>
      </w:r>
      <w:r>
        <w:t xml:space="preserve">. Trabajamos en </w:t>
      </w:r>
      <w:r>
        <w:rPr>
          <w:b/>
          <w:bCs/>
        </w:rPr>
        <w:t xml:space="preserve">dólares</w:t>
      </w:r>
      <w:r>
        <w:t xml:space="preserve"> —regla de la casa— justamente para que el crecimiento que veamos sea crecimiento real y no la ilusión nominal que genera la inflación local.</w:t>
      </w:r>
    </w:p>
    <w:p>
      <w:pPr>
        <w:pStyle w:val="Heading2"/>
        <w:spacing w:after="100" w:before="220"/>
      </w:pPr>
      <w:r>
        <w:t xml:space="preserve">El valor terminal: donde se juega la mitad del valor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valor terminal de Gordon</w:t>
      </w:r>
      <w:r>
        <w:t xml:space="preserve"> vale TV = FCFFₙ·(1+g)/(WACC−g). El numerador es el flujo del último año explícito, ya </w:t>
      </w:r>
      <w:r>
        <w:rPr>
          <w:b/>
          <w:bCs/>
        </w:rPr>
        <w:t xml:space="preserve">normalizado</w:t>
      </w:r>
      <w:r>
        <w:t xml:space="preserve"> (sin picos ni baches), creciendo al ritmo perpetuo </w:t>
      </w:r>
      <w:r>
        <w:rPr>
          <w:b/>
          <w:bCs/>
        </w:rPr>
        <w:t xml:space="preserve">g</w:t>
      </w:r>
      <w:r>
        <w:t xml:space="preserve">. El denominador es el "spread" WACC−g que capitaliza esa perpetuidad: cuanto más chico, más explota el valor. La restricción es dura: </w:t>
      </w:r>
      <w:r>
        <w:rPr>
          <w:b/>
          <w:bCs/>
        </w:rPr>
        <w:t xml:space="preserve">g debe ser menor que el WACC</w:t>
      </w:r>
      <w:r>
        <w:t xml:space="preserve">, y en términos reales no debería superar el crecimiento de largo plazo de la economía (2%–3% en USD).</w:t>
      </w:r>
    </w:p>
    <w:p>
      <w:pPr>
        <w:spacing w:after="140" w:line="276"/>
      </w:pPr>
      <w:r>
        <w:t xml:space="preserve">Este es el punto más delicado de toda la valuación. En empresas de mercados emergentes con WACC alto, el valor terminal suele pesar </w:t>
      </w:r>
      <w:r>
        <w:rPr>
          <w:b/>
          <w:bCs/>
        </w:rPr>
        <w:t xml:space="preserve">entre el 40% y el 60%</w:t>
      </w:r>
      <w:r>
        <w:t xml:space="preserve"> del Enterprise Value. Por eso un error de un punto en el WACC o en g —muy fácil de cometer con el riesgo país de por medio— mueve la valuación en decenas de por ciento. La consistencia es innegociable: FCFFₙ, g y WACC tienen que compartir moneda y tratamiento de inflación.</w:t>
      </w:r>
    </w:p>
    <w:p>
      <w:pPr>
        <w:spacing w:after="140" w:line="276"/>
      </w:pPr>
      <w:r>
        <w:t xml:space="preserve">Una salvaguarda numérica obligatoria: si por error se carga un </w:t>
      </w:r>
      <w:r>
        <w:rPr>
          <w:b/>
          <w:bCs/>
        </w:rPr>
        <w:t xml:space="preserve">g mayor o igual al WACC</w:t>
      </w:r>
      <w:r>
        <w:t xml:space="preserve">, la fórmula de Gordon arroja un valor negativo o infinito que no tiene sentido económico. En la planilla esto se resuelve con IF([wacc]&gt;[g], …, NA()) y en el simulador devolviendo NaN, para que el modelo grite "esto no se puede valuar así" en vez de mostrar un número falso.</w:t>
      </w:r>
    </w:p>
    <w:p>
      <w:pPr>
        <w:pStyle w:val="Heading2"/>
        <w:spacing w:after="100" w:before="220"/>
      </w:pPr>
      <w:r>
        <w:t xml:space="preserve">Del Enterprise Value al Equity Value: el puente</w:t>
      </w:r>
    </w:p>
    <w:p>
      <w:pPr>
        <w:spacing w:after="140" w:line="276"/>
      </w:pPr>
      <w:r>
        <w:t xml:space="preserve">El DCF al WACC entrega el </w:t>
      </w:r>
      <w:r>
        <w:rPr>
          <w:b/>
          <w:bCs/>
        </w:rPr>
        <w:t xml:space="preserve">Enterprise Value</w:t>
      </w:r>
      <w:r>
        <w:t xml:space="preserve">, el valor de la operación para todos los financiadores. Pero el dueño no quiere saber cuánto vale la operación: quiere saber </w:t>
      </w:r>
      <w:r>
        <w:rPr>
          <w:b/>
          <w:bCs/>
        </w:rPr>
        <w:t xml:space="preserve">cuánto vale SU parte</w:t>
      </w:r>
      <w:r>
        <w:t xml:space="preserve">. Para llegar al </w:t>
      </w:r>
      <w:r>
        <w:rPr>
          <w:b/>
          <w:bCs/>
        </w:rPr>
        <w:t xml:space="preserve">Equity Value</w:t>
      </w:r>
      <w:r>
        <w:t xml:space="preserve"> se cruza el puente: Equity = EV − </w:t>
      </w:r>
      <w:r>
        <w:rPr>
          <w:b/>
          <w:bCs/>
        </w:rPr>
        <w:t xml:space="preserve">Deuda Financiera Neta</w:t>
      </w:r>
      <w:r>
        <w:t xml:space="preserve">, donde la deuda neta es la deuda onerosa (descubierto, cheques, préstamos) menos la caja y las inversiones líquidas.</w:t>
      </w:r>
    </w:p>
    <w:p>
      <w:pPr>
        <w:spacing w:after="140" w:line="276"/>
      </w:pPr>
      <w:r>
        <w:t xml:space="preserve">En Andina, la deuda onerosa suma descubierto (540), cheques diferidos (430), préstamos de corto (620) y de largo plazo (980), contra una caja e inversiones líquidas de unos 240: una deuda neta de unos 2.330k que, al valor actual, se </w:t>
      </w:r>
      <w:r>
        <w:rPr>
          <w:b/>
          <w:bCs/>
        </w:rPr>
        <w:t xml:space="preserve">comería casi todo el Enterprise Value</w:t>
      </w:r>
      <w:r>
        <w:t xml:space="preserve">. El escenario por defecto del simulador toma una deuda neta de 1.500k —un plan de desapalancamiento parcial— para que el equity quede positivo pero tenso, y se vea cómo al mover el WACC el valor del accionista puede cruzar a terreno negativo. Es la materialización del diagnóstico de todo el programa: Andina luce rentable pero está atrapada por su estructura de pasivos caros.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el FCFF de este DCF viene del </w:t>
      </w:r>
      <w:r>
        <w:rPr>
          <w:b/>
          <w:bCs/>
        </w:rPr>
        <w:t xml:space="preserve">diagnóstico (S1)</w:t>
      </w:r>
      <w:r>
        <w:t xml:space="preserve"> y de los </w:t>
      </w:r>
      <w:r>
        <w:rPr>
          <w:b/>
          <w:bCs/>
        </w:rPr>
        <w:t xml:space="preserve">value drivers (S2–S4)</w:t>
      </w:r>
      <w:r>
        <w:t xml:space="preserve"> —rotación, márgenes, ciclo de conversión de efectivo—; el WACC viene de la </w:t>
      </w:r>
      <w:r>
        <w:rPr>
          <w:b/>
          <w:bCs/>
        </w:rPr>
        <w:t xml:space="preserve">Semana 9</w:t>
      </w:r>
      <w:r>
        <w:t xml:space="preserve">; y el Equity Value que sale acá es la base sobre la que después se aplican los descuentos </w:t>
      </w:r>
      <w:r>
        <w:rPr>
          <w:b/>
          <w:bCs/>
        </w:rPr>
        <w:t xml:space="preserve">DLOC y DLOM</w:t>
      </w:r>
      <w:r>
        <w:t xml:space="preserve"> (ítem 5) para llegar al valor real del paquete de un socio. Este ítem es la columna vertebral de la valuación integral.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FCFF normalizado (último año)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305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Crecimiento perpetuo (g)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0.03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WACC (tasa de descuento)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0.21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VP de los flujos explícitos (años 1–5)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965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Deuda financiera neta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1500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Valor terminal (Gordon)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IF(wacc&gt;g,fcff*(1+g)/(wacc-g),NA())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VP del valor terminal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IF(wacc&gt;g,tv/(1+wacc)^5,NA())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Enterprise Value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IF(wacc&gt;g,horizonVP+vpTV,NA())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Equity Value (EV − deuda neta)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IF(wacc&gt;g,ev-deudaNeta,NA())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Peso del valor terminal en el EV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IF(wacc&gt;g,vpTV/ev,NA())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2026-06-24T11:50:52.869Z</dcterms:created>
  <dcterms:modified xsi:type="dcterms:W3CDTF">2026-06-24T11:50:52.869Z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