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12</w:t>
      </w:r>
    </w:p>
    <w:p>
      <w:pPr>
        <w:pStyle w:val="Title"/>
        <w:spacing w:after="40"/>
      </w:pPr>
      <w:r>
        <w:t xml:space="preserve">Ítem 2. APV: el Valor Presente Ajustado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Vu desapalancado + VP del escudo fiscal − VP de dificultades financieras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APV · Modigliani-Miller · Vélez-Pareja</w:t>
      </w:r>
    </w:p>
    <w:p>
      <w:pPr>
        <w:pStyle w:val="Heading2"/>
        <w:spacing w:after="100" w:before="220"/>
      </w:pPr>
      <w:r>
        <w:t xml:space="preserve">Por qué separar la operación del financiamiento</w:t>
      </w:r>
    </w:p>
    <w:p>
      <w:pPr>
        <w:spacing w:after="140" w:line="276"/>
      </w:pPr>
      <w:r>
        <w:t xml:space="preserve">El DCF al WACC mete todo en una sola tasa y supone una </w:t>
      </w:r>
      <w:r>
        <w:rPr>
          <w:b/>
          <w:bCs/>
        </w:rPr>
        <w:t xml:space="preserve">estructura de capital constante</w:t>
      </w:r>
      <w:r>
        <w:t xml:space="preserve">. Pero Andina —como tantas PyMEs emergentes— no tiene estructura estable: amortiza préstamos, toma y devuelve descubierto, reestructura pasivos. Cuando la deuda cambia año a año, el WACC </w:t>
      </w:r>
      <w:r>
        <w:rPr>
          <w:b/>
          <w:bCs/>
        </w:rPr>
        <w:t xml:space="preserve">falla</w:t>
      </w:r>
      <w:r>
        <w:t xml:space="preserve">. Ahí entra el </w:t>
      </w:r>
      <w:r>
        <w:rPr>
          <w:b/>
          <w:bCs/>
        </w:rPr>
        <w:t xml:space="preserve">APV (Adjusted Present Value)</w:t>
      </w:r>
      <w:r>
        <w:t xml:space="preserve">, que desarma el valor en piezas y descuenta cada una a la tasa que refleja SU propio riesgo.</w:t>
      </w:r>
    </w:p>
    <w:p>
      <w:pPr>
        <w:spacing w:after="140" w:line="276"/>
      </w:pPr>
      <w:r>
        <w:t xml:space="preserve">La fórmula maestra, derivada del teorema de </w:t>
      </w:r>
      <w:r>
        <w:rPr>
          <w:b/>
          <w:bCs/>
        </w:rPr>
        <w:t xml:space="preserve">Modigliani-Miller</w:t>
      </w:r>
      <w:r>
        <w:t xml:space="preserve">, es APV = </w:t>
      </w:r>
      <w:r>
        <w:rPr>
          <w:b/>
          <w:bCs/>
        </w:rPr>
        <w:t xml:space="preserve">Vu</w:t>
      </w:r>
      <w:r>
        <w:t xml:space="preserve"> + VP(escudos fiscales) − VP(costos de dificultades financieras) ± VP(otros efectos). La intuición: sin fricciones, la estructura financiera no cambia el valor de los activos operativos. Las imperfecciones del mundo real lo mueven hacia </w:t>
      </w:r>
      <w:r>
        <w:rPr>
          <w:b/>
          <w:bCs/>
        </w:rPr>
        <w:t xml:space="preserve">arriba</w:t>
      </w:r>
      <w:r>
        <w:t xml:space="preserve"> por el escudo fiscal (los intereses son deducibles) y hacia </w:t>
      </w:r>
      <w:r>
        <w:rPr>
          <w:b/>
          <w:bCs/>
        </w:rPr>
        <w:t xml:space="preserve">abajo</w:t>
      </w:r>
      <w:r>
        <w:t xml:space="preserve"> por el costo esperado de la quiebra (más deuda eleva la probabilidad de insolvencia).</w:t>
      </w:r>
    </w:p>
    <w:p>
      <w:pPr>
        <w:spacing w:after="140" w:line="276"/>
      </w:pPr>
      <w:r>
        <w:t xml:space="preserve">La potencia del método es que </w:t>
      </w:r>
      <w:r>
        <w:rPr>
          <w:b/>
          <w:bCs/>
        </w:rPr>
        <w:t xml:space="preserve">no busca una tasa única</w:t>
      </w:r>
      <w:r>
        <w:t xml:space="preserve">. El valor de la operación se descuenta a Ku, el escudo a su propia tasa según la política de deuda, y las dificultades financieras a la tasa de su riesgo. Esto permite un análisis de sensibilidad granular: mover una pieza sin tocar las demás, algo imposible con el WACC monolítico.</w:t>
      </w:r>
    </w:p>
    <w:p>
      <w:pPr>
        <w:pStyle w:val="Heading2"/>
        <w:spacing w:after="100" w:before="220"/>
      </w:pPr>
      <w:r>
        <w:t xml:space="preserve">Componente 1: el valor desapalancado (Vu)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Vu</w:t>
      </w:r>
      <w:r>
        <w:t xml:space="preserve"> es el valor de Andina </w:t>
      </w:r>
      <w:r>
        <w:rPr>
          <w:b/>
          <w:bCs/>
        </w:rPr>
        <w:t xml:space="preserve">como si se financiara 100% con capital propio</w:t>
      </w:r>
      <w:r>
        <w:t xml:space="preserve">, sin un peso de deuda. Aísla la </w:t>
      </w:r>
      <w:r>
        <w:rPr>
          <w:b/>
          <w:bCs/>
        </w:rPr>
        <w:t xml:space="preserve">operación pura</w:t>
      </w:r>
      <w:r>
        <w:t xml:space="preserve">. Se calcula descontando el mismo FCFF del ítem 1, pero a </w:t>
      </w:r>
      <w:r>
        <w:rPr>
          <w:b/>
          <w:bCs/>
        </w:rPr>
        <w:t xml:space="preserve">Ku</w:t>
      </w:r>
      <w:r>
        <w:t xml:space="preserve"> (el costo del capital desapalancado), no al WACC. Ku captura solo el riesgo del negocio —sin el riesgo financiero del apalancamiento— y se construye desapalancando la beta del sector, llevándola a Beta Total (dueño no diversificado) y apilando las primas de país, tamaño e iliquidez UNA sola vez.</w:t>
      </w:r>
    </w:p>
    <w:p>
      <w:pPr>
        <w:spacing w:after="140" w:line="276"/>
      </w:pPr>
      <w:r>
        <w:t xml:space="preserve">Como Ku no incluye el escudo fiscal de la deuda, es </w:t>
      </w:r>
      <w:r>
        <w:rPr>
          <w:b/>
          <w:bCs/>
        </w:rPr>
        <w:t xml:space="preserve">mayor que el WACC</w:t>
      </w:r>
      <w:r>
        <w:t xml:space="preserve">: por eso el Vu, tomado en aislamiento, da </w:t>
      </w:r>
      <w:r>
        <w:rPr>
          <w:b/>
          <w:bCs/>
        </w:rPr>
        <w:t xml:space="preserve">menor</w:t>
      </w:r>
      <w:r>
        <w:t xml:space="preserve"> que el Enterprise Value del DCF al WACC. Eso no es un error: el DCF al WACC ya tiene el escudo fiscal "mezclado" dentro de la tasa, mientras que el APV lo va a sumar aparte, de forma explícita y trazable. Es la misma valuación contada de dos maneras.</w:t>
      </w:r>
    </w:p>
    <w:p>
      <w:pPr>
        <w:spacing w:after="140" w:line="276"/>
      </w:pPr>
      <w:r>
        <w:t xml:space="preserve">El Vu hereda la misma estructura del DCF: flujos explícitos más valor terminal de Gordon, pero todo descontado a Ku en lugar de WACC. La regla de consistencia se mantiene: g &lt; Ku, misma moneda, mismo tratamiento de inflación. Y el valor terminal sigue pesando mucho, así que la disciplina de estresar la tasa es igual de obligatoria.</w:t>
      </w:r>
    </w:p>
    <w:p>
      <w:pPr>
        <w:pStyle w:val="Heading2"/>
        <w:spacing w:after="100" w:before="220"/>
      </w:pPr>
      <w:r>
        <w:t xml:space="preserve">Los efectos del financiamiento: escudo y dificultades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VP del escudo fiscal</w:t>
      </w:r>
      <w:r>
        <w:t xml:space="preserve"> es lo que la deuda </w:t>
      </w:r>
      <w:r>
        <w:rPr>
          <w:b/>
          <w:bCs/>
        </w:rPr>
        <w:t xml:space="preserve">AGREGA</w:t>
      </w:r>
      <w:r>
        <w:t xml:space="preserve">: como los intereses son deducibles, el Estado "subsidia" parte del costo financiero. En su forma más simple vale D·t (la deuda por la tasa impositiva), pero la advertencia de </w:t>
      </w:r>
      <w:r>
        <w:rPr>
          <w:b/>
          <w:bCs/>
        </w:rPr>
        <w:t xml:space="preserve">Vélez-Pareja</w:t>
      </w:r>
      <w:r>
        <w:t xml:space="preserve"> para PyMEs emergentes es central: el escudo es </w:t>
      </w:r>
      <w:r>
        <w:rPr>
          <w:b/>
          <w:bCs/>
        </w:rPr>
        <w:t xml:space="preserve">riesgoso</w:t>
      </w:r>
      <w:r>
        <w:t xml:space="preserve">. El derecho a deducir intereses se devenga, pero su realización efectiva depende de generar EBIT suficiente. Si un año el resultado operativo no cubre los intereses, el escudo de ese año se pierde o se difiere.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VP de las dificultades financieras</w:t>
      </w:r>
      <w:r>
        <w:t xml:space="preserve"> es lo que la deuda </w:t>
      </w:r>
      <w:r>
        <w:rPr>
          <w:b/>
          <w:bCs/>
        </w:rPr>
        <w:t xml:space="preserve">CUESTA</w:t>
      </w:r>
      <w:r>
        <w:t xml:space="preserve">: más apalancamiento eleva la probabilidad de default, y un default tiene costos reales (honorarios, pérdida de clientes, remate de activos). Se estima como probabilidad de quiebra × costo si quiebra, descontado a la tasa del riesgo operativo. En Andina, con activos tangibles (inventario, terreno, maquinaria) y propiedad concentrada, la severidad es moderada, pero el descubierto caro al 85% empuja la probabilidad para arriba.</w:t>
      </w:r>
    </w:p>
    <w:p>
      <w:pPr>
        <w:spacing w:after="140" w:line="276"/>
      </w:pPr>
      <w:r>
        <w:rPr>
          <w:b/>
          <w:bCs/>
        </w:rPr>
        <w:t xml:space="preserve">La lectura para el directorio:</w:t>
      </w:r>
      <w:r>
        <w:t xml:space="preserve"> si VP(escudo) ≈ VP(dificultades), la deuda es </w:t>
      </w:r>
      <w:r>
        <w:rPr>
          <w:b/>
          <w:bCs/>
        </w:rPr>
        <w:t xml:space="preserve">neutral en valor</w:t>
      </w:r>
      <w:r>
        <w:t xml:space="preserve"> —no mueve la aguja— y la palanca NO está en apalancar más, sino en </w:t>
      </w:r>
      <w:r>
        <w:rPr>
          <w:b/>
          <w:bCs/>
        </w:rPr>
        <w:t xml:space="preserve">bajar Ku</w:t>
      </w:r>
      <w:r>
        <w:t xml:space="preserve"> (operar en USD, dar previsibilidad) y </w:t>
      </w:r>
      <w:r>
        <w:rPr>
          <w:b/>
          <w:bCs/>
        </w:rPr>
        <w:t xml:space="preserve">subir el Vu</w:t>
      </w:r>
      <w:r>
        <w:t xml:space="preserve"> comprimiendo el ciclo de conversión de efectivo. Acá el APV se enlaza con todo el programa: el diagnóstico de los value drivers (S1–S4) es lo que efectivamente sube el Vu, la pieza que domina el valor.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FCFF normalizado (último año)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perpetuo (g)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Ku (costo desapalancado)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flujos explícitos a Ku (años 1–5)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914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Deuda financiera onerosa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2570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Probabilidad anual de dificultades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si hay default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1200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Vu (valor desapalancado)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IF(ku&gt;g,horizonVuVP+((fcff*(1+g)/(ku-g))/(1+ku)^5),NA())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del escudo fiscal (D × 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deuda*tax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de dificultades financieras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(pDefault*costoDefault)/ku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APV (valor de la firma)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IF(ku&gt;g,vu+vpEscudo-vpCFD,NA())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Efecto neto del financiamiento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vpEscudo-vpCFD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2026-06-24T11:50:52.883Z</dcterms:created>
  <dcterms:modified xsi:type="dcterms:W3CDTF">2026-06-24T11:50:52.883Z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