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12</w:t>
      </w:r>
    </w:p>
    <w:p>
      <w:pPr>
        <w:pStyle w:val="Title"/>
        <w:spacing w:after="40"/>
      </w:pPr>
      <w:r>
        <w:t xml:space="preserve">Ítem 3. TSR: descomposición del Retorno Total al Accionista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De dónde vino el valor: ventas, margen, múltiplo y dividendos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TSR · BCG · Morgan Stanley</w:t>
      </w:r>
    </w:p>
    <w:p>
      <w:pPr>
        <w:pStyle w:val="Heading2"/>
        <w:spacing w:after="100" w:before="220"/>
      </w:pPr>
      <w:r>
        <w:t xml:space="preserve">Qué mide el TSR y por qué se descompone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TSR (Total Shareholder Return)</w:t>
      </w:r>
      <w:r>
        <w:t xml:space="preserve"> es la métrica de desempeño externo que usan firmas como </w:t>
      </w:r>
      <w:r>
        <w:rPr>
          <w:b/>
          <w:bCs/>
        </w:rPr>
        <w:t xml:space="preserve">BCG</w:t>
      </w:r>
      <w:r>
        <w:t xml:space="preserve"> para medir la creación de valor real en un período. En una empresa que cotiza combina </w:t>
      </w:r>
      <w:r>
        <w:rPr>
          <w:b/>
          <w:bCs/>
        </w:rPr>
        <w:t xml:space="preserve">apreciación del precio</w:t>
      </w:r>
      <w:r>
        <w:t xml:space="preserve"> y </w:t>
      </w:r>
      <w:r>
        <w:rPr>
          <w:b/>
          <w:bCs/>
        </w:rPr>
        <w:t xml:space="preserve">rendimiento de dividendos</w:t>
      </w:r>
      <w:r>
        <w:t xml:space="preserve">, asumiendo reinversión de los dividendos en la misma acción: TSR = (Pₜ − Pₜ₋₁ + Dₜ) / Pₜ₋₁.</w:t>
      </w:r>
    </w:p>
    <w:p>
      <w:pPr>
        <w:spacing w:after="140" w:line="276"/>
      </w:pPr>
      <w:r>
        <w:t xml:space="preserve">Pero el número solo no sirve para gestionar. Lo potente es la </w:t>
      </w:r>
      <w:r>
        <w:rPr>
          <w:b/>
          <w:bCs/>
        </w:rPr>
        <w:t xml:space="preserve">descomposición</w:t>
      </w:r>
      <w:r>
        <w:t xml:space="preserve">: abrir el TSR en sus generadores para que el directorio vea </w:t>
      </w:r>
      <w:r>
        <w:rPr>
          <w:b/>
          <w:bCs/>
        </w:rPr>
        <w:t xml:space="preserve">de dónde vino el valor</w:t>
      </w:r>
      <w:r>
        <w:t xml:space="preserve"> y </w:t>
      </w:r>
      <w:r>
        <w:rPr>
          <w:b/>
          <w:bCs/>
        </w:rPr>
        <w:t xml:space="preserve">qué palanca mover</w:t>
      </w:r>
      <w:r>
        <w:t xml:space="preserve">. Como el precio es P = EPS × Múltiplo, y el EPS depende de la utilidad neta y las acciones, y la utilidad neta es Ventas × Margen, el TSR se desarma en una cadena de factores multiplicativos.</w:t>
      </w:r>
    </w:p>
    <w:p>
      <w:pPr>
        <w:spacing w:after="140" w:line="276"/>
      </w:pPr>
      <w:r>
        <w:t xml:space="preserve">La forma multiplicativa es 1 + TSR = (ΔVentas) × (ΔMargen) × (ΔMúltiplo) × (acciones) + DivYield. Cada factor es un </w:t>
      </w:r>
      <w:r>
        <w:rPr>
          <w:b/>
          <w:bCs/>
        </w:rPr>
        <w:t xml:space="preserve">generador de valor</w:t>
      </w:r>
      <w:r>
        <w:t xml:space="preserve">: crecimiento de ventas, expansión de margen, re-rating del múltiplo, efecto de recompras/emisiones y el rendimiento de caja distribuida. Para presentarlo a directorio, BCG aplica logaritmo y lo convierte en un </w:t>
      </w:r>
      <w:r>
        <w:rPr>
          <w:b/>
          <w:bCs/>
        </w:rPr>
        <w:t xml:space="preserve">waterfall aditivo en puntos porcentuales</w:t>
      </w:r>
      <w:r>
        <w:t xml:space="preserve">: "del TSR de X%, tantos puntos vinieron de ventas, tantos de margen, tantos de múltiplo, tantos de yield".</w:t>
      </w:r>
    </w:p>
    <w:p>
      <w:pPr>
        <w:pStyle w:val="Heading2"/>
        <w:spacing w:after="100" w:before="220"/>
      </w:pPr>
      <w:r>
        <w:t xml:space="preserve">Los generadores, uno por uno</w:t>
      </w:r>
    </w:p>
    <w:p>
      <w:pPr>
        <w:spacing w:after="140" w:line="276"/>
      </w:pPr>
      <w:r>
        <w:rPr>
          <w:b/>
          <w:bCs/>
        </w:rPr>
        <w:t xml:space="preserve">Crecimiento de ventas:</w:t>
      </w:r>
      <w:r>
        <w:t xml:space="preserve"> mide la tracción del negocio en su mercado. Pero ojo —y acá se enlaza todo el programa— crecer con </w:t>
      </w:r>
      <w:r>
        <w:rPr>
          <w:b/>
          <w:bCs/>
        </w:rPr>
        <w:t xml:space="preserve">ROIC menor al WACC destruye valor</w:t>
      </w:r>
      <w:r>
        <w:t xml:space="preserve"> aunque el factor sea mayor que 1. Y el crecimiento nominal por inflación es una ilusión: por eso medimos en USD. </w:t>
      </w:r>
      <w:r>
        <w:rPr>
          <w:b/>
          <w:bCs/>
        </w:rPr>
        <w:t xml:space="preserve">Cambio de margen:</w:t>
      </w:r>
      <w:r>
        <w:t xml:space="preserve"> capta la mejora de rentabilidad por cada dólar vendido. Es el campo donde BCG suele "enterrar" los residuos del redondeo aditivo, así que conviene auditar que la mejora sea real.</w:t>
      </w:r>
    </w:p>
    <w:p>
      <w:pPr>
        <w:spacing w:after="140" w:line="276"/>
      </w:pPr>
      <w:r>
        <w:rPr>
          <w:b/>
          <w:bCs/>
        </w:rPr>
        <w:t xml:space="preserve">Cambio de múltiplo:</w:t>
      </w:r>
      <w:r>
        <w:t xml:space="preserve"> indica si el negocio se volvió más valioso en términos relativos, por menor riesgo percibido o mayor potencial. En una empresa que cotiza es el re-rating del mercado; en una cerrada no hay múltiplo observable, y eso obliga a pasar al TSR Sintético del ítem 4. </w:t>
      </w:r>
      <w:r>
        <w:rPr>
          <w:b/>
          <w:bCs/>
        </w:rPr>
        <w:t xml:space="preserve">Rendimiento de caja (yield):</w:t>
      </w:r>
      <w:r>
        <w:t xml:space="preserve"> la porción del flujo que vuelve líquida al accionista; es central cuando el ROIC ≤ WACC, donde distribuir es la mejor decisión de valor.</w:t>
      </w:r>
    </w:p>
    <w:p>
      <w:pPr>
        <w:spacing w:after="140" w:line="276"/>
      </w:pPr>
      <w:r>
        <w:t xml:space="preserve">Hay una </w:t>
      </w:r>
      <w:r>
        <w:rPr>
          <w:b/>
          <w:bCs/>
        </w:rPr>
        <w:t xml:space="preserve">trampa técnica crítica</w:t>
      </w:r>
      <w:r>
        <w:t xml:space="preserve">: la descomposición logarítmica </w:t>
      </w:r>
      <w:r>
        <w:rPr>
          <w:b/>
          <w:bCs/>
        </w:rPr>
        <w:t xml:space="preserve">se rompe cuando la utilidad es negativa o cero</w:t>
      </w:r>
      <w:r>
        <w:t xml:space="preserve">, porque no existe el logaritmo de un número no positivo. Pasa en empresas en etapa temprana o en reestructuración profunda. En esos casos hay que mantener la escala multiplicativa directa o migrar al </w:t>
      </w:r>
      <w:r>
        <w:rPr>
          <w:b/>
          <w:bCs/>
        </w:rPr>
        <w:t xml:space="preserve">EVA</w:t>
      </w:r>
      <w:r>
        <w:t xml:space="preserve"> (Valor Económico Agregado), que mide creación de valor en dólares sin depender de logaritmos.</w:t>
      </w:r>
    </w:p>
    <w:p>
      <w:pPr>
        <w:pStyle w:val="Heading2"/>
        <w:spacing w:after="100" w:before="220"/>
      </w:pPr>
      <w:r>
        <w:t xml:space="preserve">Por qué le importa al CEO de Andina</w:t>
      </w:r>
    </w:p>
    <w:p>
      <w:pPr>
        <w:spacing w:after="140" w:line="276"/>
      </w:pPr>
      <w:r>
        <w:t xml:space="preserve">Aunque Andina no cotice, la </w:t>
      </w:r>
      <w:r>
        <w:rPr>
          <w:b/>
          <w:bCs/>
        </w:rPr>
        <w:t xml:space="preserve">lógica de la descomposición</w:t>
      </w:r>
      <w:r>
        <w:t xml:space="preserve"> es oro puro para gestionar. Le dice al dueño qué parte de su mejora (o deterioro) de valor vino de vender más, qué parte de ganar más por unidad, y qué parte de que el negocio "valga más" por menos riesgo. Convierte la creación de valor de una sensación ("vendí más, me fue bien") en un diagnóstico accionable.</w:t>
      </w:r>
    </w:p>
    <w:p>
      <w:pPr>
        <w:spacing w:after="140" w:line="276"/>
      </w:pPr>
      <w:r>
        <w:t xml:space="preserve">El TSR conecta directo con los </w:t>
      </w:r>
      <w:r>
        <w:rPr>
          <w:b/>
          <w:bCs/>
        </w:rPr>
        <w:t xml:space="preserve">value drivers (S2–S4)</w:t>
      </w:r>
      <w:r>
        <w:t xml:space="preserve">: el crecimiento de ventas y el margen son justamente los drivers operativos del árbol de McKinsey. Y conecta con la </w:t>
      </w:r>
      <w:r>
        <w:rPr>
          <w:b/>
          <w:bCs/>
        </w:rPr>
        <w:t xml:space="preserve">política de dividendos (S8)</w:t>
      </w:r>
      <w:r>
        <w:t xml:space="preserve">: el generador de "yield" es la caja distribuida, que solo crea valor si el negocio no tenía mejores usos (ROIC &gt; WACC) para esa plata.</w:t>
      </w:r>
    </w:p>
    <w:p>
      <w:pPr>
        <w:spacing w:after="140" w:line="276"/>
      </w:pPr>
      <w:r>
        <w:rPr>
          <w:b/>
          <w:bCs/>
        </w:rPr>
        <w:t xml:space="preserve">Interrelación de cierre:</w:t>
      </w:r>
      <w:r>
        <w:t xml:space="preserve"> el TSR es la mirada </w:t>
      </w:r>
      <w:r>
        <w:rPr>
          <w:i/>
          <w:iCs/>
        </w:rPr>
        <w:t xml:space="preserve">retrospectiva</w:t>
      </w:r>
      <w:r>
        <w:t xml:space="preserve"> (qué pasó con el valor) y el DCF/APV de los ítems 1 y 2 es la mirada </w:t>
      </w:r>
      <w:r>
        <w:rPr>
          <w:i/>
          <w:iCs/>
        </w:rPr>
        <w:t xml:space="preserve">prospectiva</w:t>
      </w:r>
      <w:r>
        <w:t xml:space="preserve"> (cuánto valdrá). Juntas cierran el círculo de la gestión basada en valor: medir lo que se creó, proyectar lo que se creará, y decidir dónde poner el capital. El ítem 4 lleva esta lógica al caso sin cotización.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de ventas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0.108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Cambio del margen (relativo)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Cambio del múltiplo (relativo)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0.04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Rendimiento de dividendos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Apreciación de precio (multiplicativa)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(1+gVentas)</w:t>
            </w:r>
            <w:r>
              <w:rPr>
                <w:i/>
                <w:iCs/>
                <w:sz w:val="18"/>
                <w:szCs w:val="18"/>
              </w:rPr>
              <w:t xml:space="preserve">(1+gMargen)</w:t>
            </w:r>
            <w:r>
              <w:rPr>
                <w:sz w:val="18"/>
                <w:szCs w:val="18"/>
              </w:rPr>
              <w:t xml:space="preserve">(1+gMultiplo)-1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TSR total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aprecPrecio+divYield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Aporte de ventas (aditivo, ln)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LN(1+gVentas)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Aporte de margen (aditivo, ln)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LN(1+gMargen)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Aporte de múltiplo (aditivo, ln)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LN(1+gMultiplo)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2026-06-24T11:50:52.897Z</dcterms:created>
  <dcterms:modified xsi:type="dcterms:W3CDTF">2026-06-24T11:50:52.897Z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