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9</w:t>
      </w:r>
    </w:p>
    <w:p>
      <w:pPr>
        <w:pStyle w:val="Title"/>
        <w:spacing w:after="40"/>
      </w:pPr>
      <w:r>
        <w:t xml:space="preserve">Ítem 1. El costo del equity base (CAPM)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Cuánto exige un accionista por el riesgo de mercado, antes del riesgo emergente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CAPM · Sharpe-Lintner</w:t>
      </w:r>
    </w:p>
    <w:p>
      <w:pPr>
        <w:pStyle w:val="Heading2"/>
        <w:spacing w:after="100" w:before="220"/>
      </w:pPr>
      <w:r>
        <w:t xml:space="preserve">El punto de partida: el modelo CAPM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CAPM (Capital Asset Pricing Model)</w:t>
      </w:r>
      <w:r>
        <w:t xml:space="preserve"> dice que el retorno que exige un accionista tiene tres componentes: una </w:t>
      </w:r>
      <w:r>
        <w:rPr>
          <w:b/>
          <w:bCs/>
        </w:rPr>
        <w:t xml:space="preserve">tasa libre de riesgo</w:t>
      </w:r>
      <w:r>
        <w:t xml:space="preserve"> (Rf), más la </w:t>
      </w:r>
      <w:r>
        <w:rPr>
          <w:b/>
          <w:bCs/>
        </w:rPr>
        <w:t xml:space="preserve">prima por el riesgo de mercado</w:t>
      </w:r>
      <w:r>
        <w:t xml:space="preserve"> (ERP, </w:t>
      </w:r>
      <w:r>
        <w:rPr>
          <w:i/>
          <w:iCs/>
        </w:rPr>
        <w:t xml:space="preserve">equity risk premium</w:t>
      </w:r>
      <w:r>
        <w:t xml:space="preserve">) multiplicada por la </w:t>
      </w:r>
      <w:r>
        <w:rPr>
          <w:b/>
          <w:bCs/>
        </w:rPr>
        <w:t xml:space="preserve">beta</w:t>
      </w:r>
      <w:r>
        <w:t xml:space="preserve"> del activo. La fórmula es Ke = Rf + β·ERP.</w:t>
      </w:r>
    </w:p>
    <w:p>
      <w:pPr>
        <w:spacing w:after="140" w:line="276"/>
      </w:pPr>
      <w:r>
        <w:t xml:space="preserve">La </w:t>
      </w:r>
      <w:r>
        <w:rPr>
          <w:b/>
          <w:bCs/>
        </w:rPr>
        <w:t xml:space="preserve">beta</w:t>
      </w:r>
      <w:r>
        <w:t xml:space="preserve"> mide cuánto se mueve la acción cuando se mueve el mercado: una beta de 1 replica al índice; mayor a 1 amplifica; menor a 1 amortigua. Es la medida del </w:t>
      </w:r>
      <w:r>
        <w:rPr>
          <w:b/>
          <w:bCs/>
        </w:rPr>
        <w:t xml:space="preserve">riesgo sistemático</w:t>
      </w:r>
      <w:r>
        <w:t xml:space="preserve">, el que no se puede diluir diversificando.</w:t>
      </w:r>
    </w:p>
    <w:p>
      <w:pPr>
        <w:spacing w:after="140" w:line="276"/>
      </w:pPr>
      <w:r>
        <w:t xml:space="preserve">Este Ke base es el de una empresa </w:t>
      </w:r>
      <w:r>
        <w:rPr>
          <w:b/>
          <w:bCs/>
        </w:rPr>
        <w:t xml:space="preserve">comparable de un mercado desarrollado</w:t>
      </w:r>
      <w:r>
        <w:t xml:space="preserve"> (típicamente EE.UU.). Es el piso conceptual: todavía no incorpora el riesgo de operar en un país emergente ni el de ser una empresa chica y cerrada. Eso se suma en los ítems siguientes.</w:t>
      </w:r>
    </w:p>
    <w:p>
      <w:pPr>
        <w:pStyle w:val="Heading2"/>
        <w:spacing w:after="100" w:before="220"/>
      </w:pPr>
      <w:r>
        <w:t xml:space="preserve">De dónde sale cada número</w:t>
      </w:r>
    </w:p>
    <w:p>
      <w:pPr>
        <w:spacing w:after="140" w:line="276"/>
      </w:pPr>
      <w:r>
        <w:t xml:space="preserve">La </w:t>
      </w:r>
      <w:r>
        <w:rPr>
          <w:b/>
          <w:bCs/>
        </w:rPr>
        <w:t xml:space="preserve">Rf</w:t>
      </w:r>
      <w:r>
        <w:t xml:space="preserve"> se toma del bono del Tesoro de EE.UU. a 10 años, porque es el activo más cercano a "sin riesgo" del mundo. La </w:t>
      </w:r>
      <w:r>
        <w:rPr>
          <w:b/>
          <w:bCs/>
        </w:rPr>
        <w:t xml:space="preserve">ERP</w:t>
      </w:r>
      <w:r>
        <w:t xml:space="preserve"> se estima histórica o implícita (Damodaran publica ambas); ronda 4,5%–6% para mercados maduros. La </w:t>
      </w:r>
      <w:r>
        <w:rPr>
          <w:b/>
          <w:bCs/>
        </w:rPr>
        <w:t xml:space="preserve">beta</w:t>
      </w:r>
      <w:r>
        <w:t xml:space="preserve"> se obtiene del sector (Damodaran publica betas desapalancadas por industria) y se reapalanca con la estructura de la empresa.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este Ke base alimenta el </w:t>
      </w:r>
      <w:r>
        <w:rPr>
          <w:b/>
          <w:bCs/>
        </w:rPr>
        <w:t xml:space="preserve">WACC</w:t>
      </w:r>
      <w:r>
        <w:t xml:space="preserve"> (ítem 3) y, vía el WACC, toda la valuación por DCF de la Semana 12. Un error de un punto en la beta o la ERP se propaga a todo el valor.</w:t>
      </w:r>
    </w:p>
    <w:p>
      <w:pPr>
        <w:pStyle w:val="Heading2"/>
        <w:spacing w:after="100" w:before="220"/>
      </w:pPr>
      <w:r>
        <w:t xml:space="preserve">Errores frecuentes del CEO</w:t>
      </w:r>
    </w:p>
    <w:p>
      <w:pPr>
        <w:spacing w:after="140" w:line="276"/>
      </w:pPr>
      <w:r>
        <w:t xml:space="preserve">Tomar la beta de una sola empresa "parecida" en vez del promedio del sector. Usar una ERP de memoria sin chequear la fuente. Y el más caro: creer que este número ya es el costo del capital de tu PyME argentina, cuando en realidad es apenas el cimiento.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libre de riesgo (EE.UU.)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0.043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Prima por riesgo de mercado (ERP)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0.055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Beta del sector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0.85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Prima de mercado (β × ERP)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beta*erp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Ke base (mercado desarrollado)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rf+beta*erp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2026-06-24T11:39:18.033Z</dcterms:created>
  <dcterms:modified xsi:type="dcterms:W3CDTF">2026-06-24T11:39:18.033Z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