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9</w:t>
      </w:r>
    </w:p>
    <w:p>
      <w:pPr>
        <w:pStyle w:val="Title"/>
        <w:spacing w:after="40"/>
      </w:pPr>
      <w:r>
        <w:t xml:space="preserve">Ítem 5. Del WACC a la decisión: ROIC vs WACC</w:t>
      </w:r>
    </w:p>
    <w:p>
      <w:pPr>
        <w:spacing w:after="40"/>
      </w:pPr>
      <w:r>
        <w:rPr>
          <w:i/>
          <w:iCs/>
          <w:color w:val="555555"/>
          <w:sz w:val="22"/>
          <w:szCs w:val="22"/>
        </w:rPr>
        <w:t xml:space="preserve">El spread de valor y cuánto cuesta equivocarse en la tasa</w:t>
      </w:r>
    </w:p>
    <w:p>
      <w:pPr>
        <w:spacing w:after="160"/>
      </w:pPr>
      <w:r>
        <w:rPr>
          <w:b/>
          <w:bCs/>
          <w:color w:val="94741F"/>
          <w:sz w:val="18"/>
          <w:szCs w:val="18"/>
        </w:rPr>
        <w:t xml:space="preserve">Marco: McKinsey KVD · value-driver-interrelations</w:t>
      </w:r>
    </w:p>
    <w:p>
      <w:pPr>
        <w:pStyle w:val="Heading2"/>
        <w:spacing w:after="100" w:before="220"/>
      </w:pPr>
      <w:r>
        <w:t xml:space="preserve">El WACC no es un número de planilla: es una decisión</w:t>
      </w:r>
    </w:p>
    <w:p>
      <w:pPr>
        <w:spacing w:after="140" w:line="276"/>
      </w:pPr>
      <w:r>
        <w:t xml:space="preserve">Todo el trabajo de estimar Rf, beta, riesgo país y tamaño tiene un único propósito: obtener la </w:t>
      </w:r>
      <w:r>
        <w:rPr>
          <w:b/>
          <w:bCs/>
        </w:rPr>
        <w:t xml:space="preserve">vara</w:t>
      </w:r>
      <w:r>
        <w:t xml:space="preserve"> que el negocio debe superar. Si el </w:t>
      </w:r>
      <w:r>
        <w:rPr>
          <w:b/>
          <w:bCs/>
        </w:rPr>
        <w:t xml:space="preserve">ROIC</w:t>
      </w:r>
      <w:r>
        <w:t xml:space="preserve"> (lo que rinde el capital) supera al </w:t>
      </w:r>
      <w:r>
        <w:rPr>
          <w:b/>
          <w:bCs/>
        </w:rPr>
        <w:t xml:space="preserve">WACC</w:t>
      </w:r>
      <w:r>
        <w:t xml:space="preserve"> (lo que cuesta), la empresa </w:t>
      </w:r>
      <w:r>
        <w:rPr>
          <w:b/>
          <w:bCs/>
        </w:rPr>
        <w:t xml:space="preserve">crea valor</w:t>
      </w:r>
      <w:r>
        <w:t xml:space="preserve">; si no, lo </w:t>
      </w:r>
      <w:r>
        <w:rPr>
          <w:b/>
          <w:bCs/>
        </w:rPr>
        <w:t xml:space="preserve">destruye</w:t>
      </w:r>
      <w:r>
        <w:t xml:space="preserve">, aunque tenga ganancia contable.</w:t>
      </w:r>
    </w:p>
    <w:p>
      <w:pPr>
        <w:spacing w:after="140" w:line="276"/>
      </w:pPr>
      <w:r>
        <w:t xml:space="preserve">El </w:t>
      </w:r>
      <w:r>
        <w:rPr>
          <w:b/>
          <w:bCs/>
        </w:rPr>
        <w:t xml:space="preserve">spread ROIC − WACC</w:t>
      </w:r>
      <w:r>
        <w:t xml:space="preserve"> es, según McKinsey, el corazón del </w:t>
      </w:r>
      <w:r>
        <w:rPr>
          <w:i/>
          <w:iCs/>
        </w:rPr>
        <w:t xml:space="preserve">key value driver</w:t>
      </w:r>
      <w:r>
        <w:t xml:space="preserve">: el valor crece con el spread y con el crecimiento rentable, y se hunde cuando el spread es negativo. Es el puente entre el costo del capital (esta semana) y la creación de valor (Semanas 3, 4 y 12).</w:t>
      </w:r>
    </w:p>
    <w:p>
      <w:pPr>
        <w:pStyle w:val="Heading2"/>
        <w:spacing w:after="100" w:before="220"/>
      </w:pPr>
      <w:r>
        <w:t xml:space="preserve">La sensibilidad: por qué un punto importa tanto</w:t>
      </w:r>
    </w:p>
    <w:p>
      <w:pPr>
        <w:spacing w:after="140" w:line="276"/>
      </w:pPr>
      <w:r>
        <w:t xml:space="preserve">En la valuación por perpetuidad de Gordon, Valor = FCFF·(1+g)/(WACC−g). Cuando el WACC y el crecimiento g están cerca, el denominador se achica y el valor se </w:t>
      </w:r>
      <w:r>
        <w:rPr>
          <w:b/>
          <w:bCs/>
        </w:rPr>
        <w:t xml:space="preserve">dispara o se derrumba</w:t>
      </w:r>
      <w:r>
        <w:t xml:space="preserve"> con cambios mínimos de la tasa. Por eso un error de un punto en el WACC —muy fácil de cometer con el riesgo país— puede cambiar la valuación en decenas de por ciento.</w:t>
      </w:r>
    </w:p>
    <w:p>
      <w:pPr>
        <w:spacing w:after="140" w:line="276"/>
      </w:pPr>
      <w:r>
        <w:t xml:space="preserve">En mercados emergentes, donde el riesgo país agrega volatilidad a la tasa, esta sensibilidad es la principal fuente de error de una valuación. Moverla en el simulador es la mejor forma de internalizar el riesgo.</w:t>
      </w:r>
    </w:p>
    <w:p>
      <w:pPr>
        <w:pStyle w:val="Heading2"/>
        <w:spacing w:after="100" w:before="220"/>
      </w:pPr>
      <w:r>
        <w:t xml:space="preserve">Qué decisiones habilita</w:t>
      </w:r>
    </w:p>
    <w:p>
      <w:pPr>
        <w:spacing w:after="140" w:line="276"/>
      </w:pPr>
      <w:r>
        <w:t xml:space="preserve">Define el </w:t>
      </w:r>
      <w:r>
        <w:rPr>
          <w:b/>
          <w:bCs/>
        </w:rPr>
        <w:t xml:space="preserve">piso de rentabilidad</w:t>
      </w:r>
      <w:r>
        <w:t xml:space="preserve"> de cualquier proyecto o inversión (CAPEX). Orienta la </w:t>
      </w:r>
      <w:r>
        <w:rPr>
          <w:b/>
          <w:bCs/>
        </w:rPr>
        <w:t xml:space="preserve">política de dividendos</w:t>
      </w:r>
      <w:r>
        <w:t xml:space="preserve"> (reinvertir solo si el RONIC supera al WACC, Semana 8). Y fija la </w:t>
      </w:r>
      <w:r>
        <w:rPr>
          <w:b/>
          <w:bCs/>
        </w:rPr>
        <w:t xml:space="preserve">tasa de descuento</w:t>
      </w:r>
      <w:r>
        <w:t xml:space="preserve"> de la valuación integral de la Semana 12. Sin un WACC bien estimado, ninguna de estas decisiones es confiable.</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ROIC (rinde el capital)</w:t>
            </w:r>
          </w:p>
        </w:tc>
        <w:tc>
          <w:p>
            <w:pPr>
              <w:jc w:val="right"/>
            </w:pPr>
            <w:r>
              <w:rPr>
                <w:sz w:val="18"/>
                <w:szCs w:val="18"/>
              </w:rPr>
              <w:t xml:space="preserve">0.1</w:t>
            </w:r>
          </w:p>
        </w:tc>
      </w:tr>
      <w:tr>
        <w:tc>
          <w:p>
            <w:pPr>
              <w:jc w:val="left"/>
            </w:pPr>
            <w:r>
              <w:rPr>
                <w:sz w:val="18"/>
                <w:szCs w:val="18"/>
              </w:rPr>
              <w:t xml:space="preserve">WACC (cuesta el capital)</w:t>
            </w:r>
          </w:p>
        </w:tc>
        <w:tc>
          <w:p>
            <w:pPr>
              <w:jc w:val="right"/>
            </w:pPr>
            <w:r>
              <w:rPr>
                <w:sz w:val="18"/>
                <w:szCs w:val="18"/>
              </w:rPr>
              <w:t xml:space="preserve">0.21</w:t>
            </w:r>
          </w:p>
        </w:tc>
      </w:tr>
      <w:tr>
        <w:tc>
          <w:p>
            <w:pPr>
              <w:jc w:val="left"/>
            </w:pPr>
            <w:r>
              <w:rPr>
                <w:sz w:val="18"/>
                <w:szCs w:val="18"/>
              </w:rPr>
              <w:t xml:space="preserve">FCFF anual</w:t>
            </w:r>
          </w:p>
        </w:tc>
        <w:tc>
          <w:p>
            <w:pPr>
              <w:jc w:val="right"/>
            </w:pPr>
            <w:r>
              <w:rPr>
                <w:sz w:val="18"/>
                <w:szCs w:val="18"/>
              </w:rPr>
              <w:t xml:space="preserve">305</w:t>
            </w:r>
          </w:p>
        </w:tc>
      </w:tr>
      <w:tr>
        <w:tc>
          <w:p>
            <w:pPr>
              <w:jc w:val="left"/>
            </w:pPr>
            <w:r>
              <w:rPr>
                <w:sz w:val="18"/>
                <w:szCs w:val="18"/>
              </w:rPr>
              <w:t xml:space="preserve">Crecimiento perpetuo (g)</w:t>
            </w:r>
          </w:p>
        </w:tc>
        <w:tc>
          <w:p>
            <w:pPr>
              <w:jc w:val="right"/>
            </w:pPr>
            <w:r>
              <w:rPr>
                <w:sz w:val="18"/>
                <w:szCs w:val="18"/>
              </w:rPr>
              <w:t xml:space="preserve">0.03</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Spread (ROIC − WACC)</w:t>
            </w:r>
          </w:p>
        </w:tc>
        <w:tc>
          <w:p>
            <w:pPr>
              <w:jc w:val="right"/>
            </w:pPr>
            <w:r>
              <w:rPr>
                <w:sz w:val="18"/>
                <w:szCs w:val="18"/>
              </w:rPr>
              <w:t xml:space="preserve">roic-wacc</w:t>
            </w:r>
          </w:p>
        </w:tc>
      </w:tr>
      <w:tr>
        <w:tc>
          <w:p>
            <w:pPr>
              <w:jc w:val="left"/>
            </w:pPr>
            <w:r>
              <w:rPr>
                <w:sz w:val="18"/>
                <w:szCs w:val="18"/>
              </w:rPr>
              <w:t xml:space="preserve">Valor (perpetuidad de Gordon)</w:t>
            </w:r>
          </w:p>
        </w:tc>
        <w:tc>
          <w:p>
            <w:pPr>
              <w:jc w:val="right"/>
            </w:pPr>
            <w:r>
              <w:rPr>
                <w:sz w:val="18"/>
                <w:szCs w:val="18"/>
              </w:rPr>
              <w:t xml:space="preserve">IF(wacc&gt;g,fcff*(1+g)/(wacc-g),NA())</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2026-06-24T11:39:18.139Z</dcterms:created>
  <dcterms:modified xsi:type="dcterms:W3CDTF">2026-06-24T11:39:18.139Z</dcterms:modified>
</cp:coreProperties>
</file>

<file path=docProps/custom.xml><?xml version="1.0" encoding="utf-8"?>
<Properties xmlns="http://schemas.openxmlformats.org/officeDocument/2006/custom-properties" xmlns:vt="http://schemas.openxmlformats.org/officeDocument/2006/docPropsVTypes"/>
</file>