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Default Extension="png" ContentType="image/png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E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DOCUMENTAÇÃO DE SOFTWARE</w:t>
      </w:r>
    </w:p>
    <w:p w:rsidR="00000000" w:rsidDel="00000000" w:rsidP="00000000" w:rsidRDefault="00000000" w:rsidRPr="00000000" ns1:paraId="00000011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Habituar</w:t>
      </w:r>
    </w:p>
    <w:p w:rsidR="00000000" w:rsidDel="00000000" w:rsidP="00000000" w:rsidRDefault="00000000" w:rsidRPr="00000000" ns1:paraId="0000001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Equipe de desenvolvimento do projeto:</w:t>
      </w:r>
    </w:p>
    <w:tbl>
      <w:tblPr>
        <w:tblStyle w:val="Table1"/>
        <w:tblW w:w="10305.0" w:type="dxa"/>
        <w:jc w:val="left"/>
        <w:tblInd w:w="-53.0" w:type="dxa"/>
        <w:tblBorders>
          <w:top w:color="000001" w:space="0" w:sz="4" w:val="single"/>
          <w:left w:color="000001" w:space="0" w:sz="4" w:val="single"/>
          <w:bottom w:color="000001" w:space="0" w:sz="4" w:val="single"/>
          <w:insideH w:color="000001" w:space="0" w:sz="4" w:val="single"/>
        </w:tblBorders>
        <w:tblLayout w:type="fixed"/>
        <w:tblLook w:val="0400"/>
      </w:tblPr>
      <w:tblGrid>
        <w:gridCol w:w="5152.5"/>
        <w:gridCol w:w="5152.5"/>
        <w:tblGridChange w:id="0">
          <w:tblGrid>
            <w:gridCol w:w="5152.5"/>
            <w:gridCol w:w="5152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cccccc" w:val="clear"/>
          </w:tcPr>
          <w:p w:rsidR="00000000" w:rsidDel="00000000" w:rsidP="00000000" w:rsidRDefault="00000000" w:rsidRPr="00000000" ns1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</w:rPr>
              <w:t>Nome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cccccc" w:val="clear"/>
          </w:tcPr>
          <w:p w:rsidR="00000000" w:rsidDel="00000000" w:rsidP="00000000" w:rsidRDefault="00000000" w:rsidRPr="00000000" ns1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</w:rPr>
              <w:t>Função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Análise, desenvolvimento, testes e documentação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Introdução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Habituar é uma plataforma web e mobile de apoio à organização de estudantes com dificuldades de aprendizagem e ao trabalho dos profissionais que os acompanham. O sistema oferece uma base única para estruturar rotina, tarefas, agenda e acompanhamento, reduzindo a dependência de planilhas, papel e registros dispersos.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contexto inicial é uma instituição de ensino que acompanha estudantes com TDAH, autismo e deficiências. A principal dificuldade observada é organizacional: planejar estudos, acompanhar entregas e avaliações e manter uma visão contínua do acompanhamento realizado.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A solução é preparada para atender múltiplas instituições com isolamento de dados. Os principais usuários são aluno, profissional, monitor e administrador geral. O administrador geral atua no provisionamento da plataforma e não recebe acesso implícito aos dados sensíveis das instituições.</w:t>
      </w:r>
    </w:p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Requisitos Funcionais (RFs)</w:t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A plataforma deve disponibilizar uma consulta de disponibilidade e versão para web e mobile.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RF0001 – Consultar estado do serviço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Baixa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A pessoa deve poder criar uma conta com nome, e-mail e senha válidos.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RF0002 – Cadastrar usuário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O sistema deve autenticar web por cookie seguro e mobile por credencial Bearer armazenada com proteção nativa.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RF0003 – Autenticar usuário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Após autenticar, o sistema deve identificar usuário, instituições disponíveis, papel e ambiente de destino.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RF0004 – Resolver contexto de acesso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O usuário deve poder revogar a sessão corrente e remover a credencial do cliente.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RF0005 – Encerrar sessão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A interface deve encaminhar aluno, profissional e monitor ao ambiente correspondente.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RF0006 – Direcionar por perfil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Em desenvolvimento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Próxima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A instituição deve controlar papéis, permissões e alcances de acesso sem permitir escalonamento indevido.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RF0007 – Gerenciar papéis e permissões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 no servidor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O sistema deve relacionar profissionais ou monitores aos estudantes que acompanham.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RF0008 – Vincular acompanhamento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 no servidor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Profissionais autorizados devem registrar dados, observações e histórico do estudante.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RF0009 – Manter ficha do estudante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O aluno deve montar a grade semanal, receber tarefas e acompanhar entregas e avaliações.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RF0010 – Organizar rotina e tarefas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Profissionais devem agendar consultas e o aluno deve visualizá-las em sua agenda.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RF0011 – Agendar atendimentos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Usuários autorizados devem definir métricas e registrar valores por estudante ou grupo.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RF0012 – Registrar métricas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Profissionais devem gerar relatórios consolidados para apoiar o acompanhamento pedagógico.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RF0013 – Emitir relatórios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O administrador geral deve criar e manter instituições sem acesso implícito aos dados sensíveis delas.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RF0014 – Provisionar instituições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Parcial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0">
            <w:pPr>
              <w:rPr/>
            </w:pPr>
            <w:r>
              <w:t>A pessoa deve poder solicitar a redefinição da própria senha a partir da tela de entrada.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1">
            <w:pPr>
              <w:rPr/>
            </w:pPr>
            <w:r>
              <w:rPr>
                <w:b w:val="1"/>
                <w:bCs w:val="1"/>
              </w:rPr>
              <w:t>RF0015 – Recuperar senha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2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3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4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5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6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7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8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9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Requisitos Não-Funcionais (RNFs)</w:t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As interfaces devem atender WCAG 2.2 AA e regras cognitivas adequadas ao público.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RNF0001 – Acessibilidade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Em aplicação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Dados pessoais e sensíveis devem ser tratados conforme a LGPD e o princípio do menor acesso.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RNF0002 – Privacidade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Em aplicação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Uma instituição não pode ler ou alterar dados pertencentes a outra instituição.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RNF0003 – Isolamento institucional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Credenciais devem ser opacas, armazenadas somente como hash no servidor e revogáveis.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RNF0004 – Segurança de sessão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Toda rota nasce protegida e todo acesso deve passar pelo catálogo fechado de permissões.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RNF0005 – Autorização restritiva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Requisições e erros devem carregar identificador de correlação sem expor cookies ou autorizações em logs.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RNF0006 – Rastreabilidade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As funções devem estar disponíveis em navegador e aplicativo mobile, preservando o mesmo contrato de dados.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RNF0007 – Portabilidade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API e clientes devem compartilhar schemas tipados e validar entradas e saídas.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RNF0008 – Integridade contratual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Lint, tipos, testes, contraste e fronteiras arquiteturais devem ser verificados continuamente.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RNF0009 – Qualidade automatizada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Rotina e tarefas do aluno devem continuar utilizáveis sem conexão, com sincronização posterior.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RNF0010 – Operação offline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Escritas e leituras sensíveis devem produzir trilha de auditoria vinculada ao ator e à instituição.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RNF0011 – Auditoria sensível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Diagrama(s) de Casos de Uso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diagrama apresenta as interações centrais previstas para cada perfil. As funções ainda não disponíveis permanecem documentadas como escopo funcional do produto.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ns2:inline distT="0" distB="0" distL="0" distR="0">
            <ns2:extent cx="5950000" cy="3421250"/>
            <ns2:effectExtent l="0" t="0" r="0" b="0"/>
            <ns2:docPr id="101" name="casos-de-uso.png" descr="" title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101" name="casos-de-uso.png" descr="" title=""/>
                    <ns4:cNvPicPr>
                      <ns3:picLocks noChangeAspect="1" noChangeArrowheads="1"/>
                    </ns4:cNvPicPr>
                  </ns4:nvPicPr>
                  <ns4:blipFill>
                    <ns3:blip ns5:embed="rId8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950000" cy="342125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Modelo do Banco de Dados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modelo abaixo representa as entidades atualmente implementadas. Usuários e sessões são globais; vínculos, papéis, permissões, estudantes, responsáveis e atribuições preservam o contexto institucional. O banco aplica isolamento por linha para impedir acesso entre instituições.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ns2:inline distT="0" distB="0" distL="0" distR="0">
            <ns2:extent cx="5950000" cy="3801389"/>
            <ns2:effectExtent l="0" t="0" r="0" b="0"/>
            <ns2:docPr id="102" name="modelo-banco.png" descr="" title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102" name="modelo-banco.png" descr="" title=""/>
                    <ns4:cNvPicPr>
                      <ns3:picLocks noChangeAspect="1" noChangeArrowheads="1"/>
                    </ns4:cNvPicPr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950000" cy="3801389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Entidades previstas para evolução do produto incluem fichas, observações, rotina, tarefas, consultas, métricas, grupos e relatórios. Elas ainda não fazem parte do modelo físico apresentado.</w:t>
      </w:r>
    </w:p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Tecnologias utilizadas</w:t>
      </w:r>
    </w:p>
    <w:tbl>
      <w:tblPr>
        <w:tblStyle w:val="Table1"/>
        <w:tblW w:w="10305.0" w:type="dxa"/>
        <w:jc w:val="left"/>
        <w:tblInd w:w="-53.0" w:type="dxa"/>
        <w:tblBorders>
          <w:top w:color="000001" w:space="0" w:sz="4" w:val="single"/>
          <w:left w:color="000001" w:space="0" w:sz="4" w:val="single"/>
          <w:bottom w:color="000001" w:space="0" w:sz="4" w:val="single"/>
          <w:insideH w:color="000001" w:space="0" w:sz="4" w:val="single"/>
        </w:tblBorders>
        <w:tblLayout w:type="fixed"/>
        <w:tblLook w:val="0400"/>
      </w:tblPr>
      <w:tblGrid>
        <w:gridCol w:w="5152.5"/>
        <w:gridCol w:w="5152.5"/>
        <w:tblGridChange w:id="0">
          <w:tblGrid>
            <w:gridCol w:w="5152.5"/>
            <w:gridCol w:w="5152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cccccc" w:val="clear"/>
          </w:tcPr>
          <w:p w:rsidR="00000000" w:rsidDel="00000000" w:rsidP="00000000" w:rsidRDefault="00000000" w:rsidRPr="00000000" ns1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</w:rPr>
              <w:t>Área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cccccc" w:val="clear"/>
          </w:tcPr>
          <w:p w:rsidR="00000000" w:rsidDel="00000000" w:rsidP="00000000" w:rsidRDefault="00000000" w:rsidRPr="00000000" ns1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</w:rPr>
              <w:t>Tecnologias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Linguagem e execução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TypeScript 6, Node.js 22 e pnpm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Monorepo e automação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Turborepo, ESLint e Conventional Commits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API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NestJS 12, Express, oRPC e Zod 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Persistência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PostgreSQL 18 e Drizzle ORM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Aplicação web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React, Vite, Tailwind CSS e TanStack Router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Aplicação mobile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Expo, React Native e Expo Router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Cliente compartilhado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TanStack Query e cliente oRPC tipado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Segurança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Argon2, sessões opacas, RLS e permissões tipadas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Observabilidade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Pino, logs estruturados e identificador de correlação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Testes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Vitest, Jest, Testing Library, axe-core e Testcontainers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Infraestrutura local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Docker Compose com PostgreSQL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Arquitetura do Software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Habituar utiliza um monorepo com aplicações web, mobile e API, além de pacotes compartilhados. Web e mobile compartilham contratos, estados de dados e tokens visuais, mas mantêm interfaces próprias para respeitar as características de cada plataforma.</w:t>
      </w:r>
    </w:p>
    <w:tbl>
      <w:tblPr>
        <w:tblStyle w:val="Table1"/>
        <w:tblW w:w="10305.0" w:type="dxa"/>
        <w:jc w:val="left"/>
        <w:tblInd w:w="-53.0" w:type="dxa"/>
        <w:tblBorders>
          <w:top w:color="000001" w:space="0" w:sz="4" w:val="single"/>
          <w:left w:color="000001" w:space="0" w:sz="4" w:val="single"/>
          <w:bottom w:color="000001" w:space="0" w:sz="4" w:val="single"/>
          <w:insideH w:color="000001" w:space="0" w:sz="4" w:val="single"/>
        </w:tblBorders>
        <w:tblLayout w:type="fixed"/>
        <w:tblLook w:val="0400"/>
      </w:tblPr>
      <w:tblGrid>
        <w:gridCol w:w="5152.5"/>
        <w:gridCol w:w="5152.5"/>
        <w:tblGridChange w:id="0">
          <w:tblGrid>
            <w:gridCol w:w="5152.5"/>
            <w:gridCol w:w="5152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cccccc" w:val="clear"/>
          </w:tcPr>
          <w:p w:rsidR="00000000" w:rsidDel="00000000" w:rsidP="00000000" w:rsidRDefault="00000000" w:rsidRPr="00000000" ns1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</w:rPr>
              <w:t>Camada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cccccc" w:val="clear"/>
          </w:tcPr>
          <w:p w:rsidR="00000000" w:rsidDel="00000000" w:rsidP="00000000" w:rsidRDefault="00000000" w:rsidRPr="00000000" ns1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</w:rPr>
              <w:t>Responsabilidade e comunicação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Aplicações web e mobile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Interfaces próprias que consomem o mesmo cliente tipado.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Cliente React compartilhado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Transporte, cache, estados e ações sem compartilhar interface.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Contratos e domínio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Schemas, tipos, falhas, permissões e contratos da API.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API NestJS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Autenticação, autorização, validação e coordenação das operações.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PostgreSQL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Persistência e isolamento reforçado entre instituições.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Fluxo principal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Web/Mobile → Cliente compartilhado → Contratos → API → Banco de dados.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A API valida entradas e saídas a partir de contratos compartilhados, nega acesso por padrão e executa operações de banco dentro do contexto de instituição, ator e sessão. O PostgreSQL reforça o isolamento institucional independentemente dos filtros da aplicação.</w:t>
      </w:r>
    </w:p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Backlog do produto</w:t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Backlog consolidado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Funcionalidade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Autenticação e sessões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Cadastro, login web/mobile, contexto e logout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Papéis, permissões e vínculos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 no servidor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Catálogo fechado e isolamento institucional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Interfaces de autenticação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Em desenvolvimento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Login, cadastro e direcionamento por perfil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Fichas e observações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Dados sensíveis, histórico e auditoria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Rotina, tarefas e foco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Organização semanal e funcionamento offline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Agenda e atendimentos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Consultas, anotações e notificações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Métricas e grupos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Indicadores configuráveis por instituição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Relatórios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Consolidação e exportação de acompanhamento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Conformidade e retenção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Consentimento, auditoria e descarte controlado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Sprint 1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quadro foi reconstruído a partir das entregas presentes no repositório. Datas, duração e responsáveis individuais não estão registrados e devem ser validados pela equipe.</w:t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Resultado — Sprint 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Entrega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Responsável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Base web, mobile e API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Concluída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Aplicações executáveis e contrato compartilhado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Acessibilidade inicial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Concluída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Tokens de contraste e testes estruturais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Sprint 2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quadro foi reconstruído a partir das entregas presentes no repositório. Datas, duração e responsáveis individuais não estão registrados e devem ser validados pela equipe.</w:t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Resultado — Sprint 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Entrega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Responsável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Banco e isolamento institucional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Concluída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PostgreSQL, transações contextualizadas e testes de isolamento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Segurança e observabilidade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Concluída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Negação padrão, falhas padronizadas e logs correlacionados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Sprint 3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quadro foi reconstruído a partir das entregas presentes no repositório. Datas, duração e responsáveis individuais não estão registrados e devem ser validados pela equipe.</w:t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Resultado — Sprint 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Entrega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Responsável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Identidade e autenticação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Concluída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Usuários, sessões, registro, login e logout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Papéis e permissões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Concluída no servidor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Vínculos, ambientes, permissões e atribuições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Interfaces de acesso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Em desenvolvimento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Telas de autenticação e direcionamento por perfil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Sprint final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quadro foi reconstruído a partir das entregas presentes no repositório. Datas, duração e responsáveis individuais não estão registrados e devem ser validados pela equipe.</w:t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Resultado — Sprint final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Entrega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Responsável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Validação funcional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Pendente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Revisão das jornadas completas com usuários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Documentação e registros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Em andamento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Consolidação do sistema e inclusão de evidências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Registros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Não foram encontrados no repositório registros fotográficos das atividades realizadas com o cliente. Esta seção deve receber somente imagens autorizadas, acompanhadas de data, local, contexto e identificação de consentimento quando houver pessoas reconhecíveis.</w:t>
      </w:r>
    </w:p>
    <w:sectPr>
      <w:headerReference ns5:id="rId6" w:type="default"/>
      <w:footerReference ns5:id="rId7" w:type="default"/>
      <w:pgSz w:h="16838" w:w="11906" w:orient="portrait"/>
      <w:pgMar w:bottom="1133.8582677165355" w:top="1133.8582677165355" w:left="850.3937007874016" w:right="850.3937007874016" w:header="709" w:footer="82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36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a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a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ns1="http://schemas.microsoft.com/office/word/2010/wordml" xmlns:w="http://schemas.openxmlformats.org/wordprocessingml/2006/main">
  <w:p w:rsidR="00000000" w:rsidDel="00000000" w:rsidP="00000000" w:rsidRDefault="00000000" w:rsidRPr="00000000" ns1:paraId="000000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10320.0" w:type="dxa"/>
      <w:jc w:val="left"/>
      <w:tblInd w:w="-53.0" w:type="dxa"/>
      <w:tblBorders>
        <w:top w:color="000001" w:space="0" w:sz="4" w:val="single"/>
        <w:left w:color="000001" w:space="0" w:sz="4" w:val="single"/>
        <w:bottom w:color="000001" w:space="0" w:sz="4" w:val="single"/>
        <w:insideH w:color="000001" w:space="0" w:sz="4" w:val="single"/>
      </w:tblBorders>
      <w:tblLayout w:type="fixed"/>
      <w:tblLook w:val="0400"/>
    </w:tblPr>
    <w:tblGrid>
      <w:gridCol w:w="5160"/>
      <w:gridCol w:w="5160"/>
      <w:tblGridChange w:id="0">
        <w:tblGrid>
          <w:gridCol w:w="5160"/>
          <w:gridCol w:w="5160"/>
        </w:tblGrid>
      </w:tblGridChange>
    </w:tblGrid>
    <w:tr>
      <w:trPr>
        <w:cantSplit w:val="0"/>
        <w:tblHeader w:val="0"/>
      </w:trPr>
      <w:tc>
        <w:tcPr>
          <w:tcBorders>
            <w:top w:color="000001" w:space="0" w:sz="4" w:val="single"/>
            <w:left w:color="000001" w:space="0" w:sz="4" w:val="single"/>
            <w:bottom w:color="000001" w:space="0" w:sz="4" w:val="single"/>
          </w:tcBorders>
          <w:shd w:fill="auto" w:val="clear"/>
        </w:tcPr>
        <w:p w:rsidR="00000000" w:rsidDel="00000000" w:rsidP="00000000" w:rsidRDefault="00000000" w:rsidRPr="00000000" ns1:paraId="0000008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/>
          </w:pPr>
          <w:r w:rsidDel="00000000" w:rsidR="00000000" w:rsidRPr="00000000">
            <w:rPr>
              <w:rtl w:val="0"/>
            </w:rPr>
            <w:t xml:space="preserve">Documentação de Software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1" w:space="0" w:sz="4" w:val="single"/>
            <w:left w:color="000001" w:space="0" w:sz="4" w:val="single"/>
            <w:bottom w:color="000001" w:space="0" w:sz="4" w:val="single"/>
            <w:right w:color="000001" w:space="0" w:sz="4" w:val="single"/>
          </w:tcBorders>
          <w:shd w:fill="auto" w:val="clear"/>
        </w:tcPr>
        <w:p w:rsidR="00000000" w:rsidDel="00000000" w:rsidP="00000000" w:rsidRDefault="00000000" w:rsidRPr="00000000" ns1:paraId="0000008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a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  <w:t xml:space="preserve">Habituar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ns1:paraId="0000008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a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00000a"/>
        <w:sz w:val="24"/>
        <w:szCs w:val="24"/>
        <w:lang w:val="pt-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ind w:left="432" w:hanging="43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ind w:left="576" w:hanging="576"/>
      <w:jc w:val="center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720" w:hanging="720"/>
    </w:pPr>
    <w:rPr>
      <w:rFonts w:ascii="Arial" w:cs="Arial" w:eastAsia="Arial" w:hAnsi="Arial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spacing w:after="120" w:before="240" w:lineRule="auto"/>
      <w:jc w:val="center"/>
    </w:pPr>
    <w:rPr>
      <w:rFonts w:ascii="Arial" w:cs="Arial" w:eastAsia="Arial" w:hAnsi="Arial"/>
      <w:b w:val="1"/>
      <w:bCs w:val="1"/>
      <w:i w:val="1"/>
      <w:i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3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3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3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3.0" w:type="dxa"/>
        <w:bottom w:w="55.0" w:type="dxa"/>
        <w:right w:w="55.0" w:type="dxa"/>
      </w:tblCellMar>
    </w:tbl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theme" Target="theme/theme1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numbering" Target="numbering.xml" /><Relationship Id="rId5" Type="http://schemas.openxmlformats.org/officeDocument/2006/relationships/styles" Target="styles.xml" /><Relationship Id="rId6" Type="http://schemas.openxmlformats.org/officeDocument/2006/relationships/header" Target="header1.xml" /><Relationship Id="rId7" Type="http://schemas.openxmlformats.org/officeDocument/2006/relationships/footer" Target="footer1.xml" /><Relationship Id="rId8" Type="http://schemas.openxmlformats.org/officeDocument/2006/relationships/image" Target="media/casos-de-uso.png" /><Relationship Id="rId9" Type="http://schemas.openxmlformats.org/officeDocument/2006/relationships/image" Target="media/modelo-banco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