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E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DOCUMENTAÇÃO DE SOFTWARE</w:t>
      </w:r>
    </w:p>
    <w:p w:rsidR="00000000" w:rsidDel="00000000" w:rsidP="00000000" w:rsidRDefault="00000000" w:rsidRPr="00000000" ns1:paraId="0000001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Habituar</w:t>
      </w:r>
    </w:p>
    <w:p w:rsidR="00000000" w:rsidDel="00000000" w:rsidP="00000000" w:rsidRDefault="00000000" w:rsidRPr="00000000" ns1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Equipe de desenvolvimento do projeto:</w:t>
      </w:r>
    </w:p>
    <w:tbl>
      <w:tblPr>
        <w:tblStyle w:val="Table1"/>
        <w:tblW w:w="10305.0" w:type="dxa"/>
        <w:jc w:val="left"/>
        <w:tblInd w:w="-53.0" w:type="dxa"/>
        <w:tblBorders>
          <w:top w:color="000001" w:space="0" w:sz="4" w:val="single"/>
          <w:left w:color="000001" w:space="0" w:sz="4" w:val="single"/>
          <w:bottom w:color="000001" w:space="0" w:sz="4" w:val="single"/>
          <w:insideH w:color="000001" w:space="0" w:sz="4" w:val="single"/>
        </w:tblBorders>
        <w:tblLayout w:type="fixed"/>
        <w:tblLook w:val="0400"/>
      </w:tblPr>
      <w:tblGrid>
        <w:gridCol w:w="5152.5"/>
        <w:gridCol w:w="5152.5"/>
        <w:tblGridChange w:id="0">
          <w:tblGrid>
            <w:gridCol w:w="5152.5"/>
            <w:gridCol w:w="5152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Nome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Função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Análise, desenvolvimento, testes e documentação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Introdução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Requisitos Funcionais (RFs)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 plataforma deve disponibilizar uma consulta de disponibilidade e versão para web e mobile.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RF0001 – Consultar estado do serviço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Baixa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 pessoa deve poder criar uma conta com nome, e-mail e senha válidos.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RF0002 – Cadastrar usuário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sistema deve autenticar web por cookie seguro e mobile por credencial Bearer armazenada com proteção nativa.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RF0003 – Autenticar usuário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Após autenticar, o sistema deve identificar usuário, instituições disponíveis, papel e ambiente de destino.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RF0004 – Resolver contexto de acesso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usuário deve poder revogar a sessão corrente e remover a credencial do cliente.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RF0005 – Encerrar sessão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 interface deve encaminhar aluno, profissional, monitor e administrador geral ao ambiente correspondente, mantendo profissional e monitor na mesma tela institucional.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RF0006 – Direcionar por perfil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Em desenvolvimento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Próxima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A instituição deve controlar papéis, permissões e alcances de acesso sem permitir escalonamento indevido.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RF0007 – Gerenciar papéis e permissões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 no servidor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sistema deve relacionar profissionais ou monitores aos estudantes que acompanham.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RF0008 – Vincular acompanhamento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 no servidor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Profissionais autorizados devem registrar dados, observações e histórico do estudante.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RF0009 – Manter ficha do estudante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aluno deve montar a grade semanal, receber tarefas e acompanhar entregas e avaliações.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RF0010 – Organizar rotina e tarefas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Profissionais devem agendar consultas e o aluno deve visualizá-las em sua agenda.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RF0011 – Agendar atendimentos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Usuários autorizados devem definir métricas e registrar valores por estudante ou grupo.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RF0012 – Registrar métricas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Profissionais devem gerar relatórios consolidados para apoiar o acompanhamento pedagógico.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RF0013 – Emitir relatórios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C">
            <w:pPr>
              <w:rPr/>
            </w:pPr>
            <w:r>
              <w:t>O administrador geral deve criar e manter instituições sem acesso implícito aos dados sensíveis delas.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RF0014 – Provisionar instituições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Parcial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0">
            <w:pPr>
              <w:rPr/>
            </w:pPr>
            <w:r>
              <w:t>A pessoa deve poder solicitar a redefinição da própria senha a partir da tela de entrada.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1">
            <w:pPr>
              <w:rPr/>
            </w:pPr>
            <w:r>
              <w:rPr>
                <w:b w:val="1"/>
                <w:bCs w:val="1"/>
              </w:rPr>
              <w:t>RF0015 – Recuperar senha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2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3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4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5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6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7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8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10009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Requisitos Não-Funcionais (RNFs)</w:t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As interfaces devem atender WCAG 2.2 AA e regras cognitivas adequadas ao público.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RNF0001 – Acessibilidade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Em aplicação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Dados pessoais e sensíveis devem ser tratados conforme a LGPD e o princípio do menor acesso.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RNF0002 – Privacidade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Em aplicação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Uma instituição não pode ler ou alterar dados pertencentes a outra instituição.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RNF0003 – Isolamento institucional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Credenciais devem ser opacas, armazenadas somente como hash no servidor e revogáveis.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RNF0004 – Segurança de sessão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Toda rota nasce protegida e todo acesso deve passar pelo catálogo fechado de permissões.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RNF0005 – Autorização restritiva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Requisições e erros devem carregar identificador de correlação sem expor cookies ou autorizações em logs.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RNF0006 – Rastreabilidade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As funções devem estar disponíveis em navegador e aplicativo mobile, preservando o mesmo contrato de dados.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RNF0007 – Portabilidade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API e clientes devem compartilhar schemas tipados e validar entradas e saídas.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RNF0008 – Integridade contratual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Lint, tipos, testes, contraste e fronteiras arquiteturais devem ser verificados continuamente.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RNF0009 – Qualidade automatizada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Atual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Rotina e tarefas do aluno devem continuar utilizáveis sem conexão, com sincronização posterior.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RNF0010 – Operação offline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tbl>
      <w:tblPr>
        <w:tblStyle w:val="Table3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4">
            <w:pPr>
              <w:rPr/>
            </w:pPr>
            <w:r>
              <w:t>Escritas e leituras sensíveis devem produzir trilha de auditoria vinculada ao ator e à instituição.</w:t>
            </w:r>
          </w:p>
        </w:tc>
      </w:t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0">
            <w:pPr>
              <w:rPr/>
            </w:pPr>
            <w:r>
              <w:rPr>
                <w:b w:val="1"/>
                <w:bCs w:val="1"/>
              </w:rPr>
              <w:t>RNF0011 – Auditoria sensível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B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C">
            <w:pPr>
              <w:rPr/>
            </w:pPr>
            <w:r>
              <w:rPr>
                <w:b w:val="1"/>
                <w:bCs w:val="1"/>
              </w:rPr>
              <w:t>Complexidade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D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E">
            <w:pPr>
              <w:rPr/>
            </w:pPr>
            <w:r>
              <w:rPr>
                <w:b w:val="1"/>
                <w:bCs w:val="1"/>
              </w:rPr>
              <w:t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4F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0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1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52">
            <w:pPr>
              <w:rPr/>
            </w:pPr>
            <w:r>
              <w:t>Futura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/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Diagrama(s) de Casos de Uso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ns2:inline distT="0" distB="0" distL="0" distR="0">
            <ns2:extent cx="5950000" cy="3421250"/>
            <ns2:effectExtent l="0" t="0" r="0" b="0"/>
            <ns2:docPr id="101" name="casos-de-uso.png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01" name="casos-de-uso.png" descr="" title=""/>
                    <ns4:cNvPicPr>
                      <ns3:picLocks noChangeAspect="1" noChangeArrowheads="1"/>
                    </ns4:cNvPicPr>
                  </ns4:nvPicPr>
                  <ns4:blipFill>
                    <ns3:blip ns5:embed="rId8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950000" cy="342125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Modelo do Banco de Dados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modelo abaixo representa as entidades atualmente implementadas. Usuários e sessões são globais; vínculos, papéis, permissões, estudantes, responsáveis e atribuições preservam o contexto institucional.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ns2:inline distT="0" distB="0" distL="0" distR="0">
            <ns2:extent cx="5950000" cy="3801389"/>
            <ns2:effectExtent l="0" t="0" r="0" b="0"/>
            <ns2:docPr id="102" name="modelo-banco.png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02" name="modelo-banco.png" descr="" title=""/>
                    <ns4:cNvPicPr>
                      <ns3:picLocks noChangeAspect="1" noChangeArrowheads="1"/>
                    </ns4:cNvPicPr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950000" cy="3801389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Entidades previstas para evolução do produto incluem fichas, observações, rotina, tarefas, consultas, métricas, grupos e relatórios. Elas ainda não fazem parte do modelo físico apresentado.</w:t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Tecnologias utilizadas</w:t>
      </w:r>
    </w:p>
    <w:tbl>
      <w:tblPr>
        <w:tblStyle w:val="Table1"/>
        <w:tblW w:w="10305.0" w:type="dxa"/>
        <w:jc w:val="left"/>
        <w:tblInd w:w="-53.0" w:type="dxa"/>
        <w:tblBorders>
          <w:top w:color="000001" w:space="0" w:sz="4" w:val="single"/>
          <w:left w:color="000001" w:space="0" w:sz="4" w:val="single"/>
          <w:bottom w:color="000001" w:space="0" w:sz="4" w:val="single"/>
          <w:insideH w:color="000001" w:space="0" w:sz="4" w:val="single"/>
        </w:tblBorders>
        <w:tblLayout w:type="fixed"/>
        <w:tblLook w:val="0400"/>
      </w:tblPr>
      <w:tblGrid>
        <w:gridCol w:w="5152.5"/>
        <w:gridCol w:w="5152.5"/>
        <w:tblGridChange w:id="0">
          <w:tblGrid>
            <w:gridCol w:w="5152.5"/>
            <w:gridCol w:w="5152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Área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Tecnologias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Linguagem e execução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TypeScript 6, Node.js 22 e pnpm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Monorepo e automação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Turborepo, ESLint e Conventional Commits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API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NestJS 12, Express, oRPC e Zod 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Persistência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PostgreSQL 18 e Drizzle ORM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Aplicação web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React, Vite, Tailwind CSS e TanStack Router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Aplicação mobile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Expo, React Native e Expo Router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Cliente compartilhado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TanStack Query e cliente oRPC tipado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Segurança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Argon2, sessões opacas, RLS e permissões tipadas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Observabilidade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Pino, logs estruturados e identificador de correlação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Testes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Vitest, Jest, Testing Library, axe-core e Testcontainers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Infraestrutura local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Docker Compose com PostgreSQL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Arquitetura do Software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.0" w:type="dxa"/>
        <w:jc w:val="left"/>
        <w:tblInd w:w="-53.0" w:type="dxa"/>
        <w:tblBorders>
          <w:top w:color="000001" w:space="0" w:sz="4" w:val="single"/>
          <w:left w:color="000001" w:space="0" w:sz="4" w:val="single"/>
          <w:bottom w:color="000001" w:space="0" w:sz="4" w:val="single"/>
          <w:insideH w:color="000001" w:space="0" w:sz="4" w:val="single"/>
        </w:tblBorders>
        <w:tblLayout w:type="fixed"/>
        <w:tblLook w:val="0400"/>
      </w:tblPr>
      <w:tblGrid>
        <w:gridCol w:w="5152.5"/>
        <w:gridCol w:w="5152.5"/>
        <w:tblGridChange w:id="0">
          <w:tblGrid>
            <w:gridCol w:w="5152.5"/>
            <w:gridCol w:w="5152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Camada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cccccc" w:val="clear"/>
          </w:tcPr>
          <w:p w:rsidR="00000000" w:rsidDel="00000000" w:rsidP="00000000" w:rsidRDefault="00000000" w:rsidRPr="00000000" ns1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</w:rPr>
              <w:t>Responsabilidade e comunicação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Aplicações web e mobile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Interfaces próprias que consomem o mesmo cliente tipado.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Cliente React compartilhado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Transporte, cache, estados e ações sem compartilhar interface.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Contratos e domínio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Schemas, tipos, falhas, permissões e contratos da API.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API NestJS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Autenticação, autorização, validação e coordenação das operações.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PostgreSQL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Persistência e isolamento reforçado entre instituições.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C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Fluxo principal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Web/Mobile → Cliente compartilhado → Contratos → API → Banco de dados.</w:t>
            </w:r>
          </w:p>
        </w:tc>
      </w:tr>
    </w:tbl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Backlog do produto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Backlog consolidado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Funcionalidade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Prioridade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Autenticação e sessões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Cadastro, login web/mobile, contexto e logout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Papéis, permissões e vínculos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Implementado no servidor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Catálogo fechado e isolamento institucional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Interfaces de autenticação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Em desenvolvimento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Login, cadastro e direcionamento por perfil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Fichas e observações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Dados sensíveis, histórico e auditoria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Rotina, tarefas e foco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Organização semanal e funcionamento offline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Agenda e atendimentos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Consultas, anotações e notificações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Métricas e grupos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Média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Indicadores configuráveis por instituição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Relatórios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Consolidação e exportação de acompanhamento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Conformidade e retenção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Alta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Previsto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Consentimento, auditoria e descarte controlado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Sprint 1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quadro foi reconstruído a partir das entregas presentes no repositório. Datas, duração e responsáveis individuais não estão registrados e devem ser validados pela equipe.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Resultado — Sprint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Entrega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Responsável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Base web, mobile e API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Aplicações executáveis e contrato compartilhado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Acessibilidade inicial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Tokens de contraste e testes estruturais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Sprint 2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quadro foi reconstruído a partir das entregas presentes no repositório. Datas, duração e responsáveis individuais não estão registrados e devem ser validados pela equipe.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Resultado — Sprint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Entrega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Responsável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Banco e isolamento institucional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PostgreSQL, transações contextualizadas e testes de isolamento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Segurança e observabilidade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Negação padrão, falhas padronizadas e logs correlacionados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Sprint 3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quadro foi reconstruído a partir das entregas presentes no repositório. Datas, duração e responsáveis individuais não estão registrados e devem ser validados pela equipe.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Resultado — Sprint 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Entrega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Responsável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Identidade e autenticação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Usuários, sessões, registro, login e logout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Papéis e permissões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Concluída no servidor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Vínculos, ambientes, permissões e atribuições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Interfaces de acesso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Em desenvolvimento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Telas de autenticação e direcionamento por perfil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Sprint final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O quadro foi reconstruído a partir das entregas presentes no repositório. Datas, duração e responsáveis individuais não estão registrados e devem ser validados pela equipe.</w:t>
      </w:r>
    </w:p>
    <w:tbl>
      <w:tblPr>
        <w:tblStyle w:val="Table2"/>
        <w:tblW w:w="10203.0" w:type="dxa"/>
        <w:jc w:val="left"/>
        <w:tblInd w:w="-53.0" w:type="dxa"/>
        <w:tblBorders>
          <w:top w:color="000001" w:space="0" w:sz="2" w:val="single"/>
          <w:left w:color="000001" w:space="0" w:sz="2" w:val="single"/>
          <w:bottom w:color="000001" w:space="0" w:sz="2" w:val="single"/>
          <w:right w:color="000001" w:space="0" w:sz="2" w:val="single"/>
          <w:insideH w:color="000001" w:space="0" w:sz="2" w:val="single"/>
          <w:insideV w:color="000001" w:space="0" w:sz="2" w:val="single"/>
        </w:tblBorders>
        <w:tblLayout w:type="fixed"/>
        <w:tblLook w:val="0400"/>
      </w:tblPr>
      <w:tblGrid>
        <w:gridCol w:w="2954"/>
        <w:gridCol w:w="2370"/>
        <w:gridCol w:w="2460"/>
        <w:gridCol w:w="2419"/>
        <w:tblGridChange w:id="0">
          <w:tblGrid>
            <w:gridCol w:w="2954"/>
            <w:gridCol w:w="2370"/>
            <w:gridCol w:w="2460"/>
            <w:gridCol w:w="2419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28">
            <w:pPr>
              <w:rPr/>
            </w:pPr>
            <w:r>
              <w:rPr>
                <w:b w:val="1"/>
                <w:bCs w:val="1"/>
              </w:rPr>
              <w:t>Resultado — Sprint final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3">
            <w:pPr>
              <w:rPr/>
            </w:pPr>
            <w:r>
              <w:rPr>
                <w:b w:val="1"/>
                <w:bCs w:val="1"/>
              </w:rPr>
              <w:t>Entrega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4">
            <w:pPr>
              <w:rPr/>
            </w:pPr>
            <w:r>
              <w:rPr>
                <w:b w:val="1"/>
                <w:bCs w:val="1"/>
              </w:rPr>
              <w:t>Responsável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5">
            <w:pPr>
              <w:rPr/>
            </w:pPr>
            <w:r>
              <w:rPr>
                <w:b w:val="1"/>
                <w:bCs w:val="1"/>
              </w:rPr>
              <w:t>Situação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6">
            <w:pPr>
              <w:rPr/>
            </w:pPr>
            <w:r>
              <w:rPr>
                <w:b w:val="1"/>
                <w:bCs w:val="1"/>
              </w:rPr>
              <w:t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Validação funcional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Pendente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Revisão das jornadas completas com usuários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7">
            <w:pPr>
              <w:rPr/>
            </w:pPr>
            <w:r>
              <w:t>Documentação e registros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8">
            <w:pPr>
              <w:rPr/>
            </w:pPr>
            <w:r>
              <w:t>Equipe Habituar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9">
            <w:pPr>
              <w:rPr/>
            </w:pPr>
            <w:r>
              <w:t>Em andamento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</w:tcPr>
          <w:p w:rsidR="00000000" w:rsidDel="00000000" w:rsidP="00000000" w:rsidRDefault="00000000" w:rsidRPr="00000000" ns1:paraId="0000003A">
            <w:pPr>
              <w:rPr/>
            </w:pPr>
            <w:r>
              <w:t>Consolidação do sistema e inclusão de evidências</w:t>
            </w:r>
          </w:p>
        </w:tc>
      </w:tr>
    </w:tbl>
    <w:p>
      <w:r>
        <w:br w:type="page"/>
      </w:r>
    </w:p>
    <w:p w:rsidR="00000000" w:rsidDel="00000000" w:rsidP="00000000" w:rsidRDefault="00000000" w:rsidRPr="00000000" ns1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sz w:val="28"/>
          <w:szCs w:val="28"/>
          <w:u w:val="none"/>
        </w:rPr>
      </w:pPr>
      <w:r>
        <w:rPr>
          <w:b w:val="1"/>
          <w:bCs w:val="1"/>
        </w:rPr>
        <w:t>Registros</w:t>
      </w:r>
    </w:p>
    <w:p w:rsidR="00000000" w:rsidDel="00000000" w:rsidP="00000000" w:rsidRDefault="00000000" w:rsidRPr="00000000" ns1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720"/>
        <w:jc w:val="both"/>
        <w:rPr/>
      </w:pPr>
      <w:r>
        <w:t>Não foram encontrados no repositório registros fotográficos das atividades realizadas com o cliente. Esta seção deve receber somente imagens autorizadas, acompanhadas de data, local, contexto e identificação de consentimento quando houver pessoas reconhecíveis.</w:t>
      </w:r>
    </w:p>
    <w:sectPr>
      <w:headerReference ns5:id="rId6" w:type="default"/>
      <w:footerReference ns5:id="rId7" w:type="default"/>
      <w:pgSz w:h="16838" w:w="11906" w:orient="portrait"/>
      <w:pgMar w:bottom="1133.8582677165355" w:top="1133.8582677165355" w:left="850.3937007874016" w:right="850.3937007874016" w:header="709" w:footer="82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36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a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a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ns1="http://schemas.microsoft.com/office/word/2010/wordml" xmlns:w="http://schemas.openxmlformats.org/wordprocessingml/2006/main">
  <w:p w:rsidR="00000000" w:rsidDel="00000000" w:rsidP="00000000" w:rsidRDefault="00000000" w:rsidRPr="00000000" ns1:paraId="000000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10320.0" w:type="dxa"/>
      <w:jc w:val="left"/>
      <w:tblInd w:w="-53.0" w:type="dxa"/>
      <w:tblBorders>
        <w:top w:color="000001" w:space="0" w:sz="4" w:val="single"/>
        <w:left w:color="000001" w:space="0" w:sz="4" w:val="single"/>
        <w:bottom w:color="000001" w:space="0" w:sz="4" w:val="single"/>
        <w:insideH w:color="000001" w:space="0" w:sz="4" w:val="single"/>
      </w:tblBorders>
      <w:tblLayout w:type="fixed"/>
      <w:tblLook w:val="0400"/>
    </w:tblPr>
    <w:tblGrid>
      <w:gridCol w:w="5160"/>
      <w:gridCol w:w="5160"/>
      <w:tblGridChange w:id="0">
        <w:tblGrid>
          <w:gridCol w:w="5160"/>
          <w:gridCol w:w="5160"/>
        </w:tblGrid>
      </w:tblGridChange>
    </w:tblGrid>
    <w:tr>
      <w:trPr>
        <w:cantSplit w:val="0"/>
        <w:tblHeader w:val="0"/>
      </w:trPr>
      <w:tc>
        <w:tcPr>
          <w:tcBorders>
            <w:top w:color="000001" w:space="0" w:sz="4" w:val="single"/>
            <w:left w:color="000001" w:space="0" w:sz="4" w:val="single"/>
            <w:bottom w:color="000001" w:space="0" w:sz="4" w:val="single"/>
          </w:tcBorders>
          <w:shd w:fill="auto" w:val="clear"/>
        </w:tcPr>
        <w:p w:rsidR="00000000" w:rsidDel="00000000" w:rsidP="00000000" w:rsidRDefault="00000000" w:rsidRPr="00000000" ns1:paraId="0000008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/>
          </w:pPr>
          <w:r w:rsidDel="00000000" w:rsidR="00000000" w:rsidRPr="00000000">
            <w:rPr>
              <w:rtl w:val="0"/>
            </w:rPr>
            <w:t xml:space="preserve">Documentação de Software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1" w:space="0" w:sz="4" w:val="single"/>
            <w:left w:color="000001" w:space="0" w:sz="4" w:val="single"/>
            <w:bottom w:color="000001" w:space="0" w:sz="4" w:val="single"/>
            <w:right w:color="000001" w:space="0" w:sz="4" w:val="single"/>
          </w:tcBorders>
          <w:shd w:fill="auto" w:val="clear"/>
        </w:tcPr>
        <w:p w:rsidR="00000000" w:rsidDel="00000000" w:rsidP="00000000" w:rsidRDefault="00000000" w:rsidRPr="00000000" ns1:paraId="0000008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a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Habituar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ns1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a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00000a"/>
        <w:sz w:val="24"/>
        <w:szCs w:val="24"/>
        <w:lang w:val="pt-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ind w:left="432" w:hanging="43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ind w:left="576" w:hanging="576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720" w:hanging="720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spacing w:after="120" w:before="240" w:lineRule="auto"/>
      <w:jc w:val="center"/>
    </w:pPr>
    <w:rPr>
      <w:rFonts w:ascii="Arial" w:cs="Arial" w:eastAsia="Arial" w:hAnsi="Arial"/>
      <w:b w:val="1"/>
      <w:bCs w:val="1"/>
      <w:i w:val="1"/>
      <w:i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3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3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3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3.0" w:type="dxa"/>
        <w:bottom w:w="55.0" w:type="dxa"/>
        <w:right w:w="5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asos-de-uso.png"/><Relationship Id="rId9" Type="http://schemas.openxmlformats.org/officeDocument/2006/relationships/image" Target="media/modelo-banc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