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DOCUMENTAÇÃO DE SOFTWARE</w:t>
      </w:r>
    </w:p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Habituar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Equipe de desenvolvimento do projeto:</w:t>
      </w:r>
    </w:p>
    <w:tbl>
      <w:tblPr>
        <w:tblStyle w:val="Table1"/>
        <w:tblW w:w="10305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152"/>
        <w:gridCol w:w="5152"/>
      </w:tblGrid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Função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Equipe Habituar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Análise, desenvolvimento, testes e documentação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Introdução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>Habituar é uma plataforma web e mobile de apoio à organização de estudantes com dificuldades de aprendizagem e ao trabalho dos profissionais que os acompanham. O sistema oferece uma base única para estruturar rotina, tarefas, agenda e acompanhamento, reduzindo a dependência de planilhas, papel e registros dispersos.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>O contexto inicial é uma instituição de ensino que acompanha estudantes com TDAH, autismo e deficiências. A principal dificuldade observada é organizacional: planejar estudos, acompanhar entregas e avaliações e manter uma visão contínua do acompanhamento realizado.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>A solução é preparada para atender múltiplas instituições com isolamento de dados. Os principais usuários são aluno, profissional, monitor e administrador geral. O administrador geral atua no provisionamento da plataforma e não recebe acesso implícito aos dados sensíveis das instituições.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Requisitos Funcionais (RFs)</w:t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 plataforma deve disponibilizar uma consulta de disponibilidade e versão para web e mobile.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RF0001 – Consultar estado do serviço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Baixa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 pessoa deve poder criar uma conta com nome, e-mail e senha válidos. O acesso a uma instituição depende de convite; quem tem conta sem vínculo vê o estado de espera.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RF0002 – Cadastrar usuário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O sistema deve autenticar web por cookie seguro e mobile por credencial Bearer armazenada com proteção nativa.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RF0003 – Autenticar usuário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Após autenticar, o sistema deve identificar usuário, instituições disponíveis, tipo de vínculo, papéis acumulados e permissões efetivas. Quando há mais de um vínculo, a pessoa pode trocar de instituição sem sair; o cliente lembra a última escolha.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RF0004 – Resolver contexto de acesso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O usuário deve poder revogar a sessão corrente e remover a credencial do cliente.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RF0005 – Encerrar sessão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 interface deve encaminhar aluno, profissional, monitor e administrador geral ao ambiente correspondente. Profissional e monitor usam o mesmo ambiente profissional, com destinos definidos pelas permissões atuais do vínculo; o endereço antigo do monitor leva a esse ambiente, e endereços digitados diretamente continuam protegidos. Quem perde o vínculo volta à escolha de instituição, a outro vínculo ou à espera por convite, sem dados da instituição anterior no dispositivo.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RF0006 – Direcionar por perfil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 instituição deve controlar papéis, permissões e alcances de acesso sem permitir escalonamento indevido. Cada vínculo tem um tipo (aluno, profissional ou monitor), pode receber vários papéis compatíveis e soma suas concessões. Os cinco papéis iniciais são Gestão da equipe, atendimento a vinculados, atendimento institucional, monitoramento e aluno. Na seção Gestão, na web e no mobile, quem pode consultar a equipe lista e busca profissionais e monitores, convida, reenvia e revoga convites, substitui o conjunto de papéis de um membro, remove vínculos com confirmação e cria papéis personalizados a partir de um modelo do sistema, escolhendo agrupamentos de permissões com nome e alcance. Ninguém concede o que não possui, modelos do sistema não mudam, a instituição não fica sem gestão completa da equipe e a mudança de um papel mostra antes o impacto sobre membros e convites. No mobile, a Gestão abre como uma lista de seções, cada uma em tela própria, e a confirmação de uma alteração bem-sucedida aparece como aviso passageiro, também anunciado ao leitor de tela; erros permanecem junto da ação que falhou. A trilha completa de auditoria dessas mudanças ainda está prevista.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RF0007 – Gerenciar papéis e permissões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O sistema deve relacionar profissionais ou monitores aos estudantes que acompanham. Quem gerencia acompanhamentos define, por estudante, as pessoas da equipe que o acompanham; só vínculos ativos de profissional ou monitor são aceitos, e remover alguém da instituição encerra os acompanhamentos dessa pessoa. Na web e no mobile, essa definição fica no detalhe do estudante, dentro da seção Gestão.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RF0008 – Vincular acompanhamento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Profissionais autorizados devem registrar dados, observações e histórico do estudante. Na seção Gestão, na web e no mobile, quem gerencia estudantes cadastra e edita os dados civis e os responsáveis, anexa o termo institucional assinado, em PDF ou imagem de até 2 MB, e arquiva o estudante. A ficha reúne turma, condições acompanhadas e necessidades de apoio; data de nascimento, nome social e responsáveis vêm do cadastro do estudante e aparecem na ficha para consulta. Cada gravação preserva a versão anterior, e observações não podem ser editadas nem apagadas. Na web e no aplicativo mobile, o profissional abre a ficha a partir da lista dos estudantes que acompanha, com busca por nome, e registra as consultas realizadas, com data, duração e anotação, que também não podem ser alteradas. A monitoria vê os estudantes que acompanha sem abrir a ficha, e estudante arquivado mantém a ficha apenas para consulta.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RF0009 – Manter ficha do estudante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O aluno deve montar a grade semanal, receber tarefas e acompanhar entregas e avaliações. A grade semanal já existe: a equipe que acompanha o aluno monta, na ficha, os blocos de cada dia (horário, título, tipo e observação), e o aluno e o responsável veem a semana na aba Rotina, com o dia de hoje em destaque. Tarefas, entregas, avaliações e o uso sem conexão ainda estão previstos.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RF0010 – Organizar rotina e tarefas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Em desenvolvimento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Profissionais devem agendar consultas e o aluno deve visualizá-las em sua agenda.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RF0011 – Agendar atendimentos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Futura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Usuários autorizados devem definir métricas e registrar valores por estudante ou grupo.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RF0012 – Registrar métricas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Futura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Profissionais devem gerar relatórios consolidados para apoiar o acompanhamento pedagógico.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RF0013 – Emitir relatórios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Futura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O administrador geral deve criar e manter instituições sem acesso implícito aos dados sensíveis delas. Na web, informa CPF ou CNPJ válido e contato, vê membros e papéis, convida pessoas, revoga convites e entrega um link que aparece uma vez. A pessoa aceita na web com conta nova ou existente; o convite expira em sete dias. Pela web, o administrador geral também configura equipe, convites e papéis da instituição com as mesmas regras, sem ganhar vínculo nem acesso a dados de alunos.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RF0014 – Provisionar instituições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 pessoa deve poder solicitar a redefinição da própria senha a partir da tela de entrada.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RF0015 – Recuperar senha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Futura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Requisitos Não-Funcionais (RNFs)</w:t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As interfaces devem atender WCAG 2.2 AA e regras cognitivas adequadas ao público.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RNF0001 – Acessibilidade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Em aplicação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Dados pessoais e sensíveis devem ser tratados conforme a LGPD e o princípio do menor acesso. O responsável confirma e revoga, pela web e pelo aplicativo, o consentimento que a instituição registrou para o estudante; o texto do termo exibido é um resumo provisório, pendente de revisão jurídica.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RNF0002 – Privacidade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Em aplicação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Uma instituição não pode ler ou alterar dados pertencentes a outra instituição.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RNF0003 – Isolamento institucional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Credenciais devem ser opacas, armazenadas somente como hash no servidor e revogáveis.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RNF0004 – Segurança de sessão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Toda rota nasce protegida e todo acesso deve passar pelo catálogo fechado de permissões.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RNF0005 – Autorização restritiva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Requisições e erros devem carregar identificador de correlação sem expor cookies ou autorizações em logs.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RNF0006 – Rastreabilidade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As funções devem estar disponíveis em navegador e aplicativo mobile, preservando o mesmo contrato de dados.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RNF0007 – Portabilidade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 e clientes devem compartilhar schemas tipados e validar entradas e saídas.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RNF0008 – Integridade contratual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Lint, tipos, testes, contraste e fronteiras arquiteturais devem ser verificados continuamente.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RNF0009 – Qualidade automatizada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Atual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Rotina e tarefas do aluno devem continuar utilizáveis sem conexão, com sincronização posterior.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RNF0010 – Operação offline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Futura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3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Escritas e leituras sensíveis devem produzir trilha de auditoria vinculada ao ator e à instituição.</w:t>
            </w:r>
          </w:p>
        </w:tc>
      </w:tr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RNF0011 – Auditoria sensível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Complexidade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Versão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Futura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Diagrama(s) de Casos de Uso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>O diagrama apresenta as interações centrais previstas para cada perfil. As funções ainda não disponíveis permanecem documentadas como escopo funcional do produto.</w:t>
      </w:r>
    </w:p>
    <w:p>
      <w:pPr>
        <w:pStyle w:val="BodyText"/>
        <w:bidi w:val="0"/>
        <w:spacing w:before="0" w:after="283"/>
        <w:jc w:val="center"/>
        <w:rPr/>
      </w:pPr>
      <w:r>
        <w:rPr/>
        <w:drawing>
          <wp:inline distT="0" distB="0" distL="0" distR="0">
            <wp:extent cx="5949950" cy="3421380"/>
            <wp:effectExtent l="0" t="0" r="0" b="0"/>
            <wp:docPr id="1" name="casos-de-uso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os-de-uso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Modelo do Banco de Dados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O modelo abaixo representa as entidades atualmente implementadas. Usuários e sessões são globais; vínculos, papéis, permissões, convites, estudantes, responsáveis e atribuições preservam o contexto institucional. Cada vínculo possui um tipo e recebe papéis por membership_roles; os papéis de sistema possuem template_key. Convites guardam somente o hash do token e seus papéis ficam em invitation_roles. Vínculos removidos recebem data e autor da remoção, sem apagar a conta nem a autoria de registros, e vínculos e papéis têm versão para recusar edição feita sobre dados desatualizados. O estudante pode ser cadastrado sem conta própria; seus responsáveis ficam em student_guardians, os consentimentos, com o termo assinado, em student_consents e cada acompanhamento liga um vínculo ativo de profissional ou monitor ao estudante. A ficha do estudante fica em student_profile_revisions, uma revisão por gravação, as observações em student_observations e as consultas realizadas em student_consultations; as três tabelas aceitam somente leitura e inserção, com autoria igual à pessoa autenticada. A grade semanal do aluno fica em routine_blocks, com versão para recusar edição feita sobre dados desatualizados. O banco aplica isolamento por linha para impedir acesso entre instituições.</w:t>
      </w:r>
    </w:p>
    <w:p>
      <w:pPr>
        <w:pStyle w:val="BodyText"/>
        <w:bidi w:val="0"/>
        <w:spacing w:before="0" w:after="283"/>
        <w:jc w:val="center"/>
        <w:rPr/>
      </w:pPr>
      <w:r>
        <w:rPr/>
        <w:drawing>
          <wp:inline distT="0" distB="0" distL="0" distR="0">
            <wp:extent cx="5949950" cy="3801110"/>
            <wp:effectExtent l="0" t="0" r="0" b="0"/>
            <wp:docPr id="2" name="modelo-banco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o-banco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Entidades previstas para evolução do produto incluem tarefas, agenda de consultas, métricas, grupos e relatórios. Elas ainda não fazem parte do modelo físico apresentado.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Tecnologias utilizadas</w:t>
      </w:r>
    </w:p>
    <w:tbl>
      <w:tblPr>
        <w:tblStyle w:val="Table1"/>
        <w:tblW w:w="10305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152"/>
        <w:gridCol w:w="5152"/>
      </w:tblGrid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Área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Tecnologias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Linguagem e execução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TypeScript 6, Node.js 22 e pnpm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Monorepo e automação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Turborepo, ESLint e Conventional Commits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API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NestJS 12, Express, oRPC e Zod 4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Persistência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PostgreSQL 18 e Drizzle ORM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Aplicação web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React, Vite, Tailwind CSS e TanStack Router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Aplicação mobile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Expo, React Native e Expo Router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Cliente compartilhado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TanStack Query e cliente oRPC tipado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Segurança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Argon2, sessões opacas, RLS e permissões tipadas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Observabilidade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Pino, logs estruturados e identificador de correlação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Testes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Vitest, Jest, Testing Library, axe-core e Testcontainers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Infraestrutura local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Docker Compose com PostgreSQL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Arquitetura do Software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>O Habituar utiliza um monorepo com aplicações web, mobile e API, além de pacotes compartilhados. Web e mobile compartilham contratos, estados de dados e tokens visuais, mas mantêm interfaces próprias para respeitar as características de cada plataforma.</w:t>
      </w:r>
    </w:p>
    <w:tbl>
      <w:tblPr>
        <w:tblStyle w:val="Table1"/>
        <w:tblW w:w="10305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152"/>
        <w:gridCol w:w="5152"/>
      </w:tblGrid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Camada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Responsabilidade e comunicação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Aplicações web e mobile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Interfaces próprias que consomem o mesmo cliente tipado.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Cliente React compartilhado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Transporte, cache, estados e ações sem compartilhar interface.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Contratos e domínio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Schemas, tipos, falhas, permissões e contratos da API.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API NestJS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Autenticação, autorização, validação e coordenação das operações.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PostgreSQL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Persistência e isolamento reforçado entre instituições.</w:t>
            </w:r>
          </w:p>
        </w:tc>
      </w:tr>
      <w:tr>
        <w:trPr/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Fluxo principal</w:t>
            </w:r>
          </w:p>
        </w:tc>
        <w:tc>
          <w:tcPr>
            <w:tcW w:w="51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Web/Mobile → Cliente compartilhado → Contratos → API → Banco de dados.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>A API valida entradas e saídas a partir de contratos compartilhados, nega acesso por padrão e executa operações de banco dentro do contexto de instituição, ator e sessão. O PostgreSQL reforça o isolamento institucional independentemente dos filtros da aplicação.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Backlog do produto</w:t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53"/>
        <w:gridCol w:w="2370"/>
        <w:gridCol w:w="2460"/>
        <w:gridCol w:w="2419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Backlog consolidado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Autenticação e sessões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Cadastro, login web/mobile, contexto e logout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Papéis, permissões e vínculos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Papéis somados, catálogo fechado, isolamento institucional, gestão da equipe e acompanhamentos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Instituições e convites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Cadastro, convite de uso único e aceite na web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Interfaces de autenticação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Entrada, cadastro e ambientes por perfil na web e no mobile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Fichas e observações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Implementado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Cadastro do estudante, termo assinado, ficha, histórico e consultas realizadas; auditoria prevista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Rotina, tarefas e foco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Em desenvolvimento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Grade semanal pronta; tarefas, foco e offline previstos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Agenda e atendimentos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Consultas, anotações e notificações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Métricas e grupos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Média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Indicadores configuráveis por instituição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Relatórios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Consolidação e exportação de acompanhamento</w:t>
            </w:r>
          </w:p>
        </w:tc>
      </w:tr>
      <w:tr>
        <w:trPr/>
        <w:tc>
          <w:tcPr>
            <w:tcW w:w="295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Conformidade e retenção</w:t>
            </w:r>
          </w:p>
        </w:tc>
        <w:tc>
          <w:tcPr>
            <w:tcW w:w="237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Alta</w:t>
            </w:r>
          </w:p>
        </w:tc>
        <w:tc>
          <w:tcPr>
            <w:tcW w:w="246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Previsto</w:t>
            </w:r>
          </w:p>
        </w:tc>
        <w:tc>
          <w:tcPr>
            <w:tcW w:w="2419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Consentimento, auditoria e descarte controlado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Sprint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Período: 19/08/2026 a 09/09/2026.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A primeira sprint preparou a base técnica do produto. O objetivo foi deixar o repositório pronto para receber funcionalidades com segurança: aplicações separadas, pacotes compartilhados, regras de desenvolvimento verificadas automaticamente e uma primeira função ponta a ponta, a consulta de estado do serviço, funcionando na API, na web e no mobile.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Todas as entregas previstas para a sprint foram concluídas; a tabela apresenta a data em que cada uma foi entregue.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400"/>
        <w:gridCol w:w="1900"/>
        <w:gridCol w:w="1400"/>
        <w:gridCol w:w="4502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Entregas da Sprint 1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Entrega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Área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Data de entrega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Monorepo e automação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Infraestrutura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22/08/2026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pnpm workspaces, Turborepo, TypeScript 6 e ESM em todos os pacotes; integração contínua executa lint, tipos, testes e build de cada workspace.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Regras de desenvolvimento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Infraestrutura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26/08/2026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Regras de arquitetura, idioma, tipos, erros e testes; lint de fronteiras entre pacotes, proibição de any, forwardRef e class-validator, nomes em kebab-case e Conventional Commits.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Separação das aplicações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Infraestrutura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27/08/2026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Aplicações api, web e mobile e pacotes core, design-tokens, react-client e config, cada um com entrypoints públicos explícitos.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Contrato da API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Pacote compartilhado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28/08/2026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Contrato versionado em /v1 declarado com Zod e oRPC, catálogo fechado de falhas, identificadores tipados e documento OpenAPI gerado.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Tokens visuais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Pacote compartilhado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29/08/2026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Escalas de cor, espaçamento e tipografia com verificação automática de contraste WCAG 2.2 AA e variáveis de tema para a web.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Banco de dados e isolamento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01/09/2026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PostgreSQL 18 em Docker Compose, papel de aplicação sem posse das tabelas, transação com contexto de instituição, ator e sessão e isolamento por linha provado em banco real.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Base da API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02/09/2026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NestJS 12 com configuração validada na inicialização, rotas negadas por padrão, identificador de correlação, logs estruturados com Pino e rota de saúde.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Cliente React compartilhado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Pacote compartilhado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03/09/2026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Cliente tipado com TanStack Query, sem interface, consumido igualmente pela web e pelo mobile.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Scaffolding da web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Web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04/09/2026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Vite, React, Tailwind CSS e TanStack Router, textos em pt-BR via i18n tipado e tela de estado do serviço com testes de acessibilidade.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Scaffolding do mobile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05/09/2026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Expo e Expo Router, tokens, i18n tipado, tela de estado do serviço com testes de acessibilidade e perfis de build.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Autenticação e permissões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 e pacote compartilhado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09/09/2026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Cadastro e entrada pela API, cookie seguro para web e credencial Bearer para mobile, sessões opacas guardadas como hash, encerramento de sessão e catálogo fechado de permissões aplicado a toda rota.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Resultado: RF0001 foi entregue, a autenticação e as permissões ficaram disponíveis na API para as telas da sprint seguinte, e os requisitos RNF0003, RNF0004, RNF0005, RNF0006, RNF0008 e RNF0009 passaram a ser verificados automaticamente desde a base do projeto. As regras definidas nesta sprint valem para todo o código das sprints seguintes.</w:t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Sprint 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Período: 16/09/2026 a 30/09/2026.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A segunda sprint transformou a base em produto utilizável pelas instituições. Foram entregues o acesso das pessoas, a estrutura de instituições, papéis e equipe e o primeiro conjunto de funções de acompanhamento dos estudantes, sempre na web e no mobile sobre o mesmo contrato.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Todas as entregas previstas para a sprint foram concluídas; a tabela apresenta a data em que cada uma foi entregue.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tbl>
      <w:tblPr>
        <w:tblStyle w:val="Table2"/>
        <w:tblW w:w="10203" w:type="dxa"/>
        <w:jc w:val="start"/>
        <w:tblInd w:w="-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400"/>
        <w:gridCol w:w="1900"/>
        <w:gridCol w:w="1400"/>
        <w:gridCol w:w="4502"/>
      </w:tblGrid>
      <w:tr>
        <w:trPr/>
        <w:tc>
          <w:tcPr>
            <w:tcW w:w="10202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Entregas da Sprint 2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Entrega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Área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Data de entrega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Telas de autenticação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Web e 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18/09/2026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Telas de entrada, cadastro e saída sobre a API da sprint anterior, com mensagens de falha junto do campo e credencial guardada com proteção nativa no mobile (RF0002, RF0003 e RF0005).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Contexto e ambientes por perfil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Web e 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22/09/2026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Resolução de instituições, papéis e permissões após a entrada, troca de instituição, espera por convite e ambiente profissional com navegação definida pelas permissões (RF0004 e RF0006).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Instituições e convites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 e web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24/09/2026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O administrador geral cadastra instituições, consulta membros e papéis e convida pessoas por link de uso único válido por sete dias (RF0014).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Papéis e permissões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 e pacote compartilhado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26/09/2026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Cinco papéis iniciais, papéis somados por vínculo e papéis personalizados sem escalonamento indevido (RF0007).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Gestão da equipe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Web e 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28/09/2026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Listagem e busca de profissionais e monitores, convites, troca de papéis e remoção de vínculos com confirmação.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Padrão de interface mobile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29/09/2026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Layout em listas, telas em pilha, avisos passageiros anunciados ao leitor de tela, ícones Phosphor e escolha de tema.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Estudantes e acompanhamentos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API, web e 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30/09/2026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Cadastro civil, responsáveis, termo institucional assinado, arquivamento e definição da equipe que acompanha cada estudante (RF0008).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Ficha do estudante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API, web e 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30/09/2026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Ficha com histórico de revisões, observações e consultas realizadas que não podem ser alteradas depois de registradas (RF0009).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Consentimento e rotina semanal</w:t>
            </w:r>
          </w:p>
        </w:tc>
        <w:tc>
          <w:tcPr>
            <w:tcW w:w="19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API, web e mobile</w:t>
            </w:r>
          </w:p>
        </w:tc>
        <w:tc>
          <w:tcPr>
            <w:tcW w:w="1400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30/09/2026</w:t>
            </w:r>
          </w:p>
        </w:tc>
        <w:tc>
          <w:tcPr>
            <w:tcW w:w="450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O responsável confirma e revoga o consentimento registrado pela instituição; a equipe monta a grade semanal do aluno, que aluno e responsável consultam na aba Rotina (RF0010, parcial).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  <w:t xml:space="preserve">Resultado: os requisitos RF0002 a RF0009 e RF0014 estão implementados, e a grade semanal do RF0010 já está disponível. Ficam para as próximas sprints as tarefas do aluno, o uso sem conexão, a agenda de atendimentos, as métricas, os relatórios, a recuperação de senha e a trilha de auditoria.</w:t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Sprint 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Sprint final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  <w:r>
        <w:br w:type="page"/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</w:rPr>
        <w:t>Registros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0" w:after="0"/>
        <w:ind w:firstLine="720" w:start="0" w:end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850" w:right="850" w:gutter="0" w:header="709" w:top="1132" w:footer="828" w:bottom="1132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360"/>
      <w:jc w:val="end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360"/>
      <w:jc w:val="end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4"/>
      <w:tblW w:w="10320" w:type="dxa"/>
      <w:jc w:val="start"/>
      <w:tblInd w:w="-53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5160"/>
      <w:gridCol w:w="5159"/>
    </w:tblGrid>
    <w:tr>
      <w:trPr/>
      <w:tc>
        <w:tcPr>
          <w:tcW w:w="5160" w:type="dxa"/>
          <w:tcBorders>
            <w:top w:val="single" w:sz="4" w:space="0" w:color="000001"/>
            <w:start w:val="single" w:sz="4" w:space="0" w:color="000001"/>
            <w:bottom w:val="single" w:sz="4" w:space="0" w:color="000001"/>
          </w:tcBorders>
          <w:shd w:fill="auto" w:val="clea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/>
          </w:pPr>
          <w:r>
            <w:rPr/>
            <w:t>Documentação de Software</w:t>
          </w:r>
        </w:p>
      </w:tc>
      <w:tc>
        <w:tcPr>
          <w:tcW w:w="5159" w:type="dxa"/>
          <w:tcBorders>
            <w:top w:val="single" w:sz="4" w:space="0" w:color="000001"/>
            <w:start w:val="single" w:sz="4" w:space="0" w:color="000001"/>
            <w:bottom w:val="single" w:sz="4" w:space="0" w:color="000001"/>
            <w:end w:val="single" w:sz="4" w:space="0" w:color="000001"/>
          </w:tcBorders>
          <w:shd w:fill="auto" w:val="clea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rPr/>
            <w:t>Habituar</w:t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4"/>
      <w:tblW w:w="10320" w:type="dxa"/>
      <w:jc w:val="start"/>
      <w:tblInd w:w="-53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5160"/>
      <w:gridCol w:w="5159"/>
    </w:tblGrid>
    <w:tr>
      <w:trPr/>
      <w:tc>
        <w:tcPr>
          <w:tcW w:w="5160" w:type="dxa"/>
          <w:tcBorders>
            <w:top w:val="single" w:sz="4" w:space="0" w:color="000001"/>
            <w:start w:val="single" w:sz="4" w:space="0" w:color="000001"/>
            <w:bottom w:val="single" w:sz="4" w:space="0" w:color="000001"/>
          </w:tcBorders>
          <w:shd w:fill="auto" w:val="clea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/>
          </w:pPr>
          <w:r>
            <w:rPr/>
            <w:t>Documentação de Software</w:t>
          </w:r>
        </w:p>
      </w:tc>
      <w:tc>
        <w:tcPr>
          <w:tcW w:w="5159" w:type="dxa"/>
          <w:tcBorders>
            <w:top w:val="single" w:sz="4" w:space="0" w:color="000001"/>
            <w:start w:val="single" w:sz="4" w:space="0" w:color="000001"/>
            <w:bottom w:val="single" w:sz="4" w:space="0" w:color="000001"/>
            <w:end w:val="single" w:sz="4" w:space="0" w:color="000001"/>
          </w:tcBorders>
          <w:shd w:fill="auto" w:val="clea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rPr/>
            <w:t>Habituar</w:t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A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ind w:hanging="432" w:start="432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ind w:hanging="576" w:start="576"/>
      <w:jc w:val="center"/>
    </w:pPr>
    <w:rPr>
      <w:b/>
      <w:bCs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240" w:after="60"/>
      <w:ind w:hanging="720" w:start="720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A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Arial" w:hAnsi="Arial" w:eastAsia="Arial" w:cs="Arial"/>
      <w:b/>
      <w:bCs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Arial" w:hAnsi="Arial" w:eastAsia="Arial" w:cs="Arial"/>
      <w:b/>
      <w:bCs/>
      <w:i/>
      <w:iCs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16</Pages>
  <Words>1263</Words>
  <Characters>8212</Characters>
  <CharactersWithSpaces>9118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2026-09-20T18:01:21Z</dcterms:modified>
  <cp:revision>1</cp:revision>
  <dc:subject/>
  <dc:title/>
</cp:coreProperties>
</file>