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DOCUMENTAÇÃO DE SOFTWARE</w:t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Habituar</w:t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Equipe de desenvolvimento do projeto: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Função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Equipe Habituar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Análise, desenvolvimento, testes e documentação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Introdução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Funcionais (RFs)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plataforma deve disponibilizar uma consulta de disponibilidade e versão para web e mobile.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RF0001 – Consultar estado do serviço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Baixa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criar uma conta com nome, e-mail e senha válidos. O acesso a uma instituição depende de convite; quem tem conta sem vínculo vê o estado de espera.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RF0002 – Cadastrar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autenticar web por cookie seguro e mobile por credencial Bearer armazenada com proteção nativa.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RF0003 – Autenticar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Após autenticar, o sistema deve identificar usuário, instituições disponíveis, tipo de vínculo, papéis acumulados e permissões efetivas. Quando há mais de um vínculo, a pessoa pode trocar de instituição sem sair; o cliente lembra a última escolha.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RF0004 – Resolver contexto de acesso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usuário deve poder revogar a sessão corrente e remover a credencial do cliente.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RF0005 – Encerrar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interface deve encaminhar aluno, profissional, monitor e administrador geral ao ambiente correspondente, mantendo profissional e monitor na mesma tela institucional.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RF0006 – Direcionar por perfil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instituição deve controlar papéis, permissões e alcances de acesso sem permitir escalonamento indevido. Cada vínculo tem um tipo (aluno, profissional ou monitor), pode receber vários papéis compatíveis e soma suas concessões. Os cinco papéis iniciais são Gestão da equipe, atendimento a vinculados, atendimento institucional, monitoramento e aluno. A interface de gestão de papéis e membros ainda está prevista.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RF0007 – Gerenciar papéis e permissões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relacionar profissionais ou monitores aos estudantes que acompanham.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RF0008 – Vincular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autorizados devem registrar dados, observações e histórico do estudante.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RF0009 – Manter ficha do estudante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aluno deve montar a grade semanal, receber tarefas e acompanhar entregas e avaliações.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RF0010 – Organizar rotina e tarefas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agendar consultas e o aluno deve visualizá-las em sua agenda.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RF0011 – Agendar atendimentos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Usuários autorizados devem definir métricas e registrar valores por estudante ou grupo.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RF0012 – Registrar métricas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gerar relatórios consolidados para apoiar o acompanhamento pedagógico.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RF0013 – Emitir relatórios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administrador geral deve criar e manter instituições sem acesso implícito aos dados sensíveis delas. Na web, informa CPF ou CNPJ válido e contato, vê membros e papéis, convida pessoas, revoga convites e entrega um link que aparece uma vez. A pessoa aceita na web com conta nova ou existente; o convite expira em sete dias.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RF0014 – Provisionar instituições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solicitar a redefinição da própria senha a partir da tela de entrada.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RF0015 – Recuperar senha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Não-Funcionais (RNFs)</w:t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interfaces devem atender WCAG 2.2 AA e regras cognitivas adequadas ao público.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RNF0001 – Acessibilidade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pessoais e sensíveis devem ser tratados conforme a LGPD e o princípio do menor acesso.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RNF0002 – Privacidade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Uma instituição não pode ler ou alterar dados pertencentes a outra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RNF0003 –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Credenciais devem ser opacas, armazenadas somente como hash no servidor e revogáveis.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RNF0004 – Segurança de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Toda rota nasce protegida e todo acesso deve passar pelo catálogo fechado de permissões.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RNF0005 – Autorização restritiva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Requisições e erros devem carregar identificador de correlação sem expor cookies ou autorizações em logs.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RNF0006 – Rastreabilidade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funções devem estar disponíveis em navegador e aplicativo mobile, preservando o mesmo contrato de dados.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RNF0007 – Portabilidade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API e clientes devem compartilhar schemas tipados e validar entradas e saídas.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RNF0008 – Integridade contratual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Lint, tipos, testes, contraste e fronteiras arquiteturais devem ser verificados continuamente.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RNF0009 – Qualidade automatizada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 e tarefas do aluno devem continuar utilizáveis sem conexão, com sincronização posterior.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RNF0010 – Operação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Escritas e leituras sensíveis devem produzir trilha de auditoria vinculada ao ator e à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RNF0011 – Auditoria sensível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Diagrama(s) de Casos de Uso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421380"/>
            <wp:effectExtent l="0" t="0" r="0" b="0"/>
            <wp:docPr id="1" name="casos-de-us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-de-us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Modelo do Banco de Dados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modelo abaixo representa as entidades atualmente implementadas. Usuários e sessões são globais; vínculos, papéis, permissões, convites, estudantes, responsáveis e atribuições preservam o contexto institucional. Cada vínculo possui um tipo e recebe papéis por membership_roles; os papéis de sistema possuem template_key. Convites guardam somente o hash do token e seus papéis ficam em invitation_roles.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801110"/>
            <wp:effectExtent l="0" t="0" r="0" b="0"/>
            <wp:docPr id="2" name="modelo-banc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-banc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Entidades previstas para evolução do produto incluem fichas, observações, rotina, tarefas, consultas, métricas, grupos e relatórios. Elas ainda não fazem parte do modelo físico apresentado.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Tecnologias utilizadas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Área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Tecnologias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Linguagem e execução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TypeScript 6, Node.js 22 e pnpm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Monorepo e automação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Turborepo, ESLint e Conventional Commits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NestJS 12, Express, oRPC e Zod 4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 18 e Drizzle ORM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web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React, Vite, Tailwind CSS e TanStack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Expo, React Native e Expo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TanStack Query e cliente oRPC tipado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Segurança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Argon2, sessões opacas, RLS e permissões tipadas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Observabilidade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Pino, logs estruturados e identificador de correlação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Testes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Vitest, Jest, Testing Library, axe-core e Testcontainers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Infraestrutura local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Docker Compose com PostgreSQL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Arquitetura do Software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Camada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Responsabilidade e comunicação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Aplicações web e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Interfaces próprias que consomem o mesmo cliente tipado.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React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Transporte, cache, estados e ações sem compartilhar interface.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Contratos e domínio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Schemas, tipos, falhas, permissões e contratos da API.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 NestJS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Autenticação, autorização, validação e coordenação das operações.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 e isolamento reforçado entre instituições.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Fluxo principal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Web/Mobile → Cliente compartilhado → Contratos → API → Banco de dados.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Backlog do produto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Backlog consolidado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Autenticação e sessões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login web/mobile, contexto e logout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Papéis, permissões e vínculos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 somados, catálogo fechado e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Instituições e convites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convite de uso único e aceite na web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Interfaces de autenticação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Entrada, cadastro e ambientes por perfil na web e no mobile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Fichas e observações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sensíveis, histórico e auditoria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Rotina, tarefas e foco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Organização semanal e funcionamento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Agenda e atendimentos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Consultas, anotações e notificações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Métricas e grupos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Indicadores configuráveis por instituição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Relatórios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Consolidação e exportação de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Conformidade e retenção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Consentimento, auditoria e descarte controlado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1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2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3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final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Registros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850" w:right="850" w:gutter="0" w:header="709" w:top="1132" w:footer="828" w:bottom="11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00000A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ind w:hanging="432" w:start="432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ind w:hanging="576" w:start="576"/>
      <w:jc w:val="center"/>
    </w:pPr>
    <w:rPr>
      <w:b/>
      <w:bCs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60"/>
      <w:ind w:hanging="720" w:start="720"/>
    </w:pPr>
    <w:rPr>
      <w:rFonts w:ascii="Arial" w:hAnsi="Arial" w:eastAsia="Arial" w:cs="Arial"/>
      <w:b/>
      <w:bCs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i/>
      <w:iCs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16</Pages>
  <Words>1263</Words>
  <Characters>8212</Characters>
  <CharactersWithSpaces>9118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2026-09-20T18:01:21Z</dcterms:modified>
  <cp:revision>1</cp:revision>
  <dc:subject/>
  <dc:title/>
</cp:coreProperties>
</file>