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DOCUMENTAÇÃO DE SOFTWARE</w:t>
      </w:r>
    </w:p>
    <w:p>
      <w:pPr>
        <w:pStyle w:val="normal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Habituar</w:t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Equipe de desenvolvimento do projeto: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Função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Equipe Habituar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Análise, desenvolvimento, testes e documentação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Introdução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Habituar é uma plataforma web e mobile de apoio à organização de estudantes com dificuldades de aprendizagem e ao trabalho dos profissionais que os acompanham. O sistema oferece uma base única para estruturar rotina, tarefas, agenda e acompanhamento, reduzindo a dependência de planilhas, papel e registros dispersos.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contexto inicial é uma instituição de ensino que acompanha estudantes com TDAH, autismo e deficiências. A principal dificuldade observada é organizacional: planejar estudos, acompanhar entregas e avaliações e manter uma visão contínua do acompanhamento realizado.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A solução é preparada para atender múltiplas instituições com isolamento de dados. Os principais usuários são aluno, profissional, monitor e administrador geral. O administrador geral atua no provisionamento da plataforma e não recebe acesso implícito aos dados sensíveis das instituições.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Requisitos Funcionais (RFs)</w:t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plataforma deve disponibilizar uma consulta de disponibilidade e versão para web e mobile.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RF0001 – Consultar estado do serviço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Baixa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pessoa deve poder criar uma conta com nome, e-mail e senha válidos. O acesso a uma instituição depende de convite; quem tem conta sem vínculo vê o estado de espera.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RF0002 – Cadastrar usuário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sistema deve autenticar web por cookie seguro e mobile por credencial Bearer armazenada com proteção nativa.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RF0003 – Autenticar usuário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Após autenticar, o sistema deve identificar usuário, instituições disponíveis, tipo de vínculo, papéis acumulados e permissões efetivas. Quando há mais de um vínculo, a pessoa pode trocar de instituição sem sair; o cliente lembra a última escolha.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RF0004 – Resolver contexto de acesso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usuário deve poder revogar a sessão corrente e remover a credencial do cliente.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RF0005 – Encerrar sessão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interface deve encaminhar aluno, profissional, monitor e administrador geral ao ambiente correspondente. Profissional e monitor usam o mesmo ambiente profissional, com destinos definidos pelas permissões atuais do vínculo; o endereço antigo do monitor leva a esse ambiente, e endereços digitados diretamente continuam protegidos. Quem perde o vínculo volta à escolha de instituição, a outro vínculo ou à espera por convite, sem dados da instituição anterior no dispositivo.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RF0006 – Direcionar por perfil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instituição deve controlar papéis, permissões e alcances de acesso sem permitir escalonamento indevido. Cada vínculo tem um tipo (aluno, profissional ou monitor), pode receber vários papéis compatíveis e soma suas concessões. Os cinco papéis iniciais são Gestão da equipe, atendimento a vinculados, atendimento institucional, monitoramento e aluno. Na seção Gestão, na web e no mobile, quem pode consultar a equipe lista e busca profissionais e monitores, convida, reenvia e revoga convites, substitui o conjunto de papéis de um membro, remove vínculos com confirmação e cria papéis personalizados a partir de um modelo do sistema, escolhendo agrupamentos de permissões com nome e alcance. Ninguém concede o que não possui, modelos do sistema não mudam, a instituição não fica sem gestão completa da equipe e a mudança de um papel mostra antes o impacto sobre membros e convites. A trilha completa de auditoria dessas mudanças ainda está prevista.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RF0007 – Gerenciar papéis e permissões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sistema deve relacionar profissionais ou monitores aos estudantes que acompanham.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RF0008 – Vincular acompanhamento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 no servidor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autorizados devem registrar dados, observações e histórico do estudante.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RF0009 – Manter ficha do estudante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aluno deve montar a grade semanal, receber tarefas e acompanhar entregas e avaliações.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RF0010 – Organizar rotina e tarefas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devem agendar consultas e o aluno deve visualizá-las em sua agenda.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RF0011 – Agendar atendimentos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Usuários autorizados devem definir métricas e registrar valores por estudante ou grupo.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RF0012 – Registrar métricas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Profissionais devem gerar relatórios consolidados para apoiar o acompanhamento pedagógico.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RF0013 – Emitir relatórios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 administrador geral deve criar e manter instituições sem acesso implícito aos dados sensíveis delas. Na web, informa CPF ou CNPJ válido e contato, vê membros e papéis, convida pessoas, revoga convites e entrega um link que aparece uma vez. A pessoa aceita na web com conta nova ou existente; o convite expira em sete dias. Pela web, o administrador geral também configura equipe, convites e papéis da instituição com as mesmas regras, sem ganhar vínculo nem acesso a dados de alunos.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RF0014 – Provisionar instituições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 pessoa deve poder solicitar a redefinição da própria senha a partir da tela de entrada.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RF0015 – Recuperar senha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Requisitos Não-Funcionais (RNFs)</w:t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As interfaces devem atender WCAG 2.2 AA e regras cognitivas adequadas ao público.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RNF0001 – Acessibilidade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aplicação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Dados pessoais e sensíveis devem ser tratados conforme a LGPD e o princípio do menor acesso.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RNF0002 – Privacidade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aplicação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Uma instituição não pode ler ou alterar dados pertencentes a outra instituição.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RNF0003 – Isolamento institucional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Credenciais devem ser opacas, armazenadas somente como hash no servidor e revogáveis.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RNF0004 – Segurança de sessão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Toda rota nasce protegida e todo acesso deve passar pelo catálogo fechado de permissões.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RNF0005 – Autorização restritiva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Requisições e erros devem carregar identificador de correlação sem expor cookies ou autorizações em logs.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RNF0006 – Rastreabilidade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As funções devem estar disponíveis em navegador e aplicativo mobile, preservando o mesmo contrato de dados.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RNF0007 – Portabilidade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API e clientes devem compartilhar schemas tipados e validar entradas e saídas.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RNF0008 – Integridade contratual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Lint, tipos, testes, contraste e fronteiras arquiteturais devem ser verificados continuamente.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RNF0009 – Qualidade automatizada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Atual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Rotina e tarefas do aluno devem continuar utilizáveis sem conexão, com sincronização posterior.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RNF0010 – Operação offline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tbl>
      <w:tblPr>
        <w:tblStyle w:val="Table3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Escritas e leituras sensíveis devem produzir trilha de auditoria vinculada ao ator e à instituição.</w:t>
            </w:r>
          </w:p>
        </w:tc>
      </w:tr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RNF0011 – Auditoria sensível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Complexidade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Versão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Futura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Diagrama(s) de Casos de Uso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diagrama apresenta as interações centrais previstas para cada perfil. As funções ainda não disponíveis permanecem documentadas como escopo funcional do produto.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wp:inline distT="0" distB="0" distL="0" distR="0">
            <wp:extent cx="5949950" cy="3421380"/>
            <wp:effectExtent l="0" t="0" r="0" b="0"/>
            <wp:docPr id="1" name="casos-de-uso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asos-de-uso.png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Modelo do Banco de Dados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modelo abaixo representa as entidades atualmente implementadas. Usuários e sessões são globais; vínculos, papéis, permissões, convites, estudantes, responsáveis e atribuições preservam o contexto institucional. Cada vínculo possui um tipo e recebe papéis por membership_roles; os papéis de sistema possuem template_key. Convites guardam somente o hash do token e seus papéis ficam em invitation_roles. Vínculos removidos recebem data e autor da remoção, sem apagar a conta nem a autoria de registros, e vínculos e papéis têm versão para recusar edição feita sobre dados desatualizados. O banco aplica isolamento por linha para impedir acesso entre instituições.</w:t>
      </w:r>
    </w:p>
    <w:p>
      <w:pPr>
        <w:pStyle w:val="BodyText"/>
        <w:bidi w:val="0"/>
        <w:spacing w:before="0" w:after="283"/>
        <w:jc w:val="center"/>
        <w:rPr/>
      </w:pPr>
      <w:r>
        <w:rPr/>
        <w:drawing>
          <wp:inline distT="0" distB="0" distL="0" distR="0">
            <wp:extent cx="5949950" cy="3801110"/>
            <wp:effectExtent l="0" t="0" r="0" b="0"/>
            <wp:docPr id="2" name="modelo-banco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odelo-banco.png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95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Entidades previstas para evolução do produto incluem fichas, observações, rotina, tarefas, consultas, métricas, grupos e relatórios. Elas ainda não fazem parte do modelo físico apresentado.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Tecnologias utilizadas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Área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Tecnologias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Linguagem e execução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TypeScript 6, Node.js 22 e pnpm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Monorepo e automação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Turborepo, ESLint e Conventional Commits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API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NestJS 12, Express, oRPC e Zod 4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Persistência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PostgreSQL 18 e Drizzle ORM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Aplicação web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React, Vite, Tailwind CSS e TanStack Router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Aplicação mobile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Expo, React Native e Expo Router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Cliente compartilhado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TanStack Query e cliente oRPC tipado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Segurança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Argon2, sessões opacas, RLS e permissões tipadas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Observabilidade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Pino, logs estruturados e identificador de correlação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Testes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Vitest, Jest, Testing Library, axe-core e Testcontainers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Infraestrutura local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Docker Compose com PostgreSQL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Arquitetura do Software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O Habituar utiliza um monorepo com aplicações web, mobile e API, além de pacotes compartilhados. Web e mobile compartilham contratos, estados de dados e tokens visuais, mas mantêm interfaces próprias para respeitar as características de cada plataforma.</w:t>
      </w:r>
    </w:p>
    <w:tbl>
      <w:tblPr>
        <w:tblStyle w:val="Table1"/>
        <w:tblW w:w="10305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5152"/>
        <w:gridCol w:w="5152"/>
      </w:tblGrid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Camada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CCCCCC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</w:rPr>
              <w:t>Responsabilidade e comunicação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Aplicações web e mobile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Interfaces próprias que consomem o mesmo cliente tipado.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Cliente React compartilhado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Transporte, cache, estados e ações sem compartilhar interface.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Contratos e domínio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Schemas, tipos, falhas, permissões e contratos da API.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API NestJS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Autenticação, autorização, validação e coordenação das operações.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PostgreSQL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Persistência e isolamento reforçado entre instituições.</w:t>
            </w:r>
          </w:p>
        </w:tc>
      </w:tr>
      <w:tr>
        <w:trPr/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</w:tcBorders>
            <w:shd w:fill="auto" w:val="clear"/>
          </w:tcPr>
          <w:p>
            <w:pPr>
              <w:pStyle w:val="normal1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Fluxo principal</w:t>
            </w:r>
          </w:p>
        </w:tc>
        <w:tc>
          <w:tcPr>
            <w:tcW w:w="5152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A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/>
              <w:t>Web/Mobile → Cliente compartilhado → Contratos → API → Banco de dados.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  <w:t>A API valida entradas e saídas a partir de contratos compartilhados, nega acesso por padrão e executa operações de banco dentro do contexto de instituição, ator e sessão. O PostgreSQL reforça o isolamento institucional independentemente dos filtros da aplicação.</w:t>
      </w:r>
    </w:p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Backlog do produto</w:t>
      </w:r>
    </w:p>
    <w:tbl>
      <w:tblPr>
        <w:tblStyle w:val="Table2"/>
        <w:tblW w:w="10203" w:type="dxa"/>
        <w:jc w:val="start"/>
        <w:tblInd w:w="-5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53"/>
        <w:gridCol w:w="2370"/>
        <w:gridCol w:w="2460"/>
        <w:gridCol w:w="2419"/>
      </w:tblGrid>
      <w:tr>
        <w:trPr/>
        <w:tc>
          <w:tcPr>
            <w:tcW w:w="10202" w:type="dxa"/>
            <w:gridSpan w:val="4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Backlog consolidado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Prioridade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Situação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Autenticação e sessões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Cadastro, login web/mobile, contexto e logout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Papéis, permissões e vínculos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Papéis somados, catálogo fechado, isolamento institucional e gestão da equipe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Instituições e convites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Em desenvolvimento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Cadastro, convite de uso único e aceite na web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Interfaces de autenticação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Implementado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Entrada, cadastro e ambientes por perfil na web e no mobile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Fichas e observações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Dados sensíveis, histórico e auditoria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Rotina, tarefas e foco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Organização semanal e funcionamento offline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Agenda e atendimentos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Consultas, anotações e notificações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Métricas e grupos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Média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Indicadores configuráveis por instituição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Relatórios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Consolidação e exportação de acompanhamento</w:t>
            </w:r>
          </w:p>
        </w:tc>
      </w:tr>
      <w:tr>
        <w:trPr/>
        <w:tc>
          <w:tcPr>
            <w:tcW w:w="2953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Conformidade e retenção</w:t>
            </w:r>
          </w:p>
        </w:tc>
        <w:tc>
          <w:tcPr>
            <w:tcW w:w="237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Alta</w:t>
            </w:r>
          </w:p>
        </w:tc>
        <w:tc>
          <w:tcPr>
            <w:tcW w:w="2460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Previsto</w:t>
            </w:r>
          </w:p>
        </w:tc>
        <w:tc>
          <w:tcPr>
            <w:tcW w:w="2419" w:type="dxa"/>
            <w:tcBorders>
              <w:top w:val="single" w:sz="4" w:space="0" w:color="000001"/>
              <w:start w:val="single" w:sz="4" w:space="0" w:color="000001"/>
              <w:bottom w:val="single" w:sz="4" w:space="0" w:color="000001"/>
              <w:end w:val="single" w:sz="4" w:space="0" w:color="000001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Consentimento, auditoria e descarte controlado</w:t>
            </w:r>
          </w:p>
        </w:tc>
      </w:tr>
    </w:tbl>
    <w:p>
      <w:pPr>
        <w:pStyle w:val="normal1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1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2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3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Sprint final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  <w:r>
        <w:br w:type="page"/>
      </w:r>
    </w:p>
    <w:p>
      <w:pPr>
        <w:pStyle w:val="normal1"/>
        <w:numPr>
          <w:ilvl w:val="0"/>
          <w:numId w:val="1"/>
        </w:numPr>
        <w:spacing w:before="0" w:after="0"/>
        <w:ind w:hanging="360" w:start="720"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</w:rPr>
        <w:t>Registros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00" w:before="0" w:after="0"/>
        <w:ind w:firstLine="720" w:start="0" w:end="0"/>
        <w:jc w:val="both"/>
        <w:rPr/>
      </w:pPr>
      <w:r>
        <w:rPr/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850" w:right="850" w:gutter="0" w:header="709" w:top="1132" w:footer="828" w:bottom="1132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360"/>
      <w:jc w:val="end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1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360"/>
      <w:jc w:val="end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1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/>
    </w:pPr>
    <w:r>
      <w:rPr/>
    </w:r>
  </w:p>
  <w:tbl>
    <w:tblPr>
      <w:tblStyle w:val="Table4"/>
      <w:tblW w:w="10320" w:type="dxa"/>
      <w:jc w:val="start"/>
      <w:tblInd w:w="-53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00"/>
    </w:tblPr>
    <w:tblGrid>
      <w:gridCol w:w="5160"/>
      <w:gridCol w:w="5159"/>
    </w:tblGrid>
    <w:tr>
      <w:trPr/>
      <w:tc>
        <w:tcPr>
          <w:tcW w:w="5160" w:type="dxa"/>
          <w:tcBorders>
            <w:top w:val="single" w:sz="4" w:space="0" w:color="000001"/>
            <w:start w:val="single" w:sz="4" w:space="0" w:color="000001"/>
            <w:bottom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/>
          </w:pPr>
          <w:r>
            <w:rPr/>
            <w:t>Documentação de Software</w:t>
          </w:r>
        </w:p>
      </w:tc>
      <w:tc>
        <w:tcPr>
          <w:tcW w:w="5159" w:type="dxa"/>
          <w:tcBorders>
            <w:top w:val="single" w:sz="4" w:space="0" w:color="000001"/>
            <w:start w:val="single" w:sz="4" w:space="0" w:color="000001"/>
            <w:bottom w:val="single" w:sz="4" w:space="0" w:color="000001"/>
            <w:end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A"/>
              <w:position w:val="0"/>
              <w:sz w:val="24"/>
              <w:sz w:val="24"/>
              <w:szCs w:val="24"/>
              <w:u w:val="none"/>
              <w:shd w:fill="auto" w:val="clear"/>
              <w:vertAlign w:val="baseline"/>
            </w:rPr>
          </w:pPr>
          <w:r>
            <w:rPr/>
            <w:t>Habituar</w:t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 w:val="false"/>
      <w:pBdr/>
      <w:shd w:val="clear" w:fill="auto"/>
      <w:spacing w:lineRule="auto" w:line="276" w:before="0" w:after="0"/>
      <w:ind w:hanging="0" w:start="0" w:end="0"/>
      <w:jc w:val="start"/>
      <w:rPr/>
    </w:pPr>
    <w:r>
      <w:rPr/>
    </w:r>
  </w:p>
  <w:tbl>
    <w:tblPr>
      <w:tblStyle w:val="Table4"/>
      <w:tblW w:w="10320" w:type="dxa"/>
      <w:jc w:val="start"/>
      <w:tblInd w:w="-53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00"/>
    </w:tblPr>
    <w:tblGrid>
      <w:gridCol w:w="5160"/>
      <w:gridCol w:w="5159"/>
    </w:tblGrid>
    <w:tr>
      <w:trPr/>
      <w:tc>
        <w:tcPr>
          <w:tcW w:w="5160" w:type="dxa"/>
          <w:tcBorders>
            <w:top w:val="single" w:sz="4" w:space="0" w:color="000001"/>
            <w:start w:val="single" w:sz="4" w:space="0" w:color="000001"/>
            <w:bottom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/>
          </w:pPr>
          <w:r>
            <w:rPr/>
            <w:t>Documentação de Software</w:t>
          </w:r>
        </w:p>
      </w:tc>
      <w:tc>
        <w:tcPr>
          <w:tcW w:w="5159" w:type="dxa"/>
          <w:tcBorders>
            <w:top w:val="single" w:sz="4" w:space="0" w:color="000001"/>
            <w:start w:val="single" w:sz="4" w:space="0" w:color="000001"/>
            <w:bottom w:val="single" w:sz="4" w:space="0" w:color="000001"/>
            <w:end w:val="single" w:sz="4" w:space="0" w:color="000001"/>
          </w:tcBorders>
          <w:shd w:fill="auto" w:val="clear"/>
        </w:tcPr>
        <w:p>
          <w:pPr>
            <w:pStyle w:val="normal1"/>
            <w:keepNext w:val="false"/>
            <w:keepLines w:val="false"/>
            <w:widowControl/>
            <w:pBdr/>
            <w:shd w:val="clear" w:fill="auto"/>
            <w:spacing w:lineRule="auto" w:line="240" w:before="0" w:after="0"/>
            <w:ind w:hanging="0" w:start="0" w:end="0"/>
            <w:jc w:val="center"/>
            <w:rPr>
              <w:rFonts w:ascii="Calibri" w:hAnsi="Calibri" w:eastAsia="Calibri" w:cs="Calibri"/>
              <w:b w:val="false"/>
              <w:bCs w:val="false"/>
              <w:i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A"/>
              <w:position w:val="0"/>
              <w:sz w:val="24"/>
              <w:sz w:val="24"/>
              <w:szCs w:val="24"/>
              <w:u w:val="none"/>
              <w:shd w:fill="auto" w:val="clear"/>
              <w:vertAlign w:val="baseline"/>
            </w:rPr>
          </w:pPr>
          <w:r>
            <w:rPr/>
            <w:t>Habituar</w:t>
          </w:r>
        </w:p>
      </w:tc>
    </w:tr>
  </w:tbl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A"/>
        <w:position w:val="0"/>
        <w:sz w:val="24"/>
        <w:sz w:val="24"/>
        <w:szCs w:val="24"/>
        <w:u w:val="none"/>
        <w:shd w:fill="auto" w:val="clear"/>
        <w:vertAlign w:val="baseline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00000A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00000A"/>
      <w:kern w:val="0"/>
      <w:sz w:val="24"/>
      <w:szCs w:val="24"/>
      <w:lang w:val="pt-B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ind w:hanging="432" w:start="432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ind w:hanging="576" w:start="576"/>
      <w:jc w:val="center"/>
    </w:pPr>
    <w:rPr>
      <w:b/>
      <w:bCs/>
    </w:rPr>
  </w:style>
  <w:style w:type="paragraph" w:styleId="Heading3">
    <w:name w:val="Heading 3"/>
    <w:basedOn w:val="normal1"/>
    <w:next w:val="normal1"/>
    <w:qFormat/>
    <w:pPr>
      <w:keepNext w:val="true"/>
      <w:spacing w:lineRule="auto" w:line="240" w:before="240" w:after="60"/>
      <w:ind w:hanging="720" w:start="720"/>
    </w:pPr>
    <w:rPr>
      <w:rFonts w:ascii="Arial" w:hAnsi="Arial" w:eastAsia="Arial" w:cs="Arial"/>
      <w:b/>
      <w:bCs/>
      <w:sz w:val="26"/>
      <w:szCs w:val="26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00000A"/>
      <w:kern w:val="0"/>
      <w:sz w:val="24"/>
      <w:szCs w:val="24"/>
      <w:lang w:val="pt-BR" w:eastAsia="zh-CN" w:bidi="hi-IN"/>
    </w:rPr>
  </w:style>
  <w:style w:type="paragraph" w:styleId="Title">
    <w:name w:val="Title"/>
    <w:basedOn w:val="normal1"/>
    <w:next w:val="normal1"/>
    <w:qFormat/>
    <w:pPr>
      <w:keepNext w:val="true"/>
      <w:spacing w:lineRule="auto" w:line="240" w:before="240" w:after="120"/>
      <w:jc w:val="center"/>
    </w:pPr>
    <w:rPr>
      <w:rFonts w:ascii="Arial" w:hAnsi="Arial" w:eastAsia="Arial" w:cs="Arial"/>
      <w:b/>
      <w:bCs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spacing w:lineRule="auto" w:line="240" w:before="240" w:after="120"/>
      <w:jc w:val="center"/>
    </w:pPr>
    <w:rPr>
      <w:rFonts w:ascii="Arial" w:hAnsi="Arial" w:eastAsia="Arial" w:cs="Arial"/>
      <w:b/>
      <w:bCs/>
      <w:i/>
      <w:iCs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16</Pages>
  <Words>1263</Words>
  <Characters>8212</Characters>
  <CharactersWithSpaces>9118</CharactersWithSpaces>
  <Paragraphs>372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2026-09-20T18:01:21Z</dcterms:modified>
  <cp:revision>1</cp:revision>
  <dc:subject/>
  <dc:title/>
</cp:coreProperties>
</file>