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DOCUMENTAÇÃO DE SOFTWARE</w:t>
      </w:r>
    </w:p>
    <w:p>
      <w:pPr>
        <w:pStyle w:val="normal1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Habituar</w:t>
      </w:r>
    </w:p>
    <w:p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Equipe de desenvolvimento do projeto:</w:t>
      </w:r>
    </w:p>
    <w:tbl>
      <w:tblPr>
        <w:tblStyle w:val="Table1"/>
        <w:tblW w:w="10305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5152"/>
        <w:gridCol w:w="5152"/>
      </w:tblGrid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CCCCCC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bCs/>
              </w:rPr>
              <w:t>Nome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CCCCCC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bCs/>
              </w:rPr>
              <w:t>Função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Equipe Habituar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Análise, desenvolvimento, testes e documentação</w:t>
            </w:r>
          </w:p>
        </w:tc>
      </w:tr>
    </w:tbl>
    <w:p>
      <w:pPr>
        <w:pStyle w:val="normal1"/>
        <w:rPr/>
      </w:pPr>
      <w:r>
        <w:rPr/>
      </w:r>
      <w:r>
        <w:br w:type="page"/>
      </w:r>
    </w:p>
    <w:p>
      <w:pPr>
        <w:pStyle w:val="normal1"/>
        <w:numPr>
          <w:ilvl w:val="0"/>
          <w:numId w:val="1"/>
        </w:numPr>
        <w:spacing w:before="0" w:after="0"/>
        <w:ind w:hanging="360" w:start="720"/>
        <w:jc w:val="center"/>
        <w:rPr>
          <w:b/>
          <w:bCs/>
          <w:sz w:val="28"/>
          <w:szCs w:val="28"/>
          <w:u w:val="none"/>
        </w:rPr>
      </w:pPr>
      <w:r>
        <w:rPr>
          <w:b/>
          <w:bCs/>
        </w:rPr>
        <w:t>Introdução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  <w:t>Habituar é uma plataforma web e mobile de apoio à organização de estudantes com dificuldades de aprendizagem e ao trabalho dos profissionais que os acompanham. O sistema oferece uma base única para estruturar rotina, tarefas, agenda e acompanhamento, reduzindo a dependência de planilhas, papel e registros dispersos.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  <w:t>O contexto inicial é uma instituição de ensino que acompanha estudantes com TDAH, autismo e deficiências. A principal dificuldade observada é organizacional: planejar estudos, acompanhar entregas e avaliações e manter uma visão contínua do acompanhamento realizado.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  <w:t>A solução é preparada para atender múltiplas instituições com isolamento de dados. Os principais usuários são aluno, profissional, monitor e administrador geral. O administrador geral atua no provisionamento da plataforma e não recebe acesso implícito aos dados sensíveis das instituições.</w:t>
      </w:r>
    </w:p>
    <w:p>
      <w:pPr>
        <w:pStyle w:val="normal1"/>
        <w:rPr/>
      </w:pPr>
      <w:r>
        <w:rPr/>
      </w:r>
      <w:r>
        <w:br w:type="page"/>
      </w:r>
    </w:p>
    <w:p>
      <w:pPr>
        <w:pStyle w:val="normal1"/>
        <w:numPr>
          <w:ilvl w:val="0"/>
          <w:numId w:val="1"/>
        </w:numPr>
        <w:spacing w:before="0" w:after="0"/>
        <w:ind w:hanging="360" w:start="720"/>
        <w:jc w:val="center"/>
        <w:rPr>
          <w:b/>
          <w:bCs/>
          <w:sz w:val="28"/>
          <w:szCs w:val="28"/>
          <w:u w:val="none"/>
        </w:rPr>
      </w:pPr>
      <w:r>
        <w:rPr>
          <w:b/>
          <w:bCs/>
        </w:rPr>
        <w:t>Requisitos Funcionais (RFs)</w:t>
      </w:r>
    </w:p>
    <w:tbl>
      <w:tblPr>
        <w:tblStyle w:val="Table2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 plataforma deve disponibilizar uma consulta de disponibilidade e versão para web e mobile.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RF0001 – Consultar estado do serviço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Média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Baixa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Implementado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2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 pessoa deve poder criar uma conta com nome, e-mail e senha válidos. O acesso a uma instituição depende de convite; quem tem conta sem vínculo vê o estado de espera.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RF0002 – Cadastrar usuário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Média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Em desenvolvimento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2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O sistema deve autenticar web por cookie seguro e mobile por credencial Bearer armazenada com proteção nativa.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RF0003 – Autenticar usuário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Implementado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2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Após autenticar, o sistema deve identificar usuário, instituições disponíveis, tipo de vínculo, papéis acumulados e permissões efetivas. Quando há mais de um vínculo, a pessoa pode trocar de instituição sem sair; o cliente lembra a última escolha.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RF0004 – Resolver contexto de acesso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Em desenvolvimento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2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O usuário deve poder revogar a sessão corrente e remover a credencial do cliente.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RF0005 – Encerrar sessão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Média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Implementado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2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 interface deve encaminhar aluno, profissional, monitor e administrador geral ao ambiente correspondente. Profissional e monitor usam o mesmo ambiente profissional, com destinos definidos pelas permissões atuais do vínculo; o endereço antigo do monitor leva a esse ambiente, e endereços digitados diretamente continuam protegidos. Quem perde o vínculo volta à escolha de instituição, a outro vínculo ou à espera por convite, sem dados da instituição anterior no dispositivo.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RF0006 – Direcionar por perfil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Média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Em desenvolvimento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2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 instituição deve controlar papéis, permissões e alcances de acesso sem permitir escalonamento indevido. Cada vínculo tem um tipo (aluno, profissional ou monitor), pode receber vários papéis compatíveis e soma suas concessões. Os cinco papéis iniciais são Gestão da equipe, atendimento a vinculados, atendimento institucional, monitoramento e aluno. Na seção Gestão, na web e no mobile, quem pode consultar a equipe lista e busca profissionais e monitores, convida, reenvia e revoga convites, substitui o conjunto de papéis de um membro, remove vínculos com confirmação e cria papéis personalizados a partir de um modelo do sistema, escolhendo agrupamentos de permissões com nome e alcance. Ninguém concede o que não possui, modelos do sistema não mudam, a instituição não fica sem gestão completa da equipe e a mudança de um papel mostra antes o impacto sobre membros e convites. No mobile, a Gestão abre como uma lista de seções, cada uma em tela própria, e a confirmação de uma alteração bem-sucedida aparece como aviso passageiro, também anunciado ao leitor de tela; erros permanecem junto da ação que falhou. A trilha completa de auditoria dessas mudanças ainda está prevista.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RF0007 – Gerenciar papéis e permissões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Em desenvolvimento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2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 xml:space="preserve">O sistema deve relacionar profissionais ou monitores aos estudantes que acompanham. Quem gerencia acompanhamentos define, por estudante, as pessoas da equipe que o acompanham; só vínculos ativos de profissional ou monitor são aceitos, e remover alguém da instituição encerra os acompanhamentos dessa pessoa. A interface dessa definição ainda está prevista.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RF0008 – Vincular acompanhamento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Média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 xml:space="preserve">Em desenvolvimento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2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 xml:space="preserve">Profissionais autorizados devem registrar dados, observações e histórico do estudante. A ficha reúne turma, condições acompanhadas e necessidades de apoio; data de nascimento, nome social e responsáveis vêm do cadastro do estudante e aparecem na ficha para consulta. Cada gravação preserva a versão anterior, e observações não podem ser editadas nem apagadas. Na web e no aplicativo mobile, o profissional abre a ficha a partir da lista dos estudantes que acompanha, com busca por nome, e registra as consultas realizadas, com data, duração e anotação, que também não podem ser alteradas. A monitoria vê os estudantes que acompanha sem abrir a ficha, e estudante arquivado mantém a ficha apenas para consulta.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RF0009 – Manter ficha do estudante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 xml:space="preserve">Em desenvolvimento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 xml:space="preserve"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2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O aluno deve montar a grade semanal, receber tarefas e acompanhar entregas e avaliações.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RF0010 – Organizar rotina e tarefas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Previsto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Futura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2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Profissionais devem agendar consultas e o aluno deve visualizá-las em sua agenda.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RF0011 – Agendar atendimentos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Previsto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Futura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2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Usuários autorizados devem definir métricas e registrar valores por estudante ou grupo.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RF0012 – Registrar métricas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Média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Previsto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Futura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2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Profissionais devem gerar relatórios consolidados para apoiar o acompanhamento pedagógico.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RF0013 – Emitir relatórios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Previsto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Futura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2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O administrador geral deve criar e manter instituições sem acesso implícito aos dados sensíveis delas. Na web, informa CPF ou CNPJ válido e contato, vê membros e papéis, convida pessoas, revoga convites e entrega um link que aparece uma vez. A pessoa aceita na web com conta nova ou existente; o convite expira em sete dias. Pela web, o administrador geral também configura equipe, convites e papéis da instituição com as mesmas regras, sem ganhar vínculo nem acesso a dados de alunos.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RF0014 – Provisionar instituições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Média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Em desenvolvimento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2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 pessoa deve poder solicitar a redefinição da própria senha a partir da tela de entrada.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RF0015 – Recuperar senha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Média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Previsto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Futura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p>
      <w:pPr>
        <w:pStyle w:val="normal1"/>
        <w:rPr/>
      </w:pPr>
      <w:r>
        <w:rPr/>
      </w:r>
      <w:r>
        <w:br w:type="page"/>
      </w:r>
    </w:p>
    <w:p>
      <w:pPr>
        <w:pStyle w:val="normal1"/>
        <w:numPr>
          <w:ilvl w:val="0"/>
          <w:numId w:val="1"/>
        </w:numPr>
        <w:spacing w:before="0" w:after="0"/>
        <w:ind w:hanging="360" w:start="720"/>
        <w:jc w:val="center"/>
        <w:rPr>
          <w:b/>
          <w:bCs/>
          <w:sz w:val="28"/>
          <w:szCs w:val="28"/>
          <w:u w:val="none"/>
        </w:rPr>
      </w:pPr>
      <w:r>
        <w:rPr>
          <w:b/>
          <w:bCs/>
        </w:rPr>
        <w:t>Requisitos Não-Funcionais (RNFs)</w:t>
      </w:r>
    </w:p>
    <w:tbl>
      <w:tblPr>
        <w:tblStyle w:val="Table3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As interfaces devem atender WCAG 2.2 AA e regras cognitivas adequadas ao público.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RNF0001 – Acessibilidade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Em aplicação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3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Dados pessoais e sensíveis devem ser tratados conforme a LGPD e o princípio do menor acesso.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RNF0002 – Privacidade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Em aplicação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3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Uma instituição não pode ler ou alterar dados pertencentes a outra instituição.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RNF0003 – Isolamento institucional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Implementado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3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Credenciais devem ser opacas, armazenadas somente como hash no servidor e revogáveis.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RNF0004 – Segurança de sessão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Implementado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3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Toda rota nasce protegida e todo acesso deve passar pelo catálogo fechado de permissões.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RNF0005 – Autorização restritiva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Implementado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3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Requisições e erros devem carregar identificador de correlação sem expor cookies ou autorizações em logs.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RNF0006 – Rastreabilidade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Média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Implementado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3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As funções devem estar disponíveis em navegador e aplicativo mobile, preservando o mesmo contrato de dados.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RNF0007 – Portabilidade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Implementado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3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API e clientes devem compartilhar schemas tipados e validar entradas e saídas.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RNF0008 – Integridade contratual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Média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Implementado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3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Lint, tipos, testes, contraste e fronteiras arquiteturais devem ser verificados continuamente.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RNF0009 – Qualidade automatizada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Média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Implementado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3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Rotina e tarefas do aluno devem continuar utilizáveis sem conexão, com sincronização posterior.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RNF0010 – Operação offline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Média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Previsto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Futura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3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Escritas e leituras sensíveis devem produzir trilha de auditoria vinculada ao ator e à instituição.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RNF0011 – Auditoria sensível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Previsto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Futura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p>
      <w:pPr>
        <w:pStyle w:val="normal1"/>
        <w:rPr/>
      </w:pPr>
      <w:r>
        <w:rPr/>
      </w:r>
      <w:r>
        <w:br w:type="page"/>
      </w:r>
    </w:p>
    <w:p>
      <w:pPr>
        <w:pStyle w:val="normal1"/>
        <w:numPr>
          <w:ilvl w:val="0"/>
          <w:numId w:val="1"/>
        </w:numPr>
        <w:spacing w:before="0" w:after="0"/>
        <w:ind w:hanging="360" w:start="720"/>
        <w:jc w:val="center"/>
        <w:rPr>
          <w:b/>
          <w:bCs/>
          <w:sz w:val="28"/>
          <w:szCs w:val="28"/>
          <w:u w:val="none"/>
        </w:rPr>
      </w:pPr>
      <w:r>
        <w:rPr>
          <w:b/>
          <w:bCs/>
        </w:rPr>
        <w:t>Diagrama(s) de Casos de Uso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  <w:t>O diagrama apresenta as interações centrais previstas para cada perfil. As funções ainda não disponíveis permanecem documentadas como escopo funcional do produto.</w:t>
      </w:r>
    </w:p>
    <w:p>
      <w:pPr>
        <w:pStyle w:val="BodyText"/>
        <w:bidi w:val="0"/>
        <w:spacing w:before="0" w:after="283"/>
        <w:jc w:val="center"/>
        <w:rPr/>
      </w:pPr>
      <w:r>
        <w:rPr/>
        <w:drawing>
          <wp:inline distT="0" distB="0" distL="0" distR="0">
            <wp:extent cx="5949950" cy="3421380"/>
            <wp:effectExtent l="0" t="0" r="0" b="0"/>
            <wp:docPr id="1" name="casos-de-uso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asos-de-uso.png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9950" cy="3421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rPr/>
      </w:pPr>
      <w:r>
        <w:rPr/>
      </w:r>
      <w:r>
        <w:br w:type="page"/>
      </w:r>
    </w:p>
    <w:p>
      <w:pPr>
        <w:pStyle w:val="normal1"/>
        <w:numPr>
          <w:ilvl w:val="0"/>
          <w:numId w:val="1"/>
        </w:numPr>
        <w:spacing w:before="0" w:after="0"/>
        <w:ind w:hanging="360" w:start="720"/>
        <w:jc w:val="center"/>
        <w:rPr>
          <w:b/>
          <w:bCs/>
          <w:sz w:val="28"/>
          <w:szCs w:val="28"/>
          <w:u w:val="none"/>
        </w:rPr>
      </w:pPr>
      <w:r>
        <w:rPr>
          <w:b/>
          <w:bCs/>
        </w:rPr>
        <w:t>Modelo do Banco de Dados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  <w:t xml:space="preserve">O modelo abaixo representa as entidades atualmente implementadas. Usuários e sessões são globais; vínculos, papéis, permissões, convites, estudantes, responsáveis e atribuições preservam o contexto institucional. Cada vínculo possui um tipo e recebe papéis por membership_roles; os papéis de sistema possuem template_key. Convites guardam somente o hash do token e seus papéis ficam em invitation_roles. Vínculos removidos recebem data e autor da remoção, sem apagar a conta nem a autoria de registros, e vínculos e papéis têm versão para recusar edição feita sobre dados desatualizados. O estudante pode ser cadastrado sem conta própria; seus responsáveis ficam em student_guardians, os consentimentos em student_consents e cada acompanhamento liga um vínculo ativo de profissional ou monitor ao estudante. A ficha do estudante fica em student_profile_revisions, uma revisão por gravação, as observações em student_observations e as consultas realizadas em student_consultations; as três tabelas aceitam somente leitura e inserção, com autoria igual à pessoa autenticada. As tabelas de responsáveis, consentimentos e ficha ainda não aparecem no diagrama. O banco aplica isolamento por linha para impedir acesso entre instituições.</w:t>
      </w:r>
    </w:p>
    <w:p>
      <w:pPr>
        <w:pStyle w:val="BodyText"/>
        <w:bidi w:val="0"/>
        <w:spacing w:before="0" w:after="283"/>
        <w:jc w:val="center"/>
        <w:rPr/>
      </w:pPr>
      <w:r>
        <w:rPr/>
        <w:drawing>
          <wp:inline distT="0" distB="0" distL="0" distR="0">
            <wp:extent cx="5949950" cy="3801110"/>
            <wp:effectExtent l="0" t="0" r="0" b="0"/>
            <wp:docPr id="2" name="modelo-banco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modelo-banco.png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9950" cy="3801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  <w:t xml:space="preserve">Entidades previstas para evolução do produto incluem rotina, tarefas, agenda de consultas, métricas, grupos e relatórios. Elas ainda não fazem parte do modelo físico apresentado.</w:t>
      </w:r>
    </w:p>
    <w:p>
      <w:pPr>
        <w:pStyle w:val="normal1"/>
        <w:rPr/>
      </w:pPr>
      <w:r>
        <w:rPr/>
      </w:r>
      <w:r>
        <w:br w:type="page"/>
      </w:r>
    </w:p>
    <w:p>
      <w:pPr>
        <w:pStyle w:val="normal1"/>
        <w:numPr>
          <w:ilvl w:val="0"/>
          <w:numId w:val="1"/>
        </w:numPr>
        <w:spacing w:before="0" w:after="0"/>
        <w:ind w:hanging="360" w:start="720"/>
        <w:jc w:val="center"/>
        <w:rPr>
          <w:b/>
          <w:bCs/>
          <w:sz w:val="28"/>
          <w:szCs w:val="28"/>
          <w:u w:val="none"/>
        </w:rPr>
      </w:pPr>
      <w:r>
        <w:rPr>
          <w:b/>
          <w:bCs/>
        </w:rPr>
        <w:t>Tecnologias utilizadas</w:t>
      </w:r>
    </w:p>
    <w:tbl>
      <w:tblPr>
        <w:tblStyle w:val="Table1"/>
        <w:tblW w:w="10305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5152"/>
        <w:gridCol w:w="5152"/>
      </w:tblGrid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CCCCCC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bCs/>
              </w:rPr>
              <w:t>Área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CCCCCC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bCs/>
              </w:rPr>
              <w:t>Tecnologias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Linguagem e execução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TypeScript 6, Node.js 22 e pnpm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Monorepo e automação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Turborepo, ESLint e Conventional Commits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API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NestJS 12, Express, oRPC e Zod 4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Persistência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PostgreSQL 18 e Drizzle ORM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Aplicação web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React, Vite, Tailwind CSS e TanStack Router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Aplicação mobile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Expo, React Native e Expo Router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Cliente compartilhado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TanStack Query e cliente oRPC tipado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Segurança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Argon2, sessões opacas, RLS e permissões tipadas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Observabilidade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Pino, logs estruturados e identificador de correlação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Testes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Vitest, Jest, Testing Library, axe-core e Testcontainers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Infraestrutura local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Docker Compose com PostgreSQL</w:t>
            </w:r>
          </w:p>
        </w:tc>
      </w:tr>
    </w:tbl>
    <w:p>
      <w:pPr>
        <w:pStyle w:val="normal1"/>
        <w:rPr/>
      </w:pPr>
      <w:r>
        <w:rPr/>
      </w:r>
      <w:r>
        <w:br w:type="page"/>
      </w:r>
    </w:p>
    <w:p>
      <w:pPr>
        <w:pStyle w:val="normal1"/>
        <w:numPr>
          <w:ilvl w:val="0"/>
          <w:numId w:val="1"/>
        </w:numPr>
        <w:spacing w:before="0" w:after="0"/>
        <w:ind w:hanging="360" w:start="720"/>
        <w:jc w:val="center"/>
        <w:rPr>
          <w:b/>
          <w:bCs/>
          <w:sz w:val="28"/>
          <w:szCs w:val="28"/>
          <w:u w:val="none"/>
        </w:rPr>
      </w:pPr>
      <w:r>
        <w:rPr>
          <w:b/>
          <w:bCs/>
        </w:rPr>
        <w:t>Arquitetura do Software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  <w:t>O Habituar utiliza um monorepo com aplicações web, mobile e API, além de pacotes compartilhados. Web e mobile compartilham contratos, estados de dados e tokens visuais, mas mantêm interfaces próprias para respeitar as características de cada plataforma.</w:t>
      </w:r>
    </w:p>
    <w:tbl>
      <w:tblPr>
        <w:tblStyle w:val="Table1"/>
        <w:tblW w:w="10305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5152"/>
        <w:gridCol w:w="5152"/>
      </w:tblGrid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CCCCCC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bCs/>
              </w:rPr>
              <w:t>Camada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CCCCCC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bCs/>
              </w:rPr>
              <w:t>Responsabilidade e comunicação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Aplicações web e mobile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Interfaces próprias que consomem o mesmo cliente tipado.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Cliente React compartilhado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Transporte, cache, estados e ações sem compartilhar interface.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Contratos e domínio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Schemas, tipos, falhas, permissões e contratos da API.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API NestJS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Autenticação, autorização, validação e coordenação das operações.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PostgreSQL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Persistência e isolamento reforçado entre instituições.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Fluxo principal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Web/Mobile → Cliente compartilhado → Contratos → API → Banco de dados.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  <w:t>A API valida entradas e saídas a partir de contratos compartilhados, nega acesso por padrão e executa operações de banco dentro do contexto de instituição, ator e sessão. O PostgreSQL reforça o isolamento institucional independentemente dos filtros da aplicação.</w:t>
      </w:r>
    </w:p>
    <w:p>
      <w:pPr>
        <w:pStyle w:val="normal1"/>
        <w:rPr/>
      </w:pPr>
      <w:r>
        <w:rPr/>
      </w:r>
      <w:r>
        <w:br w:type="page"/>
      </w:r>
    </w:p>
    <w:p>
      <w:pPr>
        <w:pStyle w:val="normal1"/>
        <w:numPr>
          <w:ilvl w:val="0"/>
          <w:numId w:val="1"/>
        </w:numPr>
        <w:spacing w:before="0" w:after="0"/>
        <w:ind w:hanging="360" w:start="720"/>
        <w:jc w:val="center"/>
        <w:rPr>
          <w:b/>
          <w:bCs/>
          <w:sz w:val="28"/>
          <w:szCs w:val="28"/>
          <w:u w:val="none"/>
        </w:rPr>
      </w:pPr>
      <w:r>
        <w:rPr>
          <w:b/>
          <w:bCs/>
        </w:rPr>
        <w:t>Backlog do produto</w:t>
      </w:r>
    </w:p>
    <w:tbl>
      <w:tblPr>
        <w:tblStyle w:val="Table2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Backlog consolidado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Funcionalidade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Descrição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Autenticação e sessões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Implementado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Cadastro, login web/mobile, contexto e logout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Papéis, permissões e vínculos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Em desenvolvimento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Papéis somados, catálogo fechado, isolamento institucional e gestão da equipe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Instituições e convites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Média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Em desenvolvimento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Cadastro, convite de uso único e aceite na web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Interfaces de autenticação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Implementado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Entrada, cadastro e ambientes por perfil na web e no mobile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Fichas e observações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 xml:space="preserve">Em desenvolvimento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 xml:space="preserve">Dados de apoio, histórico e consultas realizadas; auditoria prevista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Rotina, tarefas e foco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Previsto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Organização semanal e funcionamento offline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Agenda e atendimentos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Previsto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Consultas, anotações e notificações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Métricas e grupos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Média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Previsto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Indicadores configuráveis por instituição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Relatórios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Previsto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Consolidação e exportação de acompanhamento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Conformidade e retenção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Previsto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Consentimento, auditoria e descarte controlado</w:t>
            </w:r>
          </w:p>
        </w:tc>
      </w:tr>
    </w:tbl>
    <w:p>
      <w:pPr>
        <w:pStyle w:val="normal1"/>
        <w:rPr/>
      </w:pPr>
      <w:r>
        <w:rPr/>
      </w:r>
      <w:r>
        <w:br w:type="page"/>
      </w:r>
    </w:p>
    <w:p>
      <w:pPr>
        <w:pStyle w:val="normal1"/>
        <w:numPr>
          <w:ilvl w:val="0"/>
          <w:numId w:val="1"/>
        </w:numPr>
        <w:spacing w:before="0" w:after="0"/>
        <w:ind w:hanging="360" w:start="720"/>
        <w:jc w:val="center"/>
        <w:rPr>
          <w:b/>
          <w:bCs/>
          <w:sz w:val="28"/>
          <w:szCs w:val="28"/>
          <w:u w:val="none"/>
        </w:rPr>
      </w:pPr>
      <w:r>
        <w:rPr>
          <w:b/>
          <w:bCs/>
        </w:rPr>
        <w:t>Sprint 1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  <w:r>
        <w:br w:type="page"/>
      </w:r>
    </w:p>
    <w:p>
      <w:pPr>
        <w:pStyle w:val="normal1"/>
        <w:numPr>
          <w:ilvl w:val="0"/>
          <w:numId w:val="1"/>
        </w:numPr>
        <w:spacing w:before="0" w:after="0"/>
        <w:ind w:hanging="360" w:start="720"/>
        <w:jc w:val="center"/>
        <w:rPr>
          <w:b/>
          <w:bCs/>
          <w:sz w:val="28"/>
          <w:szCs w:val="28"/>
          <w:u w:val="none"/>
        </w:rPr>
      </w:pPr>
      <w:r>
        <w:rPr>
          <w:b/>
          <w:bCs/>
        </w:rPr>
        <w:t>Sprint 2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  <w:r>
        <w:br w:type="page"/>
      </w:r>
    </w:p>
    <w:p>
      <w:pPr>
        <w:pStyle w:val="normal1"/>
        <w:numPr>
          <w:ilvl w:val="0"/>
          <w:numId w:val="1"/>
        </w:numPr>
        <w:spacing w:before="0" w:after="0"/>
        <w:ind w:hanging="360" w:start="720"/>
        <w:jc w:val="center"/>
        <w:rPr>
          <w:b/>
          <w:bCs/>
          <w:sz w:val="28"/>
          <w:szCs w:val="28"/>
          <w:u w:val="none"/>
        </w:rPr>
      </w:pPr>
      <w:r>
        <w:rPr>
          <w:b/>
          <w:bCs/>
        </w:rPr>
        <w:t>Sprint 3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  <w:r>
        <w:br w:type="page"/>
      </w:r>
    </w:p>
    <w:p>
      <w:pPr>
        <w:pStyle w:val="normal1"/>
        <w:numPr>
          <w:ilvl w:val="0"/>
          <w:numId w:val="1"/>
        </w:numPr>
        <w:spacing w:before="0" w:after="0"/>
        <w:ind w:hanging="360" w:start="720"/>
        <w:jc w:val="center"/>
        <w:rPr>
          <w:b/>
          <w:bCs/>
          <w:sz w:val="28"/>
          <w:szCs w:val="28"/>
          <w:u w:val="none"/>
        </w:rPr>
      </w:pPr>
      <w:r>
        <w:rPr>
          <w:b/>
          <w:bCs/>
        </w:rPr>
        <w:t>Sprint final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  <w:r>
        <w:br w:type="page"/>
      </w:r>
    </w:p>
    <w:p>
      <w:pPr>
        <w:pStyle w:val="normal1"/>
        <w:numPr>
          <w:ilvl w:val="0"/>
          <w:numId w:val="1"/>
        </w:numPr>
        <w:spacing w:before="0" w:after="0"/>
        <w:ind w:hanging="360" w:start="720"/>
        <w:jc w:val="center"/>
        <w:rPr>
          <w:b/>
          <w:bCs/>
          <w:sz w:val="28"/>
          <w:szCs w:val="28"/>
          <w:u w:val="none"/>
        </w:rPr>
      </w:pPr>
      <w:r>
        <w:rPr>
          <w:b/>
          <w:bCs/>
        </w:rPr>
        <w:t>Registros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sectPr>
      <w:headerReference w:type="even" r:id="rId4"/>
      <w:headerReference w:type="default" r:id="rId5"/>
      <w:headerReference w:type="first" r:id="rId6"/>
      <w:footerReference w:type="even" r:id="rId7"/>
      <w:footerReference w:type="default" r:id="rId8"/>
      <w:footerReference w:type="first" r:id="rId9"/>
      <w:type w:val="nextPage"/>
      <w:pgSz w:w="11906" w:h="16838"/>
      <w:pgMar w:left="850" w:right="850" w:gutter="0" w:header="709" w:top="1132" w:footer="828" w:bottom="1132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Calibri">
    <w:charset w:val="01" w:characterSet="utf-8"/>
    <w:family w:val="roman"/>
    <w:pitch w:val="variable"/>
  </w:font>
  <w:font w:name="Arial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start="0" w:end="360"/>
      <w:jc w:val="end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A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  <w:p>
    <w:pPr>
      <w:pStyle w:val="normal1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start="0" w:end="360"/>
      <w:jc w:val="end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A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  <w:p>
    <w:pPr>
      <w:pStyle w:val="normal1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 w:val="false"/>
      <w:pBdr/>
      <w:shd w:val="clear" w:fill="auto"/>
      <w:spacing w:lineRule="auto" w:line="276" w:before="0" w:after="0"/>
      <w:ind w:hanging="0" w:start="0" w:end="0"/>
      <w:jc w:val="start"/>
      <w:rPr/>
    </w:pPr>
    <w:r>
      <w:rPr/>
    </w:r>
  </w:p>
  <w:tbl>
    <w:tblPr>
      <w:tblStyle w:val="Table4"/>
      <w:tblW w:w="10320" w:type="dxa"/>
      <w:jc w:val="start"/>
      <w:tblInd w:w="-53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400"/>
    </w:tblPr>
    <w:tblGrid>
      <w:gridCol w:w="5160"/>
      <w:gridCol w:w="5159"/>
    </w:tblGrid>
    <w:tr>
      <w:trPr/>
      <w:tc>
        <w:tcPr>
          <w:tcW w:w="5160" w:type="dxa"/>
          <w:tcBorders>
            <w:top w:val="single" w:sz="4" w:space="0" w:color="000001"/>
            <w:start w:val="single" w:sz="4" w:space="0" w:color="000001"/>
            <w:bottom w:val="single" w:sz="4" w:space="0" w:color="000001"/>
          </w:tcBorders>
          <w:shd w:fill="auto" w:val="clear"/>
        </w:tcPr>
        <w:p>
          <w:pPr>
            <w:pStyle w:val="normal1"/>
            <w:keepNext w:val="false"/>
            <w:keepLines w:val="false"/>
            <w:widowControl/>
            <w:pBdr/>
            <w:shd w:val="clear" w:fill="auto"/>
            <w:spacing w:lineRule="auto" w:line="240" w:before="0" w:after="0"/>
            <w:ind w:hanging="0" w:start="0" w:end="0"/>
            <w:jc w:val="center"/>
            <w:rPr/>
          </w:pPr>
          <w:r>
            <w:rPr/>
            <w:t>Documentação de Software</w:t>
          </w:r>
        </w:p>
      </w:tc>
      <w:tc>
        <w:tcPr>
          <w:tcW w:w="5159" w:type="dxa"/>
          <w:tcBorders>
            <w:top w:val="single" w:sz="4" w:space="0" w:color="000001"/>
            <w:start w:val="single" w:sz="4" w:space="0" w:color="000001"/>
            <w:bottom w:val="single" w:sz="4" w:space="0" w:color="000001"/>
            <w:end w:val="single" w:sz="4" w:space="0" w:color="000001"/>
          </w:tcBorders>
          <w:shd w:fill="auto" w:val="clear"/>
        </w:tcPr>
        <w:p>
          <w:pPr>
            <w:pStyle w:val="normal1"/>
            <w:keepNext w:val="false"/>
            <w:keepLines w:val="false"/>
            <w:widowControl/>
            <w:pBdr/>
            <w:shd w:val="clear" w:fill="auto"/>
            <w:spacing w:lineRule="auto" w:line="240" w:before="0" w:after="0"/>
            <w:ind w:hanging="0" w:start="0" w:end="0"/>
            <w:jc w:val="center"/>
            <w:rPr>
              <w:rFonts w:ascii="Calibri" w:hAnsi="Calibri" w:eastAsia="Calibri" w:cs="Calibri"/>
              <w:b w:val="false"/>
              <w:bCs w:val="false"/>
              <w:i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A"/>
              <w:position w:val="0"/>
              <w:sz w:val="24"/>
              <w:sz w:val="24"/>
              <w:szCs w:val="24"/>
              <w:u w:val="none"/>
              <w:shd w:fill="auto" w:val="clear"/>
              <w:vertAlign w:val="baseline"/>
            </w:rPr>
          </w:pPr>
          <w:r>
            <w:rPr/>
            <w:t>Habituar</w:t>
          </w:r>
        </w:p>
      </w:tc>
    </w:tr>
  </w:tbl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start="0" w:end="0"/>
      <w:jc w:val="start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A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>
        <w:rFonts w:eastAsia="Calibri" w:cs="Calibri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A"/>
        <w:position w:val="0"/>
        <w:sz w:val="24"/>
        <w:sz w:val="24"/>
        <w:szCs w:val="24"/>
        <w:u w:val="none"/>
        <w:shd w:fill="auto" w:val="clear"/>
        <w:vertAlign w:val="baseline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 w:val="false"/>
      <w:pBdr/>
      <w:shd w:val="clear" w:fill="auto"/>
      <w:spacing w:lineRule="auto" w:line="276" w:before="0" w:after="0"/>
      <w:ind w:hanging="0" w:start="0" w:end="0"/>
      <w:jc w:val="start"/>
      <w:rPr/>
    </w:pPr>
    <w:r>
      <w:rPr/>
    </w:r>
  </w:p>
  <w:tbl>
    <w:tblPr>
      <w:tblStyle w:val="Table4"/>
      <w:tblW w:w="10320" w:type="dxa"/>
      <w:jc w:val="start"/>
      <w:tblInd w:w="-53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400"/>
    </w:tblPr>
    <w:tblGrid>
      <w:gridCol w:w="5160"/>
      <w:gridCol w:w="5159"/>
    </w:tblGrid>
    <w:tr>
      <w:trPr/>
      <w:tc>
        <w:tcPr>
          <w:tcW w:w="5160" w:type="dxa"/>
          <w:tcBorders>
            <w:top w:val="single" w:sz="4" w:space="0" w:color="000001"/>
            <w:start w:val="single" w:sz="4" w:space="0" w:color="000001"/>
            <w:bottom w:val="single" w:sz="4" w:space="0" w:color="000001"/>
          </w:tcBorders>
          <w:shd w:fill="auto" w:val="clear"/>
        </w:tcPr>
        <w:p>
          <w:pPr>
            <w:pStyle w:val="normal1"/>
            <w:keepNext w:val="false"/>
            <w:keepLines w:val="false"/>
            <w:widowControl/>
            <w:pBdr/>
            <w:shd w:val="clear" w:fill="auto"/>
            <w:spacing w:lineRule="auto" w:line="240" w:before="0" w:after="0"/>
            <w:ind w:hanging="0" w:start="0" w:end="0"/>
            <w:jc w:val="center"/>
            <w:rPr/>
          </w:pPr>
          <w:r>
            <w:rPr/>
            <w:t>Documentação de Software</w:t>
          </w:r>
        </w:p>
      </w:tc>
      <w:tc>
        <w:tcPr>
          <w:tcW w:w="5159" w:type="dxa"/>
          <w:tcBorders>
            <w:top w:val="single" w:sz="4" w:space="0" w:color="000001"/>
            <w:start w:val="single" w:sz="4" w:space="0" w:color="000001"/>
            <w:bottom w:val="single" w:sz="4" w:space="0" w:color="000001"/>
            <w:end w:val="single" w:sz="4" w:space="0" w:color="000001"/>
          </w:tcBorders>
          <w:shd w:fill="auto" w:val="clear"/>
        </w:tcPr>
        <w:p>
          <w:pPr>
            <w:pStyle w:val="normal1"/>
            <w:keepNext w:val="false"/>
            <w:keepLines w:val="false"/>
            <w:widowControl/>
            <w:pBdr/>
            <w:shd w:val="clear" w:fill="auto"/>
            <w:spacing w:lineRule="auto" w:line="240" w:before="0" w:after="0"/>
            <w:ind w:hanging="0" w:start="0" w:end="0"/>
            <w:jc w:val="center"/>
            <w:rPr>
              <w:rFonts w:ascii="Calibri" w:hAnsi="Calibri" w:eastAsia="Calibri" w:cs="Calibri"/>
              <w:b w:val="false"/>
              <w:bCs w:val="false"/>
              <w:i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A"/>
              <w:position w:val="0"/>
              <w:sz w:val="24"/>
              <w:sz w:val="24"/>
              <w:szCs w:val="24"/>
              <w:u w:val="none"/>
              <w:shd w:fill="auto" w:val="clear"/>
              <w:vertAlign w:val="baseline"/>
            </w:rPr>
          </w:pPr>
          <w:r>
            <w:rPr/>
            <w:t>Habituar</w:t>
          </w:r>
        </w:p>
      </w:tc>
    </w:tr>
  </w:tbl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start="0" w:end="0"/>
      <w:jc w:val="start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A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>
        <w:rFonts w:eastAsia="Calibri" w:cs="Calibri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A"/>
        <w:position w:val="0"/>
        <w:sz w:val="24"/>
        <w:sz w:val="24"/>
        <w:szCs w:val="24"/>
        <w:u w:val="none"/>
        <w:shd w:fill="auto" w:val="clear"/>
        <w:vertAlign w:val="baseline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>
        <w:u w:val="none"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>
        <w:u w:val="none"/>
      </w:rPr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360"/>
      </w:pPr>
      <w:rPr>
        <w:u w:val="none"/>
      </w:rPr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>
        <w:u w:val="none"/>
      </w:rPr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>
        <w:u w:val="none"/>
      </w:rPr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360"/>
      </w:pPr>
      <w:rPr>
        <w:u w:val="none"/>
      </w:rPr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>
        <w:u w:val="none"/>
      </w:rPr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>
        <w:u w:val="none"/>
      </w:rPr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360"/>
      </w:pPr>
      <w:rPr>
        <w:u w:val="none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color w:val="00000A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start"/>
    </w:pPr>
    <w:rPr>
      <w:rFonts w:ascii="Calibri" w:hAnsi="Calibri" w:eastAsia="Calibri" w:cs="Calibri"/>
      <w:color w:val="00000A"/>
      <w:kern w:val="0"/>
      <w:sz w:val="24"/>
      <w:szCs w:val="24"/>
      <w:lang w:val="pt-BR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ind w:hanging="432" w:start="432"/>
    </w:pPr>
    <w:rPr>
      <w:b/>
      <w:bCs/>
    </w:rPr>
  </w:style>
  <w:style w:type="paragraph" w:styleId="Heading2">
    <w:name w:val="Heading 2"/>
    <w:basedOn w:val="normal1"/>
    <w:next w:val="normal1"/>
    <w:qFormat/>
    <w:pPr>
      <w:keepNext w:val="true"/>
      <w:ind w:hanging="576" w:start="576"/>
      <w:jc w:val="center"/>
    </w:pPr>
    <w:rPr>
      <w:b/>
      <w:bCs/>
    </w:rPr>
  </w:style>
  <w:style w:type="paragraph" w:styleId="Heading3">
    <w:name w:val="Heading 3"/>
    <w:basedOn w:val="normal1"/>
    <w:next w:val="normal1"/>
    <w:qFormat/>
    <w:pPr>
      <w:keepNext w:val="true"/>
      <w:spacing w:lineRule="auto" w:line="240" w:before="240" w:after="60"/>
      <w:ind w:hanging="720" w:start="720"/>
    </w:pPr>
    <w:rPr>
      <w:rFonts w:ascii="Arial" w:hAnsi="Arial" w:eastAsia="Arial" w:cs="Arial"/>
      <w:b/>
      <w:bCs/>
      <w:sz w:val="26"/>
      <w:szCs w:val="26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bCs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bCs/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bidi w:val="0"/>
      <w:spacing w:before="0" w:after="0"/>
      <w:jc w:val="start"/>
    </w:pPr>
    <w:rPr>
      <w:rFonts w:ascii="Calibri" w:hAnsi="Calibri" w:eastAsia="Calibri" w:cs="Calibri"/>
      <w:color w:val="00000A"/>
      <w:kern w:val="0"/>
      <w:sz w:val="24"/>
      <w:szCs w:val="24"/>
      <w:lang w:val="pt-BR" w:eastAsia="zh-CN" w:bidi="hi-IN"/>
    </w:rPr>
  </w:style>
  <w:style w:type="paragraph" w:styleId="Title">
    <w:name w:val="Title"/>
    <w:basedOn w:val="normal1"/>
    <w:next w:val="normal1"/>
    <w:qFormat/>
    <w:pPr>
      <w:keepNext w:val="true"/>
      <w:spacing w:lineRule="auto" w:line="240" w:before="240" w:after="120"/>
      <w:jc w:val="center"/>
    </w:pPr>
    <w:rPr>
      <w:rFonts w:ascii="Arial" w:hAnsi="Arial" w:eastAsia="Arial" w:cs="Arial"/>
      <w:b/>
      <w:bCs/>
      <w:sz w:val="28"/>
      <w:szCs w:val="28"/>
    </w:rPr>
  </w:style>
  <w:style w:type="paragraph" w:styleId="Subtitle">
    <w:name w:val="Subtitle"/>
    <w:basedOn w:val="normal1"/>
    <w:next w:val="normal1"/>
    <w:qFormat/>
    <w:pPr>
      <w:keepNext w:val="true"/>
      <w:spacing w:lineRule="auto" w:line="240" w:before="240" w:after="120"/>
      <w:jc w:val="center"/>
    </w:pPr>
    <w:rPr>
      <w:rFonts w:ascii="Arial" w:hAnsi="Arial" w:eastAsia="Arial" w:cs="Arial"/>
      <w:b/>
      <w:bCs/>
      <w:i/>
      <w:iCs/>
      <w:sz w:val="28"/>
      <w:szCs w:val="2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header" Target="header3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</TotalTime>
  <Application>LibreOffice/24.2.7.2$Linux_X86_64 LibreOffice_project/420$Build-2</Application>
  <AppVersion>15.0000</AppVersion>
  <Pages>16</Pages>
  <Words>1263</Words>
  <Characters>8212</Characters>
  <CharactersWithSpaces>9118</CharactersWithSpaces>
  <Paragraphs>372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2026-09-20T18:01:21Z</dcterms:modified>
  <cp:revision>1</cp:revision>
  <dc:subject/>
  <dc:title/>
</cp:coreProperties>
</file>