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2"/>
          <w:szCs w:val="32"/>
        </w:rPr>
        <w:t xml:space="preserve">The ACI Research Lab: A Blueprint</w:t>
      </w:r>
    </w:p>
    <w:p>
      <w:pPr>
        <w:spacing w:after="160"/>
      </w:pPr>
      <w:r>
        <w:rPr>
          <w:color w:val="5B6472"/>
          <w:sz w:val="17"/>
          <w:szCs w:val="17"/>
        </w:rPr>
        <w:t xml:space="preserve">Shanghai University of Engineering Science  ·  Agentic Creative Intelligence  ·  toward 2030</w:t>
      </w:r>
    </w:p>
    <w:p>
      <w:pPr>
        <w:pBdr>
          <w:bottom w:val="single" w:color="C9D2DE" w:sz="6" w:space="3"/>
        </w:pBdr>
        <w:spacing w:after="80" w:before="220"/>
      </w:pPr>
      <w:r>
        <w:rPr>
          <w:b/>
          <w:bCs/>
          <w:color w:val="1F3A5F"/>
          <w:sz w:val="22"/>
          <w:szCs w:val="22"/>
        </w:rPr>
        <w:t xml:space="preserve">1. Vision</w:t>
      </w:r>
    </w:p>
    <w:p>
      <w:pPr>
        <w:spacing w:after="90"/>
      </w:pPr>
      <w:r>
        <w:rPr>
          <w:color w:val="222222"/>
          <w:sz w:val="19"/>
          <w:szCs w:val="19"/>
        </w:rPr>
        <w:t xml:space="preserve">The ACI Research Lab studies how creative capability survives, erodes, or grows as people work with agentic AI, and builds the AI that develops it. Its object is the hardest and least-measured part of the question about AI and work: not output, but the judgment, the material feel, and the sustained attention that creative disciplines are built on. Its method is to configure AI that withholds rather than completes, put it to work across design education and practice, and measure what it does to the people who use it.</w:t>
      </w:r>
    </w:p>
    <w:p>
      <w:pPr>
        <w:pBdr>
          <w:bottom w:val="single" w:color="C9D2DE" w:sz="6" w:space="3"/>
        </w:pBdr>
        <w:spacing w:after="80" w:before="220"/>
      </w:pPr>
      <w:r>
        <w:rPr>
          <w:b/>
          <w:bCs/>
          <w:color w:val="1F3A5F"/>
          <w:sz w:val="22"/>
          <w:szCs w:val="22"/>
        </w:rPr>
        <w:t xml:space="preserve">2. The problem, and why now</w:t>
      </w:r>
    </w:p>
    <w:p>
      <w:pPr>
        <w:spacing w:after="90"/>
      </w:pPr>
      <w:r>
        <w:rPr>
          <w:color w:val="222222"/>
          <w:sz w:val="19"/>
          <w:szCs w:val="19"/>
        </w:rPr>
        <w:t xml:space="preserve">Creative work is being rebuilt around agentic AI faster than anyone is studying what it does to the people who do it. In design, film, architecture, and music, systems that once suggested now decide, and the practitioner’s role slides from making to selecting. The question is not whether these systems raise output. It is what sustained use does to the capability the field depends on. Two outcomes are equally consistent with the present evidence. Delegation may erode that capability, as handing navigation, recall, and other skills to machines has eroded them. Or an agent built to develop rather than replace may deepen it. No one has shown which, because the field has no validated measure of creative capability, let alone a controlled account of how agents change it. That is a serious and specific gap, and it is the one this lab is built to close.</w:t>
      </w:r>
    </w:p>
    <w:p>
      <w:pPr>
        <w:spacing w:after="90"/>
      </w:pPr>
      <w:r>
        <w:rPr>
          <w:color w:val="222222"/>
          <w:sz w:val="19"/>
          <w:szCs w:val="19"/>
        </w:rPr>
        <w:t xml:space="preserve">The problem is hard for reasons that outlast any one tool. Creative capability is largely tacit, so measuring it resists the usual instruments. Augmentation and atrophy occur together, so a gain in speed can hide a loss in judgment. And as several agents and models are coupled into one workflow, authorship, authority, and responsibility blur, so that even naming who made a decision becomes a research question.</w:t>
      </w:r>
    </w:p>
    <w:p>
      <w:pPr>
        <w:spacing w:after="90"/>
      </w:pPr>
      <w:r>
        <w:rPr>
          <w:color w:val="222222"/>
          <w:sz w:val="19"/>
          <w:szCs w:val="19"/>
        </w:rPr>
        <w:t xml:space="preserve">The timing is not incidental. Agentic tools are entering studios and curricula now, and the habits students and professionals form over the next few years will harden into defaults. The infrastructure to study this on our own terms, self-hosted, China-native, inspectable down to the log, is available today. And the ideas the lab tests are already in public: the ACI monograph publishes in December 2026, and the lab is how its central claim gets tested rather than asserted. A lab that begins now can set the baseline. One that begins in three years will be measuring a settled world.</w:t>
      </w:r>
    </w:p>
    <w:p>
      <w:pPr>
        <w:pBdr>
          <w:bottom w:val="single" w:color="C9D2DE" w:sz="6" w:space="3"/>
        </w:pBdr>
        <w:spacing w:after="80" w:before="220"/>
      </w:pPr>
      <w:r>
        <w:rPr>
          <w:b/>
          <w:bCs/>
          <w:color w:val="1F3A5F"/>
          <w:sz w:val="22"/>
          <w:szCs w:val="22"/>
        </w:rPr>
        <w:t xml:space="preserve">3. The dæmon: a SUES framing of the AI agent</w:t>
      </w:r>
    </w:p>
    <w:p>
      <w:pPr>
        <w:spacing w:after="90"/>
      </w:pPr>
      <w:r>
        <w:rPr>
          <w:color w:val="222222"/>
          <w:sz w:val="19"/>
          <w:szCs w:val="19"/>
        </w:rPr>
        <w:t xml:space="preserve">Most agentic AI is built to complete. The assistant, the copilot, and the autonomous agent are each measured by the work they finish. The ACI Lab reframes the agent and defines ours by what it refuses to do. A dæmon withholds the finished artifact, requires the person to make and defend the governing decision, and leaves the resolution with the person. Where an assistant returns a result, a dæmon returns a harder question. This is the lab’s distinctive construct and its wager: that an agent built to develop a person can succeed where one built to serve them erodes their craft.</w:t>
      </w:r>
    </w:p>
    <w:p>
      <w:pPr>
        <w:spacing w:after="55" w:before="150"/>
      </w:pPr>
      <w:r>
        <w:rPr>
          <w:b/>
          <w:bCs/>
          <w:color w:val="1F3A5F"/>
          <w:sz w:val="20"/>
          <w:szCs w:val="20"/>
        </w:rPr>
        <w:t xml:space="preserve">The four creative capabilities</w:t>
      </w:r>
    </w:p>
    <w:p>
      <w:pPr>
        <w:spacing w:after="70"/>
      </w:pPr>
      <w:r>
        <w:rPr>
          <w:b/>
          <w:bCs/>
          <w:color w:val="1F3A5F"/>
          <w:sz w:val="19"/>
          <w:szCs w:val="19"/>
        </w:rPr>
        <w:t xml:space="preserve">Extended Engagement (Shape).  </w:t>
      </w:r>
      <w:r>
        <w:rPr>
          <w:color w:val="222222"/>
          <w:sz w:val="19"/>
          <w:szCs w:val="19"/>
        </w:rPr>
        <w:t xml:space="preserve">Sustained embodied immersion in a material or problem, held until form emerges.</w:t>
      </w:r>
    </w:p>
    <w:p>
      <w:pPr>
        <w:spacing w:after="70"/>
      </w:pPr>
      <w:r>
        <w:rPr>
          <w:b/>
          <w:bCs/>
          <w:color w:val="1F3A5F"/>
          <w:sz w:val="19"/>
          <w:szCs w:val="19"/>
        </w:rPr>
        <w:t xml:space="preserve">Aesthetic Awareness (Style).  </w:t>
      </w:r>
      <w:r>
        <w:rPr>
          <w:color w:val="222222"/>
          <w:sz w:val="19"/>
          <w:szCs w:val="19"/>
        </w:rPr>
        <w:t xml:space="preserve">Trained discernment of what works and why.</w:t>
      </w:r>
    </w:p>
    <w:p>
      <w:pPr>
        <w:spacing w:after="70"/>
      </w:pPr>
      <w:r>
        <w:rPr>
          <w:b/>
          <w:bCs/>
          <w:color w:val="1F3A5F"/>
          <w:sz w:val="19"/>
          <w:szCs w:val="19"/>
        </w:rPr>
        <w:t xml:space="preserve">Adaptive Coherence (Story).  </w:t>
      </w:r>
      <w:r>
        <w:rPr>
          <w:color w:val="222222"/>
          <w:sz w:val="19"/>
          <w:szCs w:val="19"/>
        </w:rPr>
        <w:t xml:space="preserve">Holding a work whole as its parts change.</w:t>
      </w:r>
    </w:p>
    <w:p>
      <w:pPr>
        <w:spacing w:after="70"/>
      </w:pPr>
      <w:r>
        <w:rPr>
          <w:b/>
          <w:bCs/>
          <w:color w:val="1F3A5F"/>
          <w:sz w:val="19"/>
          <w:szCs w:val="19"/>
        </w:rPr>
        <w:t xml:space="preserve">Expressive Influence (Statement).  </w:t>
      </w:r>
      <w:r>
        <w:rPr>
          <w:color w:val="222222"/>
          <w:sz w:val="19"/>
          <w:szCs w:val="19"/>
        </w:rPr>
        <w:t xml:space="preserve">Making a work land on an audience.</w:t>
      </w:r>
    </w:p>
    <w:p>
      <w:pPr>
        <w:spacing w:after="90"/>
      </w:pPr>
      <w:r>
        <w:rPr>
          <w:color w:val="222222"/>
          <w:sz w:val="19"/>
          <w:szCs w:val="19"/>
        </w:rPr>
        <w:t xml:space="preserve">When more than one is in play, the practitioner convenes them as a Creative Council, seated as Chairperson around one shared design object. The Council and the multi-model orchestration it stands against are research directions D3 and D4.</w:t>
      </w:r>
    </w:p>
    <w:p>
      <w:pPr>
        <w:pBdr>
          <w:bottom w:val="single" w:color="C9D2DE" w:sz="6" w:space="3"/>
        </w:pBdr>
        <w:spacing w:after="80" w:before="220"/>
      </w:pPr>
      <w:r>
        <w:rPr>
          <w:b/>
          <w:bCs/>
          <w:color w:val="1F3A5F"/>
          <w:sz w:val="22"/>
          <w:szCs w:val="22"/>
        </w:rPr>
        <w:t xml:space="preserve">4. Position, benchmark, and 2030 objectives</w:t>
      </w:r>
    </w:p>
    <w:p>
      <w:pPr>
        <w:spacing w:after="90"/>
      </w:pPr>
      <w:r>
        <w:rPr>
          <w:color w:val="222222"/>
          <w:sz w:val="19"/>
          <w:szCs w:val="19"/>
        </w:rPr>
        <w:t xml:space="preserve">The lab joins a field that now frames AI around augmenting rather than replacing human capability: Stanford HAI, the MIT Media Lab’s work on human-AI symbiosis, Carnegie Mellon’s Human-Computer Interaction Institute, and Georgia Tech’s Design and Intelligence Lab, alongside the design-cognition tradition at TU Delft and Tongji’s College of Design and Innovation. Its position is specific. It studies creative capability, not general productivity. Its instrument is the withholding dæmon, a construct those completion-oriented labs do not study. Its grounding is embodied practice and Chinese philosophy. Its infrastructure is China-native and self-hosted. And it works across four design populations rather than a single user study.</w:t>
      </w:r>
    </w:p>
    <w:p>
      <w:pPr>
        <w:spacing w:after="90"/>
      </w:pPr>
      <w:r>
        <w:rPr>
          <w:color w:val="222222"/>
          <w:sz w:val="19"/>
          <w:szCs w:val="19"/>
        </w:rPr>
        <w:t xml:space="preserve">By 2030 the lab aims to hold five things. A validated, published instrument for the four capabilities, adopted beyond SUES. A configurable dæmon platform and a Creative Council method in open use. A sustained record in Design Studies, CHI, CSCW, and the design journals. A longitudinal dataset of human-agent creative work that no other group holds. And standing partnerships across Shanghai’s design and computing schools. The ambition is to become the reference point for the study of AI and creative capability, as a handful of labs became the reference for AI and language, and AI and vision.</w:t>
      </w:r>
    </w:p>
    <w:p>
      <w:pPr>
        <w:pBdr>
          <w:bottom w:val="single" w:color="C9D2DE" w:sz="6" w:space="3"/>
        </w:pBdr>
        <w:spacing w:after="80" w:before="220"/>
      </w:pPr>
      <w:r>
        <w:rPr>
          <w:b/>
          <w:bCs/>
          <w:color w:val="1F3A5F"/>
          <w:sz w:val="22"/>
          <w:szCs w:val="22"/>
        </w:rPr>
        <w:t xml:space="preserve">5. Four populations</w:t>
      </w:r>
    </w:p>
    <w:p>
      <w:pPr>
        <w:spacing w:after="70"/>
      </w:pPr>
      <w:r>
        <w:rPr>
          <w:b/>
          <w:bCs/>
          <w:color w:val="1F3A5F"/>
          <w:sz w:val="19"/>
          <w:szCs w:val="19"/>
        </w:rPr>
        <w:t xml:space="preserve">Design students.  </w:t>
      </w:r>
      <w:r>
        <w:rPr>
          <w:color w:val="222222"/>
          <w:sz w:val="19"/>
          <w:szCs w:val="19"/>
        </w:rPr>
        <w:t xml:space="preserve">Novices forming capability. The site for formation, transfer, and the design of the intervention.</w:t>
      </w:r>
    </w:p>
    <w:p>
      <w:pPr>
        <w:spacing w:after="70"/>
      </w:pPr>
      <w:r>
        <w:rPr>
          <w:b/>
          <w:bCs/>
          <w:color w:val="1F3A5F"/>
          <w:sz w:val="19"/>
          <w:szCs w:val="19"/>
        </w:rPr>
        <w:t xml:space="preserve">Design faculty.  </w:t>
      </w:r>
      <w:r>
        <w:rPr>
          <w:color w:val="222222"/>
          <w:sz w:val="19"/>
          <w:szCs w:val="19"/>
        </w:rPr>
        <w:t xml:space="preserve">Expert educators whose own judgment and whose transmission of a craft are both at stake when students meet agents before mentors.</w:t>
      </w:r>
    </w:p>
    <w:p>
      <w:pPr>
        <w:spacing w:after="70"/>
      </w:pPr>
      <w:r>
        <w:rPr>
          <w:b/>
          <w:bCs/>
          <w:color w:val="1F3A5F"/>
          <w:sz w:val="19"/>
          <w:szCs w:val="19"/>
        </w:rPr>
        <w:t xml:space="preserve">Design communities.  </w:t>
      </w:r>
      <w:r>
        <w:rPr>
          <w:color w:val="222222"/>
          <w:sz w:val="19"/>
          <w:szCs w:val="19"/>
        </w:rPr>
        <w:t xml:space="preserve">Collectives of practice, where the Council becomes a social form and shared purpose must hold across many practitioners and agents.</w:t>
      </w:r>
    </w:p>
    <w:p>
      <w:pPr>
        <w:spacing w:after="70"/>
      </w:pPr>
      <w:r>
        <w:rPr>
          <w:b/>
          <w:bCs/>
          <w:color w:val="1F3A5F"/>
          <w:sz w:val="19"/>
          <w:szCs w:val="19"/>
        </w:rPr>
        <w:t xml:space="preserve">Design agencies.  </w:t>
      </w:r>
      <w:r>
        <w:rPr>
          <w:color w:val="222222"/>
          <w:sz w:val="19"/>
          <w:szCs w:val="19"/>
        </w:rPr>
        <w:t xml:space="preserve">Commercial studios under the pressure to ship, where a withholding intermediary meets its hardest test and orchestration runs at scale.</w:t>
      </w:r>
    </w:p>
    <w:p>
      <w:pPr>
        <w:pBdr>
          <w:bottom w:val="single" w:color="C9D2DE" w:sz="6" w:space="3"/>
        </w:pBdr>
        <w:spacing w:after="80" w:before="220"/>
      </w:pPr>
      <w:r>
        <w:rPr>
          <w:b/>
          <w:bCs/>
          <w:color w:val="1F3A5F"/>
          <w:sz w:val="22"/>
          <w:szCs w:val="22"/>
        </w:rPr>
        <w:t xml:space="preserve">6. Research directions</w:t>
      </w:r>
    </w:p>
    <w:p>
      <w:pPr>
        <w:spacing w:after="55" w:before="150"/>
      </w:pPr>
      <w:r>
        <w:rPr>
          <w:b/>
          <w:bCs/>
          <w:color w:val="1F3A5F"/>
          <w:sz w:val="20"/>
          <w:szCs w:val="20"/>
        </w:rPr>
        <w:t xml:space="preserve">D1. Capability formation (students)</w:t>
      </w:r>
    </w:p>
    <w:p>
      <w:pPr>
        <w:spacing w:after="70"/>
      </w:pPr>
      <w:r>
        <w:rPr>
          <w:b/>
          <w:bCs/>
          <w:color w:val="1F3A5F"/>
          <w:sz w:val="19"/>
          <w:szCs w:val="19"/>
        </w:rPr>
        <w:t xml:space="preserve">The instrument.  </w:t>
      </w:r>
      <w:r>
        <w:rPr>
          <w:color w:val="222222"/>
          <w:sz w:val="19"/>
          <w:szCs w:val="19"/>
        </w:rPr>
        <w:t xml:space="preserve">Observable indicators of the four capabilities in studio work, derived from protocol and linkographic analysis and validated against blind expert assessment.</w:t>
      </w:r>
    </w:p>
    <w:p>
      <w:pPr>
        <w:spacing w:after="70"/>
      </w:pPr>
      <w:r>
        <w:rPr>
          <w:b/>
          <w:bCs/>
          <w:color w:val="1F3A5F"/>
          <w:sz w:val="19"/>
          <w:szCs w:val="19"/>
        </w:rPr>
        <w:t xml:space="preserve">Mechanism.  </w:t>
      </w:r>
      <w:r>
        <w:rPr>
          <w:color w:val="222222"/>
          <w:sz w:val="19"/>
          <w:szCs w:val="19"/>
        </w:rPr>
        <w:t xml:space="preserve">Whether the dæmon develops capability beyond an unaided baseline, a completion tool, and a consent-only condition that pauses for approval without requiring articulation. The consent-only condition separates the effect from interruption and time. Prediction: articulation exceeds consent-only, which exceeds the completion tool, on a delayed post-test, with assignment by studio section to keep the arms clean. If articulation and consent-only converge, the account fails.</w:t>
      </w:r>
    </w:p>
    <w:p>
      <w:pPr>
        <w:spacing w:after="70"/>
      </w:pPr>
      <w:r>
        <w:rPr>
          <w:b/>
          <w:bCs/>
          <w:color w:val="1F3A5F"/>
          <w:sz w:val="19"/>
          <w:szCs w:val="19"/>
        </w:rPr>
        <w:t xml:space="preserve">Fading and transfer.  </w:t>
      </w:r>
      <w:r>
        <w:rPr>
          <w:color w:val="222222"/>
          <w:sz w:val="19"/>
          <w:szCs w:val="19"/>
        </w:rPr>
        <w:t xml:space="preserve">The withdrawal schedule that yields autonomy rather than dependence, and near, far, and durable transfer against a completion-tool cohort.</w:t>
      </w:r>
    </w:p>
    <w:p>
      <w:pPr>
        <w:spacing w:after="55" w:before="150"/>
      </w:pPr>
      <w:r>
        <w:rPr>
          <w:b/>
          <w:bCs/>
          <w:color w:val="1F3A5F"/>
          <w:sz w:val="20"/>
          <w:szCs w:val="20"/>
        </w:rPr>
        <w:t xml:space="preserve">D2. Expert practice and transmission (faculty)</w:t>
      </w:r>
    </w:p>
    <w:p>
      <w:pPr>
        <w:spacing w:after="70"/>
      </w:pPr>
      <w:r>
        <w:rPr>
          <w:b/>
          <w:bCs/>
          <w:color w:val="1F3A5F"/>
          <w:sz w:val="19"/>
          <w:szCs w:val="19"/>
        </w:rPr>
        <w:t xml:space="preserve">Expert judgment.  </w:t>
      </w:r>
      <w:r>
        <w:rPr>
          <w:color w:val="222222"/>
          <w:sz w:val="19"/>
          <w:szCs w:val="19"/>
        </w:rPr>
        <w:t xml:space="preserve">Whether faculty who work through dæmons hold or lose their own judgment over sustained use.</w:t>
      </w:r>
    </w:p>
    <w:p>
      <w:pPr>
        <w:spacing w:after="70"/>
      </w:pPr>
      <w:r>
        <w:rPr>
          <w:b/>
          <w:bCs/>
          <w:color w:val="1F3A5F"/>
          <w:sz w:val="19"/>
          <w:szCs w:val="19"/>
        </w:rPr>
        <w:t xml:space="preserve">Transmission.  </w:t>
      </w:r>
      <w:r>
        <w:rPr>
          <w:color w:val="222222"/>
          <w:sz w:val="19"/>
          <w:szCs w:val="19"/>
        </w:rPr>
        <w:t xml:space="preserve">What happens to the apprenticeship of design when students arrive with answers in hand, and which parts of a craft still require long formation.</w:t>
      </w:r>
    </w:p>
    <w:p>
      <w:pPr>
        <w:spacing w:after="55" w:before="150"/>
      </w:pPr>
      <w:r>
        <w:rPr>
          <w:b/>
          <w:bCs/>
          <w:color w:val="1F3A5F"/>
          <w:sz w:val="20"/>
          <w:szCs w:val="20"/>
        </w:rPr>
        <w:t xml:space="preserve">D3. The Creative Council and collective creativity (communities)</w:t>
      </w:r>
    </w:p>
    <w:p>
      <w:pPr>
        <w:spacing w:after="70"/>
      </w:pPr>
      <w:r>
        <w:rPr>
          <w:b/>
          <w:bCs/>
          <w:color w:val="1F3A5F"/>
          <w:sz w:val="19"/>
          <w:szCs w:val="19"/>
        </w:rPr>
        <w:t xml:space="preserve">The Council as social form.  </w:t>
      </w:r>
      <w:r>
        <w:rPr>
          <w:color w:val="222222"/>
          <w:sz w:val="19"/>
          <w:szCs w:val="19"/>
        </w:rPr>
        <w:t xml:space="preserve">Whether the practitioner-as-Chairperson arrangement extends from one person to a collective, and whether shared purpose holds across many practitioners and agents. Studied through participatory design and action research.</w:t>
      </w:r>
    </w:p>
    <w:p>
      <w:pPr>
        <w:spacing w:after="55" w:before="150"/>
      </w:pPr>
      <w:r>
        <w:rPr>
          <w:b/>
          <w:bCs/>
          <w:color w:val="1F3A5F"/>
          <w:sz w:val="20"/>
          <w:szCs w:val="20"/>
        </w:rPr>
        <w:t xml:space="preserve">D4. Multi-model orchestration and authority (agencies)</w:t>
      </w:r>
    </w:p>
    <w:p>
      <w:pPr>
        <w:spacing w:after="70"/>
      </w:pPr>
      <w:r>
        <w:rPr>
          <w:b/>
          <w:bCs/>
          <w:color w:val="1F3A5F"/>
          <w:sz w:val="19"/>
          <w:szCs w:val="19"/>
        </w:rPr>
        <w:t xml:space="preserve">Orchestration against the Council.  </w:t>
      </w:r>
      <w:r>
        <w:rPr>
          <w:color w:val="222222"/>
          <w:sz w:val="19"/>
          <w:szCs w:val="19"/>
        </w:rPr>
        <w:t xml:space="preserve">The manuscript sets the Council against the mechanical orchestrator that routes and aggregates agents through Mixture-of-Experts routing inside a model and the Model Context Protocol and Agent-to-Agent delegation between systems, letting coordinated action stand in for shared purpose. The question is whether an orchestration with a human at the head of the table preserves purpose where the mechanical one codifies it away.</w:t>
      </w:r>
    </w:p>
    <w:p>
      <w:pPr>
        <w:spacing w:after="70"/>
      </w:pPr>
      <w:r>
        <w:rPr>
          <w:b/>
          <w:bCs/>
          <w:color w:val="1F3A5F"/>
          <w:sz w:val="19"/>
          <w:szCs w:val="19"/>
        </w:rPr>
        <w:t xml:space="preserve">WorkBuddy, challenge and opportunity.  </w:t>
      </w:r>
      <w:r>
        <w:rPr>
          <w:color w:val="222222"/>
          <w:sz w:val="19"/>
          <w:szCs w:val="19"/>
        </w:rPr>
        <w:t xml:space="preserve">WorkBuddy is mechanical orchestration shipping at scale: an Expert marketplace and Expert Teams that switch across Hunyuan, DeepSeek, GLM, Kimi, and MiniMax, built to complete. It is the strongest field case of orchestration codifying coordinated action, and the design challenge of reconfiguring a completion platform to seat the practitioner at the head.</w:t>
      </w:r>
    </w:p>
    <w:p>
      <w:pPr>
        <w:pBdr>
          <w:bottom w:val="single" w:color="C9D2DE" w:sz="6" w:space="3"/>
        </w:pBdr>
        <w:spacing w:after="80" w:before="220"/>
      </w:pPr>
      <w:r>
        <w:rPr>
          <w:b/>
          <w:bCs/>
          <w:color w:val="1F3A5F"/>
          <w:sz w:val="22"/>
          <w:szCs w:val="22"/>
        </w:rPr>
        <w:t xml:space="preserve">7. Five design workflows to research</w:t>
      </w:r>
    </w:p>
    <w:p>
      <w:pPr>
        <w:spacing w:after="90"/>
      </w:pPr>
      <w:r>
        <w:rPr>
          <w:color w:val="222222"/>
          <w:sz w:val="19"/>
          <w:szCs w:val="19"/>
        </w:rPr>
        <w:t xml:space="preserve">The lab studies the dæmon where design happens, across five workflows that span the four capabilities and the disciplines the studios and local industry work in. Each is an open-source pipeline with a decision the dæmon can hold, and each produces the logged record the methods read.</w:t>
      </w:r>
    </w:p>
    <w:tbl>
      <w:tblPr>
        <w:tblW w:type="dxa" w:w="9006"/>
        <w:tblBorders>
          <w:top w:val="single" w:color="C9D2DE" w:sz="2"/>
          <w:left w:val="single" w:color="C9D2DE" w:sz="2"/>
          <w:bottom w:val="single" w:color="C9D2DE" w:sz="2"/>
          <w:right w:val="single" w:color="C9D2DE" w:sz="2"/>
          <w:insideH w:val="single" w:color="C9D2DE" w:sz="2"/>
          <w:insideV w:val="single" w:color="C9D2DE" w:sz="2"/>
        </w:tblBorders>
      </w:tblPr>
      <w:tblGrid>
        <w:gridCol w:w="1900"/>
        <w:gridCol w:w="2200"/>
        <w:gridCol w:w="3200"/>
        <w:gridCol w:w="1706"/>
      </w:tblGrid>
      <w:tr>
        <w:trPr>
          <w:tblHeader/>
        </w:trPr>
        <w:tc>
          <w:tcPr>
            <w:tcW w:type="dxa" w:w="1900"/>
            <w:shd w:fill="E8EDF3" w:color="auto" w:val="clear"/>
            <w:tcMar>
              <w:top w:type="dxa" w:w="40"/>
              <w:left w:type="dxa" w:w="80"/>
              <w:bottom w:type="dxa" w:w="40"/>
              <w:right w:type="dxa" w:w="80"/>
            </w:tcMar>
          </w:tcPr>
          <w:p>
            <w:r>
              <w:rPr>
                <w:b/>
                <w:bCs/>
                <w:color w:val="1F3A5F"/>
                <w:sz w:val="15"/>
                <w:szCs w:val="15"/>
              </w:rPr>
              <w:t xml:space="preserve">Design domain</w:t>
            </w:r>
          </w:p>
        </w:tc>
        <w:tc>
          <w:tcPr>
            <w:tcW w:type="dxa" w:w="2200"/>
            <w:shd w:fill="E8EDF3" w:color="auto" w:val="clear"/>
            <w:tcMar>
              <w:top w:type="dxa" w:w="40"/>
              <w:left w:type="dxa" w:w="80"/>
              <w:bottom w:type="dxa" w:w="40"/>
              <w:right w:type="dxa" w:w="80"/>
            </w:tcMar>
          </w:tcPr>
          <w:p>
            <w:r>
              <w:rPr>
                <w:b/>
                <w:bCs/>
                <w:color w:val="1F3A5F"/>
                <w:sz w:val="15"/>
                <w:szCs w:val="15"/>
              </w:rPr>
              <w:t xml:space="preserve">Open-source pipeline</w:t>
            </w:r>
          </w:p>
        </w:tc>
        <w:tc>
          <w:tcPr>
            <w:tcW w:type="dxa" w:w="3200"/>
            <w:shd w:fill="E8EDF3" w:color="auto" w:val="clear"/>
            <w:tcMar>
              <w:top w:type="dxa" w:w="40"/>
              <w:left w:type="dxa" w:w="80"/>
              <w:bottom w:type="dxa" w:w="40"/>
              <w:right w:type="dxa" w:w="80"/>
            </w:tcMar>
          </w:tcPr>
          <w:p>
            <w:r>
              <w:rPr>
                <w:b/>
                <w:bCs/>
                <w:color w:val="1F3A5F"/>
                <w:sz w:val="15"/>
                <w:szCs w:val="15"/>
              </w:rPr>
              <w:t xml:space="preserve">Decision the dæmon holds</w:t>
            </w:r>
          </w:p>
        </w:tc>
        <w:tc>
          <w:tcPr>
            <w:tcW w:type="dxa" w:w="1706"/>
            <w:shd w:fill="E8EDF3" w:color="auto" w:val="clear"/>
            <w:tcMar>
              <w:top w:type="dxa" w:w="40"/>
              <w:left w:type="dxa" w:w="80"/>
              <w:bottom w:type="dxa" w:w="40"/>
              <w:right w:type="dxa" w:w="80"/>
            </w:tcMar>
          </w:tcPr>
          <w:p>
            <w:r>
              <w:rPr>
                <w:b/>
                <w:bCs/>
                <w:color w:val="1F3A5F"/>
                <w:sz w:val="15"/>
                <w:szCs w:val="15"/>
              </w:rPr>
              <w:t xml:space="preserve">Capability</w:t>
            </w:r>
          </w:p>
        </w:tc>
      </w:tr>
      <w:tr>
        <w:trPr>
          <w:tblHeader w:val="false"/>
        </w:trPr>
        <w:tc>
          <w:tcPr>
            <w:tcW w:type="dxa" w:w="1900"/>
            <w:tcMar>
              <w:top w:type="dxa" w:w="40"/>
              <w:left w:type="dxa" w:w="80"/>
              <w:bottom w:type="dxa" w:w="40"/>
              <w:right w:type="dxa" w:w="80"/>
            </w:tcMar>
          </w:tcPr>
          <w:p>
            <w:r>
              <w:rPr>
                <w:b w:val="false"/>
                <w:bCs w:val="false"/>
                <w:color w:val="222222"/>
                <w:sz w:val="15"/>
                <w:szCs w:val="15"/>
              </w:rPr>
              <w:t xml:space="preserve">Environmental, architecture</w:t>
            </w:r>
          </w:p>
        </w:tc>
        <w:tc>
          <w:tcPr>
            <w:tcW w:type="dxa" w:w="2200"/>
            <w:tcMar>
              <w:top w:type="dxa" w:w="40"/>
              <w:left w:type="dxa" w:w="80"/>
              <w:bottom w:type="dxa" w:w="40"/>
              <w:right w:type="dxa" w:w="80"/>
            </w:tcMar>
          </w:tcPr>
          <w:p>
            <w:r>
              <w:rPr>
                <w:b w:val="false"/>
                <w:bCs w:val="false"/>
                <w:color w:val="222222"/>
                <w:sz w:val="15"/>
                <w:szCs w:val="15"/>
              </w:rPr>
              <w:t xml:space="preserve">Hunyuan image; Hunyuan3D via Modly</w:t>
            </w:r>
          </w:p>
        </w:tc>
        <w:tc>
          <w:tcPr>
            <w:tcW w:type="dxa" w:w="3200"/>
            <w:tcMar>
              <w:top w:type="dxa" w:w="40"/>
              <w:left w:type="dxa" w:w="80"/>
              <w:bottom w:type="dxa" w:w="40"/>
              <w:right w:type="dxa" w:w="80"/>
            </w:tcMar>
          </w:tcPr>
          <w:p>
            <w:r>
              <w:rPr>
                <w:b w:val="false"/>
                <w:bCs w:val="false"/>
                <w:color w:val="222222"/>
                <w:sz w:val="15"/>
                <w:szCs w:val="15"/>
              </w:rPr>
              <w:t xml:space="preserve">Site response, program, circulation, the parti</w:t>
            </w:r>
          </w:p>
        </w:tc>
        <w:tc>
          <w:tcPr>
            <w:tcW w:type="dxa" w:w="1706"/>
            <w:tcMar>
              <w:top w:type="dxa" w:w="40"/>
              <w:left w:type="dxa" w:w="80"/>
              <w:bottom w:type="dxa" w:w="40"/>
              <w:right w:type="dxa" w:w="80"/>
            </w:tcMar>
          </w:tcPr>
          <w:p>
            <w:r>
              <w:rPr>
                <w:b w:val="false"/>
                <w:bCs w:val="false"/>
                <w:color w:val="222222"/>
                <w:sz w:val="15"/>
                <w:szCs w:val="15"/>
              </w:rPr>
              <w:t xml:space="preserve">Extended Engagement, Adaptive Coherence</w:t>
            </w:r>
          </w:p>
        </w:tc>
      </w:tr>
      <w:tr>
        <w:trPr>
          <w:tblHeader w:val="false"/>
        </w:trPr>
        <w:tc>
          <w:tcPr>
            <w:tcW w:type="dxa" w:w="1900"/>
            <w:tcMar>
              <w:top w:type="dxa" w:w="40"/>
              <w:left w:type="dxa" w:w="80"/>
              <w:bottom w:type="dxa" w:w="40"/>
              <w:right w:type="dxa" w:w="80"/>
            </w:tcMar>
          </w:tcPr>
          <w:p>
            <w:r>
              <w:rPr>
                <w:b w:val="false"/>
                <w:bCs w:val="false"/>
                <w:color w:val="222222"/>
                <w:sz w:val="15"/>
                <w:szCs w:val="15"/>
              </w:rPr>
              <w:t xml:space="preserve">Automotive</w:t>
            </w:r>
          </w:p>
        </w:tc>
        <w:tc>
          <w:tcPr>
            <w:tcW w:type="dxa" w:w="2200"/>
            <w:tcMar>
              <w:top w:type="dxa" w:w="40"/>
              <w:left w:type="dxa" w:w="80"/>
              <w:bottom w:type="dxa" w:w="40"/>
              <w:right w:type="dxa" w:w="80"/>
            </w:tcMar>
          </w:tcPr>
          <w:p>
            <w:r>
              <w:rPr>
                <w:b w:val="false"/>
                <w:bCs w:val="false"/>
                <w:color w:val="222222"/>
                <w:sz w:val="15"/>
                <w:szCs w:val="15"/>
              </w:rPr>
              <w:t xml:space="preserve">Hunyuan image; Modly</w:t>
            </w:r>
          </w:p>
        </w:tc>
        <w:tc>
          <w:tcPr>
            <w:tcW w:type="dxa" w:w="3200"/>
            <w:tcMar>
              <w:top w:type="dxa" w:w="40"/>
              <w:left w:type="dxa" w:w="80"/>
              <w:bottom w:type="dxa" w:w="40"/>
              <w:right w:type="dxa" w:w="80"/>
            </w:tcMar>
          </w:tcPr>
          <w:p>
            <w:r>
              <w:rPr>
                <w:b w:val="false"/>
                <w:bCs w:val="false"/>
                <w:color w:val="222222"/>
                <w:sz w:val="15"/>
                <w:szCs w:val="15"/>
              </w:rPr>
              <w:t xml:space="preserve">Package hardpoints, proportion, stance, surface</w:t>
            </w:r>
          </w:p>
        </w:tc>
        <w:tc>
          <w:tcPr>
            <w:tcW w:type="dxa" w:w="1706"/>
            <w:tcMar>
              <w:top w:type="dxa" w:w="40"/>
              <w:left w:type="dxa" w:w="80"/>
              <w:bottom w:type="dxa" w:w="40"/>
              <w:right w:type="dxa" w:w="80"/>
            </w:tcMar>
          </w:tcPr>
          <w:p>
            <w:r>
              <w:rPr>
                <w:b w:val="false"/>
                <w:bCs w:val="false"/>
                <w:color w:val="222222"/>
                <w:sz w:val="15"/>
                <w:szCs w:val="15"/>
              </w:rPr>
              <w:t xml:space="preserve">Aesthetic Awareness</w:t>
            </w:r>
          </w:p>
        </w:tc>
      </w:tr>
      <w:tr>
        <w:trPr>
          <w:tblHeader w:val="false"/>
        </w:trPr>
        <w:tc>
          <w:tcPr>
            <w:tcW w:type="dxa" w:w="1900"/>
            <w:tcMar>
              <w:top w:type="dxa" w:w="40"/>
              <w:left w:type="dxa" w:w="80"/>
              <w:bottom w:type="dxa" w:w="40"/>
              <w:right w:type="dxa" w:w="80"/>
            </w:tcMar>
          </w:tcPr>
          <w:p>
            <w:r>
              <w:rPr>
                <w:b w:val="false"/>
                <w:bCs w:val="false"/>
                <w:color w:val="222222"/>
                <w:sz w:val="15"/>
                <w:szCs w:val="15"/>
              </w:rPr>
              <w:t xml:space="preserve">Graphic</w:t>
            </w:r>
          </w:p>
        </w:tc>
        <w:tc>
          <w:tcPr>
            <w:tcW w:type="dxa" w:w="2200"/>
            <w:tcMar>
              <w:top w:type="dxa" w:w="40"/>
              <w:left w:type="dxa" w:w="80"/>
              <w:bottom w:type="dxa" w:w="40"/>
              <w:right w:type="dxa" w:w="80"/>
            </w:tcMar>
          </w:tcPr>
          <w:p>
            <w:r>
              <w:rPr>
                <w:b w:val="false"/>
                <w:bCs w:val="false"/>
                <w:color w:val="222222"/>
                <w:sz w:val="15"/>
                <w:szCs w:val="15"/>
              </w:rPr>
              <w:t xml:space="preserve">Hunyuan image</w:t>
            </w:r>
          </w:p>
        </w:tc>
        <w:tc>
          <w:tcPr>
            <w:tcW w:type="dxa" w:w="3200"/>
            <w:tcMar>
              <w:top w:type="dxa" w:w="40"/>
              <w:left w:type="dxa" w:w="80"/>
              <w:bottom w:type="dxa" w:w="40"/>
              <w:right w:type="dxa" w:w="80"/>
            </w:tcMar>
          </w:tcPr>
          <w:p>
            <w:r>
              <w:rPr>
                <w:b w:val="false"/>
                <w:bCs w:val="false"/>
                <w:color w:val="222222"/>
                <w:sz w:val="15"/>
                <w:szCs w:val="15"/>
              </w:rPr>
              <w:t xml:space="preserve">Message, hierarchy, grid, type</w:t>
            </w:r>
          </w:p>
        </w:tc>
        <w:tc>
          <w:tcPr>
            <w:tcW w:type="dxa" w:w="1706"/>
            <w:tcMar>
              <w:top w:type="dxa" w:w="40"/>
              <w:left w:type="dxa" w:w="80"/>
              <w:bottom w:type="dxa" w:w="40"/>
              <w:right w:type="dxa" w:w="80"/>
            </w:tcMar>
          </w:tcPr>
          <w:p>
            <w:r>
              <w:rPr>
                <w:b w:val="false"/>
                <w:bCs w:val="false"/>
                <w:color w:val="222222"/>
                <w:sz w:val="15"/>
                <w:szCs w:val="15"/>
              </w:rPr>
              <w:t xml:space="preserve">Expressive Influence, Aesthetic Awareness</w:t>
            </w:r>
          </w:p>
        </w:tc>
      </w:tr>
      <w:tr>
        <w:trPr>
          <w:tblHeader w:val="false"/>
        </w:trPr>
        <w:tc>
          <w:tcPr>
            <w:tcW w:type="dxa" w:w="1900"/>
            <w:tcMar>
              <w:top w:type="dxa" w:w="40"/>
              <w:left w:type="dxa" w:w="80"/>
              <w:bottom w:type="dxa" w:w="40"/>
              <w:right w:type="dxa" w:w="80"/>
            </w:tcMar>
          </w:tcPr>
          <w:p>
            <w:r>
              <w:rPr>
                <w:b w:val="false"/>
                <w:bCs w:val="false"/>
                <w:color w:val="222222"/>
                <w:sz w:val="15"/>
                <w:szCs w:val="15"/>
              </w:rPr>
              <w:t xml:space="preserve">Motion, video</w:t>
            </w:r>
          </w:p>
        </w:tc>
        <w:tc>
          <w:tcPr>
            <w:tcW w:type="dxa" w:w="2200"/>
            <w:tcMar>
              <w:top w:type="dxa" w:w="40"/>
              <w:left w:type="dxa" w:w="80"/>
              <w:bottom w:type="dxa" w:w="40"/>
              <w:right w:type="dxa" w:w="80"/>
            </w:tcMar>
          </w:tcPr>
          <w:p>
            <w:r>
              <w:rPr>
                <w:b w:val="false"/>
                <w:bCs w:val="false"/>
                <w:color w:val="222222"/>
                <w:sz w:val="15"/>
                <w:szCs w:val="15"/>
              </w:rPr>
              <w:t xml:space="preserve">OpenMontage</w:t>
            </w:r>
          </w:p>
        </w:tc>
        <w:tc>
          <w:tcPr>
            <w:tcW w:type="dxa" w:w="3200"/>
            <w:tcMar>
              <w:top w:type="dxa" w:w="40"/>
              <w:left w:type="dxa" w:w="80"/>
              <w:bottom w:type="dxa" w:w="40"/>
              <w:right w:type="dxa" w:w="80"/>
            </w:tcMar>
          </w:tcPr>
          <w:p>
            <w:r>
              <w:rPr>
                <w:b w:val="false"/>
                <w:bCs w:val="false"/>
                <w:color w:val="222222"/>
                <w:sz w:val="15"/>
                <w:szCs w:val="15"/>
              </w:rPr>
              <w:t xml:space="preserve">Emotional arc and structure, at the proposal gate</w:t>
            </w:r>
          </w:p>
        </w:tc>
        <w:tc>
          <w:tcPr>
            <w:tcW w:type="dxa" w:w="1706"/>
            <w:tcMar>
              <w:top w:type="dxa" w:w="40"/>
              <w:left w:type="dxa" w:w="80"/>
              <w:bottom w:type="dxa" w:w="40"/>
              <w:right w:type="dxa" w:w="80"/>
            </w:tcMar>
          </w:tcPr>
          <w:p>
            <w:r>
              <w:rPr>
                <w:b w:val="false"/>
                <w:bCs w:val="false"/>
                <w:color w:val="222222"/>
                <w:sz w:val="15"/>
                <w:szCs w:val="15"/>
              </w:rPr>
              <w:t xml:space="preserve">Adaptive Coherence, Aesthetic Awareness</w:t>
            </w:r>
          </w:p>
        </w:tc>
      </w:tr>
      <w:tr>
        <w:trPr>
          <w:tblHeader w:val="false"/>
        </w:trPr>
        <w:tc>
          <w:tcPr>
            <w:tcW w:type="dxa" w:w="1900"/>
            <w:tcMar>
              <w:top w:type="dxa" w:w="40"/>
              <w:left w:type="dxa" w:w="80"/>
              <w:bottom w:type="dxa" w:w="40"/>
              <w:right w:type="dxa" w:w="80"/>
            </w:tcMar>
          </w:tcPr>
          <w:p>
            <w:r>
              <w:rPr>
                <w:b w:val="false"/>
                <w:bCs w:val="false"/>
                <w:color w:val="222222"/>
                <w:sz w:val="15"/>
                <w:szCs w:val="15"/>
              </w:rPr>
              <w:t xml:space="preserve">Product, 3D form</w:t>
            </w:r>
          </w:p>
        </w:tc>
        <w:tc>
          <w:tcPr>
            <w:tcW w:type="dxa" w:w="2200"/>
            <w:tcMar>
              <w:top w:type="dxa" w:w="40"/>
              <w:left w:type="dxa" w:w="80"/>
              <w:bottom w:type="dxa" w:w="40"/>
              <w:right w:type="dxa" w:w="80"/>
            </w:tcMar>
          </w:tcPr>
          <w:p>
            <w:r>
              <w:rPr>
                <w:b w:val="false"/>
                <w:bCs w:val="false"/>
                <w:color w:val="222222"/>
                <w:sz w:val="15"/>
                <w:szCs w:val="15"/>
              </w:rPr>
              <w:t xml:space="preserve">Modly (Hunyuan3D)</w:t>
            </w:r>
          </w:p>
        </w:tc>
        <w:tc>
          <w:tcPr>
            <w:tcW w:type="dxa" w:w="3200"/>
            <w:tcMar>
              <w:top w:type="dxa" w:w="40"/>
              <w:left w:type="dxa" w:w="80"/>
              <w:bottom w:type="dxa" w:w="40"/>
              <w:right w:type="dxa" w:w="80"/>
            </w:tcMar>
          </w:tcPr>
          <w:p>
            <w:r>
              <w:rPr>
                <w:b w:val="false"/>
                <w:bCs w:val="false"/>
                <w:color w:val="222222"/>
                <w:sz w:val="15"/>
                <w:szCs w:val="15"/>
              </w:rPr>
              <w:t xml:space="preserve">Form, silhouette, proportion, use</w:t>
            </w:r>
          </w:p>
        </w:tc>
        <w:tc>
          <w:tcPr>
            <w:tcW w:type="dxa" w:w="1706"/>
            <w:tcMar>
              <w:top w:type="dxa" w:w="40"/>
              <w:left w:type="dxa" w:w="80"/>
              <w:bottom w:type="dxa" w:w="40"/>
              <w:right w:type="dxa" w:w="80"/>
            </w:tcMar>
          </w:tcPr>
          <w:p>
            <w:r>
              <w:rPr>
                <w:b w:val="false"/>
                <w:bCs w:val="false"/>
                <w:color w:val="222222"/>
                <w:sz w:val="15"/>
                <w:szCs w:val="15"/>
              </w:rPr>
              <w:t xml:space="preserve">Aesthetic Awareness, Extended Engagement</w:t>
            </w:r>
          </w:p>
        </w:tc>
      </w:tr>
    </w:tbl>
    <w:p>
      <w:pPr>
        <w:pBdr>
          <w:bottom w:val="single" w:color="C9D2DE" w:sz="6" w:space="3"/>
        </w:pBdr>
        <w:spacing w:after="80" w:before="220"/>
      </w:pPr>
      <w:r>
        <w:rPr>
          <w:b/>
          <w:bCs/>
          <w:color w:val="1F3A5F"/>
          <w:sz w:val="22"/>
          <w:szCs w:val="22"/>
        </w:rPr>
        <w:t xml:space="preserve">8. Methods</w:t>
      </w:r>
    </w:p>
    <w:p>
      <w:pPr>
        <w:spacing w:after="90"/>
      </w:pPr>
      <w:r>
        <w:rPr>
          <w:color w:val="222222"/>
          <w:sz w:val="19"/>
          <w:szCs w:val="19"/>
        </w:rPr>
        <w:t xml:space="preserve">The lab studies its own instruments. Every dæmon session produces a dense record: the person’s prompts and decisions, the models’ responses, the tool and agent calls, the revisions and selections, and their timing. That record is primary data, read through three layers that triangulate.</w:t>
      </w:r>
    </w:p>
    <w:p>
      <w:pPr>
        <w:spacing w:after="70"/>
      </w:pPr>
      <w:r>
        <w:rPr>
          <w:b/>
          <w:bCs/>
          <w:color w:val="1F3A5F"/>
          <w:sz w:val="19"/>
          <w:szCs w:val="19"/>
        </w:rPr>
        <w:t xml:space="preserve">Design-cognition analysis.  </w:t>
      </w:r>
      <w:r>
        <w:rPr>
          <w:color w:val="222222"/>
          <w:sz w:val="19"/>
          <w:szCs w:val="19"/>
        </w:rPr>
        <w:t xml:space="preserve">Protocol analysis of design moves in the Delft tradition (Cross, Christiaans and Dorst) and linkography (Goldschmidt), computed over the logged record rather than transcribed by hand.</w:t>
      </w:r>
    </w:p>
    <w:p>
      <w:pPr>
        <w:spacing w:after="70"/>
      </w:pPr>
      <w:r>
        <w:rPr>
          <w:b/>
          <w:bCs/>
          <w:color w:val="1F3A5F"/>
          <w:sz w:val="19"/>
          <w:szCs w:val="19"/>
        </w:rPr>
        <w:t xml:space="preserve">Interaction and process mining.  </w:t>
      </w:r>
      <w:r>
        <w:rPr>
          <w:color w:val="222222"/>
          <w:sz w:val="19"/>
          <w:szCs w:val="19"/>
        </w:rPr>
        <w:t xml:space="preserve">Sequence and process models of the decision record (Markov-model process mining, with dialogue and engagement-profile clustering), holding in view that interaction volume is not learning, and that unproductive engagement must be told from productive struggle.</w:t>
      </w:r>
    </w:p>
    <w:p>
      <w:pPr>
        <w:spacing w:after="70"/>
      </w:pPr>
      <w:r>
        <w:rPr>
          <w:b/>
          <w:bCs/>
          <w:color w:val="1F3A5F"/>
          <w:sz w:val="19"/>
          <w:szCs w:val="19"/>
        </w:rPr>
        <w:t xml:space="preserve">LLM-assisted qualitative analysis.  </w:t>
      </w:r>
      <w:r>
        <w:rPr>
          <w:color w:val="222222"/>
          <w:sz w:val="19"/>
          <w:szCs w:val="19"/>
        </w:rPr>
        <w:t xml:space="preserve">On-device open-source models assist open coding, keeping data in the lab, with human-AI hybrid codebooks, reported human-model agreement, and the researcher holding interpretive authority.</w:t>
      </w:r>
    </w:p>
    <w:p>
      <w:pPr>
        <w:spacing w:after="90"/>
      </w:pPr>
      <w:r>
        <w:rPr>
          <w:color w:val="222222"/>
          <w:sz w:val="19"/>
          <w:szCs w:val="19"/>
        </w:rPr>
        <w:t xml:space="preserve">On this base sit the causal and field designs. A pre-registered controlled comparison with the consent-only condition and delayed post-tests. Longitudinal ethnography of agencies and faculty. Participatory and action research with communities. Computational reading of AI-generated records, triangulated with controlled study and situated fieldwork, is the standard the lab builds to. The interaction record is rich personal data, so the lab runs on informed consent and ethics approval, and the logs stay self-hosted and access-controlled.</w:t>
      </w:r>
    </w:p>
    <w:p>
      <w:pPr>
        <w:pBdr>
          <w:bottom w:val="single" w:color="C9D2DE" w:sz="6" w:space="3"/>
        </w:pBdr>
        <w:spacing w:after="80" w:before="220"/>
      </w:pPr>
      <w:r>
        <w:rPr>
          <w:b/>
          <w:bCs/>
          <w:color w:val="1F3A5F"/>
          <w:sz w:val="22"/>
          <w:szCs w:val="22"/>
        </w:rPr>
        <w:t xml:space="preserve">9. Recommended stack: Tencent plus open-source</w:t>
      </w:r>
    </w:p>
    <w:p>
      <w:pPr>
        <w:pStyle w:val="ListParagraph"/>
        <w:numPr>
          <w:ilvl w:val="0"/>
          <w:numId w:val="2"/>
        </w:numPr>
        <w:spacing w:after="50"/>
      </w:pPr>
      <w:r>
        <w:rPr>
          <w:b/>
          <w:bCs/>
          <w:color w:val="1F3A5F"/>
          <w:sz w:val="19"/>
          <w:szCs w:val="19"/>
        </w:rPr>
        <w:t xml:space="preserve">Agent, tools, orchestration:  </w:t>
      </w:r>
      <w:r>
        <w:rPr>
          <w:color w:val="222222"/>
          <w:sz w:val="19"/>
          <w:szCs w:val="19"/>
        </w:rPr>
        <w:t xml:space="preserve">Tencent WorkBuddy on Hunyuan Hy3, sandboxed, with tool calling and MCP and model switching across Hunyuan, DeepSeek, GLM, Kimi, and MiniMax. Reusable dæmon behaviors package as WorkBuddy Skills. WorkBuddy is also the object of direction D4.</w:t>
      </w:r>
    </w:p>
    <w:p>
      <w:pPr>
        <w:pStyle w:val="ListParagraph"/>
        <w:numPr>
          <w:ilvl w:val="0"/>
          <w:numId w:val="2"/>
        </w:numPr>
        <w:spacing w:after="50"/>
      </w:pPr>
      <w:r>
        <w:rPr>
          <w:b/>
          <w:bCs/>
          <w:color w:val="1F3A5F"/>
          <w:sz w:val="19"/>
          <w:szCs w:val="19"/>
        </w:rPr>
        <w:t xml:space="preserve">Brain:  </w:t>
      </w:r>
      <w:r>
        <w:rPr>
          <w:color w:val="222222"/>
          <w:sz w:val="19"/>
          <w:szCs w:val="19"/>
        </w:rPr>
        <w:t xml:space="preserve">Hunyuan Hy3 by default, with any OpenAI-compatible endpoint, including local Ollama, for open weights.</w:t>
      </w:r>
    </w:p>
    <w:p>
      <w:pPr>
        <w:pStyle w:val="ListParagraph"/>
        <w:numPr>
          <w:ilvl w:val="0"/>
          <w:numId w:val="2"/>
        </w:numPr>
        <w:spacing w:after="50"/>
      </w:pPr>
      <w:r>
        <w:rPr>
          <w:b/>
          <w:bCs/>
          <w:color w:val="1F3A5F"/>
          <w:sz w:val="19"/>
          <w:szCs w:val="19"/>
        </w:rPr>
        <w:t xml:space="preserve">Creative generation:  </w:t>
      </w:r>
      <w:r>
        <w:rPr>
          <w:color w:val="222222"/>
          <w:sz w:val="19"/>
          <w:szCs w:val="19"/>
        </w:rPr>
        <w:t xml:space="preserve">Hunyuan3D, HunyuanVideo, and Hunyuan image.</w:t>
      </w:r>
    </w:p>
    <w:p>
      <w:pPr>
        <w:pStyle w:val="ListParagraph"/>
        <w:numPr>
          <w:ilvl w:val="0"/>
          <w:numId w:val="2"/>
        </w:numPr>
        <w:spacing w:after="50"/>
      </w:pPr>
      <w:r>
        <w:rPr>
          <w:b/>
          <w:bCs/>
          <w:color w:val="1F3A5F"/>
          <w:sz w:val="19"/>
          <w:szCs w:val="19"/>
        </w:rPr>
        <w:t xml:space="preserve">Speech in:  </w:t>
      </w:r>
      <w:r>
        <w:rPr>
          <w:color w:val="222222"/>
          <w:sz w:val="19"/>
          <w:szCs w:val="19"/>
        </w:rPr>
        <w:t xml:space="preserve">Whisper, or Tencent Cloud ASR.</w:t>
      </w:r>
    </w:p>
    <w:p>
      <w:pPr>
        <w:pStyle w:val="ListParagraph"/>
        <w:numPr>
          <w:ilvl w:val="0"/>
          <w:numId w:val="2"/>
        </w:numPr>
        <w:spacing w:after="50"/>
      </w:pPr>
      <w:r>
        <w:rPr>
          <w:b/>
          <w:bCs/>
          <w:color w:val="1F3A5F"/>
          <w:sz w:val="19"/>
          <w:szCs w:val="19"/>
        </w:rPr>
        <w:t xml:space="preserve">Voice out and clone:  </w:t>
      </w:r>
      <w:r>
        <w:rPr>
          <w:color w:val="222222"/>
          <w:sz w:val="19"/>
          <w:szCs w:val="19"/>
        </w:rPr>
        <w:t xml:space="preserve">CosyVoice or Chatterbox, or Tencent Cloud TTS.</w:t>
      </w:r>
    </w:p>
    <w:p>
      <w:pPr>
        <w:pStyle w:val="ListParagraph"/>
        <w:numPr>
          <w:ilvl w:val="0"/>
          <w:numId w:val="2"/>
        </w:numPr>
        <w:spacing w:after="50"/>
      </w:pPr>
      <w:r>
        <w:rPr>
          <w:b/>
          <w:bCs/>
          <w:color w:val="1F3A5F"/>
          <w:sz w:val="19"/>
          <w:szCs w:val="19"/>
        </w:rPr>
        <w:t xml:space="preserve">Face:  </w:t>
      </w:r>
      <w:r>
        <w:rPr>
          <w:color w:val="222222"/>
          <w:sz w:val="19"/>
          <w:szCs w:val="19"/>
        </w:rPr>
        <w:t xml:space="preserve">MuseTalk with LivePortrait, or Duix.Heygem for a fully local clone.</w:t>
      </w:r>
    </w:p>
    <w:p>
      <w:pPr>
        <w:pStyle w:val="ListParagraph"/>
        <w:numPr>
          <w:ilvl w:val="0"/>
          <w:numId w:val="2"/>
        </w:numPr>
        <w:spacing w:after="50"/>
      </w:pPr>
      <w:r>
        <w:rPr>
          <w:b/>
          <w:bCs/>
          <w:color w:val="1F3A5F"/>
          <w:sz w:val="19"/>
          <w:szCs w:val="19"/>
        </w:rPr>
        <w:t xml:space="preserve">Real-time interface:  </w:t>
      </w:r>
      <w:r>
        <w:rPr>
          <w:color w:val="222222"/>
          <w:sz w:val="19"/>
          <w:szCs w:val="19"/>
        </w:rPr>
        <w:t xml:space="preserve">OpenTalking or LiveTalking, for the WebRTC, interruptible pipeline.</w:t>
      </w:r>
    </w:p>
    <w:p>
      <w:pPr>
        <w:pStyle w:val="ListParagraph"/>
        <w:numPr>
          <w:ilvl w:val="0"/>
          <w:numId w:val="2"/>
        </w:numPr>
        <w:spacing w:after="50"/>
      </w:pPr>
      <w:r>
        <w:rPr>
          <w:b/>
          <w:bCs/>
          <w:color w:val="1F3A5F"/>
          <w:sz w:val="19"/>
          <w:szCs w:val="19"/>
        </w:rPr>
        <w:t xml:space="preserve">Memory:  </w:t>
      </w:r>
      <w:r>
        <w:rPr>
          <w:color w:val="222222"/>
          <w:sz w:val="19"/>
          <w:szCs w:val="19"/>
        </w:rPr>
        <w:t xml:space="preserve">a vector store over the ACI corpus and lab materials.</w:t>
      </w:r>
    </w:p>
    <w:p>
      <w:pPr>
        <w:pStyle w:val="ListParagraph"/>
        <w:numPr>
          <w:ilvl w:val="0"/>
          <w:numId w:val="2"/>
        </w:numPr>
        <w:spacing w:after="50"/>
      </w:pPr>
      <w:r>
        <w:rPr>
          <w:b/>
          <w:bCs/>
          <w:color w:val="1F3A5F"/>
          <w:sz w:val="19"/>
          <w:szCs w:val="19"/>
        </w:rPr>
        <w:t xml:space="preserve">Compute and hosting:  </w:t>
      </w:r>
      <w:r>
        <w:rPr>
          <w:color w:val="222222"/>
          <w:sz w:val="19"/>
          <w:szCs w:val="19"/>
        </w:rPr>
        <w:t xml:space="preserve">Tencent Cloud GPU or on-prem cards. WorkBuddy self-hosts via Lighthouse. Data stays in China.</w:t>
      </w:r>
    </w:p>
    <w:p>
      <w:pPr>
        <w:pStyle w:val="ListParagraph"/>
        <w:numPr>
          <w:ilvl w:val="0"/>
          <w:numId w:val="2"/>
        </w:numPr>
        <w:spacing w:after="50"/>
      </w:pPr>
      <w:r>
        <w:rPr>
          <w:b/>
          <w:bCs/>
          <w:color w:val="1F3A5F"/>
          <w:sz w:val="19"/>
          <w:szCs w:val="19"/>
        </w:rPr>
        <w:t xml:space="preserve">Instrumentation:  </w:t>
      </w:r>
      <w:r>
        <w:rPr>
          <w:color w:val="222222"/>
          <w:sz w:val="19"/>
          <w:szCs w:val="19"/>
        </w:rPr>
        <w:t xml:space="preserve">a session logger that captures every prompt, response, tool call, revision, and timing as the primary research record. This is the lab’s core research instrument.</w:t>
      </w:r>
    </w:p>
    <w:p>
      <w:pPr>
        <w:pBdr>
          <w:bottom w:val="single" w:color="C9D2DE" w:sz="6" w:space="3"/>
        </w:pBdr>
        <w:spacing w:after="80" w:before="220"/>
      </w:pPr>
      <w:r>
        <w:rPr>
          <w:b/>
          <w:bCs/>
          <w:color w:val="1F3A5F"/>
          <w:sz w:val="22"/>
          <w:szCs w:val="22"/>
        </w:rPr>
        <w:t xml:space="preserve">10. Compute</w:t>
      </w:r>
    </w:p>
    <w:p>
      <w:pPr>
        <w:spacing w:after="90"/>
      </w:pPr>
      <w:r>
        <w:rPr>
          <w:color w:val="222222"/>
          <w:sz w:val="19"/>
          <w:szCs w:val="19"/>
        </w:rPr>
        <w:t xml:space="preserve">Video and 3D generation are the heavy cost. Quantization with text-encoder offload to system RAM brings full-precision models onto one consumer GPU, so a prototype rig is inexpensive.</w:t>
      </w:r>
    </w:p>
    <w:tbl>
      <w:tblPr>
        <w:tblW w:type="dxa" w:w="9000"/>
        <w:tblBorders>
          <w:top w:val="single" w:color="C9D2DE" w:sz="2"/>
          <w:left w:val="single" w:color="C9D2DE" w:sz="2"/>
          <w:bottom w:val="single" w:color="C9D2DE" w:sz="2"/>
          <w:right w:val="single" w:color="C9D2DE" w:sz="2"/>
          <w:insideH w:val="single" w:color="C9D2DE" w:sz="2"/>
          <w:insideV w:val="single" w:color="C9D2DE" w:sz="2"/>
        </w:tblBorders>
      </w:tblPr>
      <w:tblGrid>
        <w:gridCol w:w="1300"/>
        <w:gridCol w:w="2200"/>
        <w:gridCol w:w="1700"/>
        <w:gridCol w:w="3800"/>
      </w:tblGrid>
      <w:tr>
        <w:trPr>
          <w:tblHeader/>
        </w:trPr>
        <w:tc>
          <w:tcPr>
            <w:tcW w:type="dxa" w:w="1300"/>
            <w:shd w:fill="E8EDF3" w:color="auto" w:val="clear"/>
            <w:tcMar>
              <w:top w:type="dxa" w:w="40"/>
              <w:left w:type="dxa" w:w="80"/>
              <w:bottom w:type="dxa" w:w="40"/>
              <w:right w:type="dxa" w:w="80"/>
            </w:tcMar>
          </w:tcPr>
          <w:p>
            <w:r>
              <w:rPr>
                <w:b/>
                <w:bCs/>
                <w:color w:val="1F3A5F"/>
                <w:sz w:val="15"/>
                <w:szCs w:val="15"/>
              </w:rPr>
              <w:t xml:space="preserve">Tier</w:t>
            </w:r>
          </w:p>
        </w:tc>
        <w:tc>
          <w:tcPr>
            <w:tcW w:type="dxa" w:w="2200"/>
            <w:shd w:fill="E8EDF3" w:color="auto" w:val="clear"/>
            <w:tcMar>
              <w:top w:type="dxa" w:w="40"/>
              <w:left w:type="dxa" w:w="80"/>
              <w:bottom w:type="dxa" w:w="40"/>
              <w:right w:type="dxa" w:w="80"/>
            </w:tcMar>
          </w:tcPr>
          <w:p>
            <w:r>
              <w:rPr>
                <w:b/>
                <w:bCs/>
                <w:color w:val="1F3A5F"/>
                <w:sz w:val="15"/>
                <w:szCs w:val="15"/>
              </w:rPr>
              <w:t xml:space="preserve">GPU</w:t>
            </w:r>
          </w:p>
        </w:tc>
        <w:tc>
          <w:tcPr>
            <w:tcW w:type="dxa" w:w="1700"/>
            <w:shd w:fill="E8EDF3" w:color="auto" w:val="clear"/>
            <w:tcMar>
              <w:top w:type="dxa" w:w="40"/>
              <w:left w:type="dxa" w:w="80"/>
              <w:bottom w:type="dxa" w:w="40"/>
              <w:right w:type="dxa" w:w="80"/>
            </w:tcMar>
          </w:tcPr>
          <w:p>
            <w:r>
              <w:rPr>
                <w:b/>
                <w:bCs/>
                <w:color w:val="1F3A5F"/>
                <w:sz w:val="15"/>
                <w:szCs w:val="15"/>
              </w:rPr>
              <w:t xml:space="preserve">System</w:t>
            </w:r>
          </w:p>
        </w:tc>
        <w:tc>
          <w:tcPr>
            <w:tcW w:type="dxa" w:w="3800"/>
            <w:shd w:fill="E8EDF3" w:color="auto" w:val="clear"/>
            <w:tcMar>
              <w:top w:type="dxa" w:w="40"/>
              <w:left w:type="dxa" w:w="80"/>
              <w:bottom w:type="dxa" w:w="40"/>
              <w:right w:type="dxa" w:w="80"/>
            </w:tcMar>
          </w:tcPr>
          <w:p>
            <w:r>
              <w:rPr>
                <w:b/>
                <w:bCs/>
                <w:color w:val="1F3A5F"/>
                <w:sz w:val="15"/>
                <w:szCs w:val="15"/>
              </w:rPr>
              <w:t xml:space="preserve">Runs</w:t>
            </w:r>
          </w:p>
        </w:tc>
      </w:tr>
      <w:tr>
        <w:trPr>
          <w:tblHeader w:val="false"/>
        </w:trPr>
        <w:tc>
          <w:tcPr>
            <w:tcW w:type="dxa" w:w="1300"/>
            <w:tcMar>
              <w:top w:type="dxa" w:w="40"/>
              <w:left w:type="dxa" w:w="80"/>
              <w:bottom w:type="dxa" w:w="40"/>
              <w:right w:type="dxa" w:w="80"/>
            </w:tcMar>
          </w:tcPr>
          <w:p>
            <w:r>
              <w:rPr>
                <w:b w:val="false"/>
                <w:bCs w:val="false"/>
                <w:color w:val="222222"/>
                <w:sz w:val="15"/>
                <w:szCs w:val="15"/>
              </w:rPr>
              <w:t xml:space="preserve">0 Prototype</w:t>
            </w:r>
          </w:p>
        </w:tc>
        <w:tc>
          <w:tcPr>
            <w:tcW w:type="dxa" w:w="2200"/>
            <w:tcMar>
              <w:top w:type="dxa" w:w="40"/>
              <w:left w:type="dxa" w:w="80"/>
              <w:bottom w:type="dxa" w:w="40"/>
              <w:right w:type="dxa" w:w="80"/>
            </w:tcMar>
          </w:tcPr>
          <w:p>
            <w:r>
              <w:rPr>
                <w:b w:val="false"/>
                <w:bCs w:val="false"/>
                <w:color w:val="222222"/>
                <w:sz w:val="15"/>
                <w:szCs w:val="15"/>
              </w:rPr>
              <w:t xml:space="preserve">1x RTX 4090 24GB</w:t>
            </w:r>
          </w:p>
        </w:tc>
        <w:tc>
          <w:tcPr>
            <w:tcW w:type="dxa" w:w="1700"/>
            <w:tcMar>
              <w:top w:type="dxa" w:w="40"/>
              <w:left w:type="dxa" w:w="80"/>
              <w:bottom w:type="dxa" w:w="40"/>
              <w:right w:type="dxa" w:w="80"/>
            </w:tcMar>
          </w:tcPr>
          <w:p>
            <w:r>
              <w:rPr>
                <w:b w:val="false"/>
                <w:bCs w:val="false"/>
                <w:color w:val="222222"/>
                <w:sz w:val="15"/>
                <w:szCs w:val="15"/>
              </w:rPr>
              <w:t xml:space="preserve">64GB RAM, 2TB NVMe</w:t>
            </w:r>
          </w:p>
        </w:tc>
        <w:tc>
          <w:tcPr>
            <w:tcW w:type="dxa" w:w="3800"/>
            <w:tcMar>
              <w:top w:type="dxa" w:w="40"/>
              <w:left w:type="dxa" w:w="80"/>
              <w:bottom w:type="dxa" w:w="40"/>
              <w:right w:type="dxa" w:w="80"/>
            </w:tcMar>
          </w:tcPr>
          <w:p>
            <w:r>
              <w:rPr>
                <w:b w:val="false"/>
                <w:bCs w:val="false"/>
                <w:color w:val="222222"/>
                <w:sz w:val="15"/>
                <w:szCs w:val="15"/>
              </w:rPr>
              <w:t xml:space="preserve">Dæmon LLM 7-14B quantized, image gen, Modly (Hunyuan3D Mini), short local video FP8, session logging</w:t>
            </w:r>
          </w:p>
        </w:tc>
      </w:tr>
      <w:tr>
        <w:trPr>
          <w:tblHeader w:val="false"/>
        </w:trPr>
        <w:tc>
          <w:tcPr>
            <w:tcW w:type="dxa" w:w="1300"/>
            <w:tcMar>
              <w:top w:type="dxa" w:w="40"/>
              <w:left w:type="dxa" w:w="80"/>
              <w:bottom w:type="dxa" w:w="40"/>
              <w:right w:type="dxa" w:w="80"/>
            </w:tcMar>
          </w:tcPr>
          <w:p>
            <w:r>
              <w:rPr>
                <w:b w:val="false"/>
                <w:bCs w:val="false"/>
                <w:color w:val="222222"/>
                <w:sz w:val="15"/>
                <w:szCs w:val="15"/>
              </w:rPr>
              <w:t xml:space="preserve">1 Workstation</w:t>
            </w:r>
          </w:p>
        </w:tc>
        <w:tc>
          <w:tcPr>
            <w:tcW w:type="dxa" w:w="2200"/>
            <w:tcMar>
              <w:top w:type="dxa" w:w="40"/>
              <w:left w:type="dxa" w:w="80"/>
              <w:bottom w:type="dxa" w:w="40"/>
              <w:right w:type="dxa" w:w="80"/>
            </w:tcMar>
          </w:tcPr>
          <w:p>
            <w:r>
              <w:rPr>
                <w:b w:val="false"/>
                <w:bCs w:val="false"/>
                <w:color w:val="222222"/>
                <w:sz w:val="15"/>
                <w:szCs w:val="15"/>
              </w:rPr>
              <w:t xml:space="preserve">1x 48GB (L40S) or 80GB (A100)</w:t>
            </w:r>
          </w:p>
        </w:tc>
        <w:tc>
          <w:tcPr>
            <w:tcW w:type="dxa" w:w="1700"/>
            <w:tcMar>
              <w:top w:type="dxa" w:w="40"/>
              <w:left w:type="dxa" w:w="80"/>
              <w:bottom w:type="dxa" w:w="40"/>
              <w:right w:type="dxa" w:w="80"/>
            </w:tcMar>
          </w:tcPr>
          <w:p>
            <w:r>
              <w:rPr>
                <w:b w:val="false"/>
                <w:bCs w:val="false"/>
                <w:color w:val="222222"/>
                <w:sz w:val="15"/>
                <w:szCs w:val="15"/>
              </w:rPr>
              <w:t xml:space="preserve">128GB RAM, 4TB NVMe</w:t>
            </w:r>
          </w:p>
        </w:tc>
        <w:tc>
          <w:tcPr>
            <w:tcW w:type="dxa" w:w="3800"/>
            <w:tcMar>
              <w:top w:type="dxa" w:w="40"/>
              <w:left w:type="dxa" w:w="80"/>
              <w:bottom w:type="dxa" w:w="40"/>
              <w:right w:type="dxa" w:w="80"/>
            </w:tcMar>
          </w:tcPr>
          <w:p>
            <w:r>
              <w:rPr>
                <w:b w:val="false"/>
                <w:bCs w:val="false"/>
                <w:color w:val="222222"/>
                <w:sz w:val="15"/>
                <w:szCs w:val="15"/>
              </w:rPr>
              <w:t xml:space="preserve">WAN 14B or HunyuanVideo 720p FP8, Hunyuan3D full, larger dæmon LLM</w:t>
            </w:r>
          </w:p>
        </w:tc>
      </w:tr>
      <w:tr>
        <w:trPr>
          <w:tblHeader w:val="false"/>
        </w:trPr>
        <w:tc>
          <w:tcPr>
            <w:tcW w:type="dxa" w:w="1300"/>
            <w:tcMar>
              <w:top w:type="dxa" w:w="40"/>
              <w:left w:type="dxa" w:w="80"/>
              <w:bottom w:type="dxa" w:w="40"/>
              <w:right w:type="dxa" w:w="80"/>
            </w:tcMar>
          </w:tcPr>
          <w:p>
            <w:r>
              <w:rPr>
                <w:b w:val="false"/>
                <w:bCs w:val="false"/>
                <w:color w:val="222222"/>
                <w:sz w:val="15"/>
                <w:szCs w:val="15"/>
              </w:rPr>
              <w:t xml:space="preserve">2 Cohort node</w:t>
            </w:r>
          </w:p>
        </w:tc>
        <w:tc>
          <w:tcPr>
            <w:tcW w:type="dxa" w:w="2200"/>
            <w:tcMar>
              <w:top w:type="dxa" w:w="40"/>
              <w:left w:type="dxa" w:w="80"/>
              <w:bottom w:type="dxa" w:w="40"/>
              <w:right w:type="dxa" w:w="80"/>
            </w:tcMar>
          </w:tcPr>
          <w:p>
            <w:r>
              <w:rPr>
                <w:b w:val="false"/>
                <w:bCs w:val="false"/>
                <w:color w:val="222222"/>
                <w:sz w:val="15"/>
                <w:szCs w:val="15"/>
              </w:rPr>
              <w:t xml:space="preserve">2-4x 48-80GB, or Tencent Cloud GPU</w:t>
            </w:r>
          </w:p>
        </w:tc>
        <w:tc>
          <w:tcPr>
            <w:tcW w:type="dxa" w:w="1700"/>
            <w:tcMar>
              <w:top w:type="dxa" w:w="40"/>
              <w:left w:type="dxa" w:w="80"/>
              <w:bottom w:type="dxa" w:w="40"/>
              <w:right w:type="dxa" w:w="80"/>
            </w:tcMar>
          </w:tcPr>
          <w:p>
            <w:r>
              <w:rPr>
                <w:b w:val="false"/>
                <w:bCs w:val="false"/>
                <w:color w:val="222222"/>
                <w:sz w:val="15"/>
                <w:szCs w:val="15"/>
              </w:rPr>
              <w:t xml:space="preserve">256GB+ RAM</w:t>
            </w:r>
          </w:p>
        </w:tc>
        <w:tc>
          <w:tcPr>
            <w:tcW w:type="dxa" w:w="3800"/>
            <w:tcMar>
              <w:top w:type="dxa" w:w="40"/>
              <w:left w:type="dxa" w:w="80"/>
              <w:bottom w:type="dxa" w:w="40"/>
              <w:right w:type="dxa" w:w="80"/>
            </w:tcMar>
          </w:tcPr>
          <w:p>
            <w:r>
              <w:rPr>
                <w:b w:val="false"/>
                <w:bCs w:val="false"/>
                <w:color w:val="222222"/>
                <w:sz w:val="15"/>
                <w:szCs w:val="15"/>
              </w:rPr>
              <w:t xml:space="preserve">Concurrent studio sessions plus overnight batch</w:t>
            </w:r>
          </w:p>
        </w:tc>
      </w:tr>
    </w:tbl>
    <w:p>
      <w:pPr>
        <w:pBdr>
          <w:bottom w:val="single" w:color="C9D2DE" w:sz="6" w:space="3"/>
        </w:pBdr>
        <w:spacing w:after="80" w:before="220"/>
      </w:pPr>
      <w:r>
        <w:rPr>
          <w:b/>
          <w:bCs/>
          <w:color w:val="1F3A5F"/>
          <w:sz w:val="22"/>
          <w:szCs w:val="22"/>
        </w:rPr>
        <w:t xml:space="preserve">11. Target journals</w:t>
      </w:r>
    </w:p>
    <w:tbl>
      <w:tblPr>
        <w:tblW w:type="dxa" w:w="9006"/>
        <w:tblBorders>
          <w:top w:val="single" w:color="C9D2DE" w:sz="2"/>
          <w:left w:val="single" w:color="C9D2DE" w:sz="2"/>
          <w:bottom w:val="single" w:color="C9D2DE" w:sz="2"/>
          <w:right w:val="single" w:color="C9D2DE" w:sz="2"/>
          <w:insideH w:val="single" w:color="C9D2DE" w:sz="2"/>
          <w:insideV w:val="single" w:color="C9D2DE" w:sz="2"/>
        </w:tblBorders>
      </w:tblPr>
      <w:tblGrid>
        <w:gridCol w:w="2500"/>
        <w:gridCol w:w="3100"/>
        <w:gridCol w:w="3406"/>
      </w:tblGrid>
      <w:tr>
        <w:trPr>
          <w:tblHeader/>
        </w:trPr>
        <w:tc>
          <w:tcPr>
            <w:tcW w:type="dxa" w:w="2500"/>
            <w:shd w:fill="E8EDF3" w:color="auto" w:val="clear"/>
            <w:tcMar>
              <w:top w:type="dxa" w:w="40"/>
              <w:left w:type="dxa" w:w="80"/>
              <w:bottom w:type="dxa" w:w="40"/>
              <w:right w:type="dxa" w:w="80"/>
            </w:tcMar>
          </w:tcPr>
          <w:p>
            <w:r>
              <w:rPr>
                <w:b/>
                <w:bCs/>
                <w:color w:val="1F3A5F"/>
                <w:sz w:val="15"/>
                <w:szCs w:val="15"/>
              </w:rPr>
              <w:t xml:space="preserve">Focus</w:t>
            </w:r>
          </w:p>
        </w:tc>
        <w:tc>
          <w:tcPr>
            <w:tcW w:type="dxa" w:w="3100"/>
            <w:shd w:fill="E8EDF3" w:color="auto" w:val="clear"/>
            <w:tcMar>
              <w:top w:type="dxa" w:w="40"/>
              <w:left w:type="dxa" w:w="80"/>
              <w:bottom w:type="dxa" w:w="40"/>
              <w:right w:type="dxa" w:w="80"/>
            </w:tcMar>
          </w:tcPr>
          <w:p>
            <w:r>
              <w:rPr>
                <w:b/>
                <w:bCs/>
                <w:color w:val="1F3A5F"/>
                <w:sz w:val="15"/>
                <w:szCs w:val="15"/>
              </w:rPr>
              <w:t xml:space="preserve">Primary</w:t>
            </w:r>
          </w:p>
        </w:tc>
        <w:tc>
          <w:tcPr>
            <w:tcW w:type="dxa" w:w="3406"/>
            <w:shd w:fill="E8EDF3" w:color="auto" w:val="clear"/>
            <w:tcMar>
              <w:top w:type="dxa" w:w="40"/>
              <w:left w:type="dxa" w:w="80"/>
              <w:bottom w:type="dxa" w:w="40"/>
              <w:right w:type="dxa" w:w="80"/>
            </w:tcMar>
          </w:tcPr>
          <w:p>
            <w:r>
              <w:rPr>
                <w:b/>
                <w:bCs/>
                <w:color w:val="1F3A5F"/>
                <w:sz w:val="15"/>
                <w:szCs w:val="15"/>
              </w:rPr>
              <w:t xml:space="preserve">Secondary</w:t>
            </w:r>
          </w:p>
        </w:tc>
      </w:tr>
      <w:tr>
        <w:trPr>
          <w:tblHeader w:val="false"/>
        </w:trPr>
        <w:tc>
          <w:tcPr>
            <w:tcW w:type="dxa" w:w="2500"/>
            <w:tcMar>
              <w:top w:type="dxa" w:w="40"/>
              <w:left w:type="dxa" w:w="80"/>
              <w:bottom w:type="dxa" w:w="40"/>
              <w:right w:type="dxa" w:w="80"/>
            </w:tcMar>
          </w:tcPr>
          <w:p>
            <w:r>
              <w:rPr>
                <w:b w:val="false"/>
                <w:bCs w:val="false"/>
                <w:color w:val="222222"/>
                <w:sz w:val="15"/>
                <w:szCs w:val="15"/>
              </w:rPr>
              <w:t xml:space="preserve">Students: capability formation</w:t>
            </w:r>
          </w:p>
        </w:tc>
        <w:tc>
          <w:tcPr>
            <w:tcW w:type="dxa" w:w="3100"/>
            <w:tcMar>
              <w:top w:type="dxa" w:w="40"/>
              <w:left w:type="dxa" w:w="80"/>
              <w:bottom w:type="dxa" w:w="40"/>
              <w:right w:type="dxa" w:w="80"/>
            </w:tcMar>
          </w:tcPr>
          <w:p>
            <w:r>
              <w:rPr>
                <w:b w:val="false"/>
                <w:bCs w:val="false"/>
                <w:color w:val="222222"/>
                <w:sz w:val="15"/>
                <w:szCs w:val="15"/>
              </w:rPr>
              <w:t xml:space="preserve">Design Studies; Journal of the Learning Sciences</w:t>
            </w:r>
          </w:p>
        </w:tc>
        <w:tc>
          <w:tcPr>
            <w:tcW w:type="dxa" w:w="3406"/>
            <w:tcMar>
              <w:top w:type="dxa" w:w="40"/>
              <w:left w:type="dxa" w:w="80"/>
              <w:bottom w:type="dxa" w:w="40"/>
              <w:right w:type="dxa" w:w="80"/>
            </w:tcMar>
          </w:tcPr>
          <w:p>
            <w:r>
              <w:rPr>
                <w:b w:val="false"/>
                <w:bCs w:val="false"/>
                <w:color w:val="222222"/>
                <w:sz w:val="15"/>
                <w:szCs w:val="15"/>
              </w:rPr>
              <w:t xml:space="preserve">Int. J. of Technology and Design Education; ACM Creativity and Cognition</w:t>
            </w:r>
          </w:p>
        </w:tc>
      </w:tr>
      <w:tr>
        <w:trPr>
          <w:tblHeader w:val="false"/>
        </w:trPr>
        <w:tc>
          <w:tcPr>
            <w:tcW w:type="dxa" w:w="2500"/>
            <w:tcMar>
              <w:top w:type="dxa" w:w="40"/>
              <w:left w:type="dxa" w:w="80"/>
              <w:bottom w:type="dxa" w:w="40"/>
              <w:right w:type="dxa" w:w="80"/>
            </w:tcMar>
          </w:tcPr>
          <w:p>
            <w:r>
              <w:rPr>
                <w:b w:val="false"/>
                <w:bCs w:val="false"/>
                <w:color w:val="222222"/>
                <w:sz w:val="15"/>
                <w:szCs w:val="15"/>
              </w:rPr>
              <w:t xml:space="preserve">Faculty: expert practice, transmission</w:t>
            </w:r>
          </w:p>
        </w:tc>
        <w:tc>
          <w:tcPr>
            <w:tcW w:type="dxa" w:w="3100"/>
            <w:tcMar>
              <w:top w:type="dxa" w:w="40"/>
              <w:left w:type="dxa" w:w="80"/>
              <w:bottom w:type="dxa" w:w="40"/>
              <w:right w:type="dxa" w:w="80"/>
            </w:tcMar>
          </w:tcPr>
          <w:p>
            <w:r>
              <w:rPr>
                <w:b w:val="false"/>
                <w:bCs w:val="false"/>
                <w:color w:val="222222"/>
                <w:sz w:val="15"/>
                <w:szCs w:val="15"/>
              </w:rPr>
              <w:t xml:space="preserve">Design Studies; Design Issues</w:t>
            </w:r>
          </w:p>
        </w:tc>
        <w:tc>
          <w:tcPr>
            <w:tcW w:type="dxa" w:w="3406"/>
            <w:tcMar>
              <w:top w:type="dxa" w:w="40"/>
              <w:left w:type="dxa" w:w="80"/>
              <w:bottom w:type="dxa" w:w="40"/>
              <w:right w:type="dxa" w:w="80"/>
            </w:tcMar>
          </w:tcPr>
          <w:p>
            <w:r>
              <w:rPr>
                <w:b w:val="false"/>
                <w:bCs w:val="false"/>
                <w:color w:val="222222"/>
                <w:sz w:val="15"/>
                <w:szCs w:val="15"/>
              </w:rPr>
              <w:t xml:space="preserve">She Ji; Int. J. of Technology and Design Education</w:t>
            </w:r>
          </w:p>
        </w:tc>
      </w:tr>
      <w:tr>
        <w:trPr>
          <w:tblHeader w:val="false"/>
        </w:trPr>
        <w:tc>
          <w:tcPr>
            <w:tcW w:type="dxa" w:w="2500"/>
            <w:tcMar>
              <w:top w:type="dxa" w:w="40"/>
              <w:left w:type="dxa" w:w="80"/>
              <w:bottom w:type="dxa" w:w="40"/>
              <w:right w:type="dxa" w:w="80"/>
            </w:tcMar>
          </w:tcPr>
          <w:p>
            <w:r>
              <w:rPr>
                <w:b w:val="false"/>
                <w:bCs w:val="false"/>
                <w:color w:val="222222"/>
                <w:sz w:val="15"/>
                <w:szCs w:val="15"/>
              </w:rPr>
              <w:t xml:space="preserve">Communities: the Creative Council</w:t>
            </w:r>
          </w:p>
        </w:tc>
        <w:tc>
          <w:tcPr>
            <w:tcW w:type="dxa" w:w="3100"/>
            <w:tcMar>
              <w:top w:type="dxa" w:w="40"/>
              <w:left w:type="dxa" w:w="80"/>
              <w:bottom w:type="dxa" w:w="40"/>
              <w:right w:type="dxa" w:w="80"/>
            </w:tcMar>
          </w:tcPr>
          <w:p>
            <w:r>
              <w:rPr>
                <w:b w:val="false"/>
                <w:bCs w:val="false"/>
                <w:color w:val="222222"/>
                <w:sz w:val="15"/>
                <w:szCs w:val="15"/>
              </w:rPr>
              <w:t xml:space="preserve">CoDesign; New Media and Society</w:t>
            </w:r>
          </w:p>
        </w:tc>
        <w:tc>
          <w:tcPr>
            <w:tcW w:type="dxa" w:w="3406"/>
            <w:tcMar>
              <w:top w:type="dxa" w:w="40"/>
              <w:left w:type="dxa" w:w="80"/>
              <w:bottom w:type="dxa" w:w="40"/>
              <w:right w:type="dxa" w:w="80"/>
            </w:tcMar>
          </w:tcPr>
          <w:p>
            <w:r>
              <w:rPr>
                <w:b w:val="false"/>
                <w:bCs w:val="false"/>
                <w:color w:val="222222"/>
                <w:sz w:val="15"/>
                <w:szCs w:val="15"/>
              </w:rPr>
              <w:t xml:space="preserve">ACM CSCW (PACMHCI); She Ji</w:t>
            </w:r>
          </w:p>
        </w:tc>
      </w:tr>
      <w:tr>
        <w:trPr>
          <w:tblHeader w:val="false"/>
        </w:trPr>
        <w:tc>
          <w:tcPr>
            <w:tcW w:type="dxa" w:w="2500"/>
            <w:tcMar>
              <w:top w:type="dxa" w:w="40"/>
              <w:left w:type="dxa" w:w="80"/>
              <w:bottom w:type="dxa" w:w="40"/>
              <w:right w:type="dxa" w:w="80"/>
            </w:tcMar>
          </w:tcPr>
          <w:p>
            <w:r>
              <w:rPr>
                <w:b w:val="false"/>
                <w:bCs w:val="false"/>
                <w:color w:val="222222"/>
                <w:sz w:val="15"/>
                <w:szCs w:val="15"/>
              </w:rPr>
              <w:t xml:space="preserve">Agencies: orchestration, authority</w:t>
            </w:r>
          </w:p>
        </w:tc>
        <w:tc>
          <w:tcPr>
            <w:tcW w:type="dxa" w:w="3100"/>
            <w:tcMar>
              <w:top w:type="dxa" w:w="40"/>
              <w:left w:type="dxa" w:w="80"/>
              <w:bottom w:type="dxa" w:w="40"/>
              <w:right w:type="dxa" w:w="80"/>
            </w:tcMar>
          </w:tcPr>
          <w:p>
            <w:r>
              <w:rPr>
                <w:b w:val="false"/>
                <w:bCs w:val="false"/>
                <w:color w:val="222222"/>
                <w:sz w:val="15"/>
                <w:szCs w:val="15"/>
              </w:rPr>
              <w:t xml:space="preserve">ACM CHI; Int. J. of Human-Computer Studies</w:t>
            </w:r>
          </w:p>
        </w:tc>
        <w:tc>
          <w:tcPr>
            <w:tcW w:type="dxa" w:w="3406"/>
            <w:tcMar>
              <w:top w:type="dxa" w:w="40"/>
              <w:left w:type="dxa" w:w="80"/>
              <w:bottom w:type="dxa" w:w="40"/>
              <w:right w:type="dxa" w:w="80"/>
            </w:tcMar>
          </w:tcPr>
          <w:p>
            <w:r>
              <w:rPr>
                <w:b w:val="false"/>
                <w:bCs w:val="false"/>
                <w:color w:val="222222"/>
                <w:sz w:val="15"/>
                <w:szCs w:val="15"/>
              </w:rPr>
              <w:t xml:space="preserve">Journal of Engineering Design; ACM TOCHI</w:t>
            </w:r>
          </w:p>
        </w:tc>
      </w:tr>
    </w:tbl>
    <w:p>
      <w:pPr>
        <w:pBdr>
          <w:bottom w:val="single" w:color="C9D2DE" w:sz="6" w:space="3"/>
        </w:pBdr>
        <w:spacing w:after="80" w:before="220"/>
      </w:pPr>
      <w:r>
        <w:rPr>
          <w:b/>
          <w:bCs/>
          <w:color w:val="1F3A5F"/>
          <w:sz w:val="22"/>
          <w:szCs w:val="22"/>
        </w:rPr>
        <w:t xml:space="preserve">12. Shanghai partners</w:t>
      </w:r>
    </w:p>
    <w:p>
      <w:pPr>
        <w:spacing w:after="90"/>
      </w:pPr>
      <w:r>
        <w:rPr>
          <w:color w:val="222222"/>
          <w:sz w:val="19"/>
          <w:szCs w:val="19"/>
        </w:rPr>
        <w:t xml:space="preserve">Confirm current principal investigators before approaching. Tongji and Donghua are the warm starts, through Yilin Wang and Joseph’s expert appointment.</w:t>
      </w:r>
    </w:p>
    <w:tbl>
      <w:tblPr>
        <w:tblW w:type="dxa" w:w="9100"/>
        <w:tblBorders>
          <w:top w:val="single" w:color="C9D2DE" w:sz="2"/>
          <w:left w:val="single" w:color="C9D2DE" w:sz="2"/>
          <w:bottom w:val="single" w:color="C9D2DE" w:sz="2"/>
          <w:right w:val="single" w:color="C9D2DE" w:sz="2"/>
          <w:insideH w:val="single" w:color="C9D2DE" w:sz="2"/>
          <w:insideV w:val="single" w:color="C9D2DE" w:sz="2"/>
        </w:tblBorders>
      </w:tblPr>
      <w:tblGrid>
        <w:gridCol w:w="2600"/>
        <w:gridCol w:w="3300"/>
        <w:gridCol w:w="1900"/>
        <w:gridCol w:w="1300"/>
      </w:tblGrid>
      <w:tr>
        <w:trPr>
          <w:tblHeader/>
        </w:trPr>
        <w:tc>
          <w:tcPr>
            <w:tcW w:type="dxa" w:w="2600"/>
            <w:shd w:fill="E8EDF3" w:color="auto" w:val="clear"/>
            <w:tcMar>
              <w:top w:type="dxa" w:w="40"/>
              <w:left w:type="dxa" w:w="80"/>
              <w:bottom w:type="dxa" w:w="40"/>
              <w:right w:type="dxa" w:w="80"/>
            </w:tcMar>
          </w:tcPr>
          <w:p>
            <w:r>
              <w:rPr>
                <w:b/>
                <w:bCs/>
                <w:color w:val="1F3A5F"/>
                <w:sz w:val="15"/>
                <w:szCs w:val="15"/>
              </w:rPr>
              <w:t xml:space="preserve">Institution</w:t>
            </w:r>
          </w:p>
        </w:tc>
        <w:tc>
          <w:tcPr>
            <w:tcW w:type="dxa" w:w="3300"/>
            <w:shd w:fill="E8EDF3" w:color="auto" w:val="clear"/>
            <w:tcMar>
              <w:top w:type="dxa" w:w="40"/>
              <w:left w:type="dxa" w:w="80"/>
              <w:bottom w:type="dxa" w:w="40"/>
              <w:right w:type="dxa" w:w="80"/>
            </w:tcMar>
          </w:tcPr>
          <w:p>
            <w:r>
              <w:rPr>
                <w:b/>
                <w:bCs/>
                <w:color w:val="1F3A5F"/>
                <w:sz w:val="15"/>
                <w:szCs w:val="15"/>
              </w:rPr>
              <w:t xml:space="preserve">Group and strength</w:t>
            </w:r>
          </w:p>
        </w:tc>
        <w:tc>
          <w:tcPr>
            <w:tcW w:type="dxa" w:w="1900"/>
            <w:shd w:fill="E8EDF3" w:color="auto" w:val="clear"/>
            <w:tcMar>
              <w:top w:type="dxa" w:w="40"/>
              <w:left w:type="dxa" w:w="80"/>
              <w:bottom w:type="dxa" w:w="40"/>
              <w:right w:type="dxa" w:w="80"/>
            </w:tcMar>
          </w:tcPr>
          <w:p>
            <w:r>
              <w:rPr>
                <w:b/>
                <w:bCs/>
                <w:color w:val="1F3A5F"/>
                <w:sz w:val="15"/>
                <w:szCs w:val="15"/>
              </w:rPr>
              <w:t xml:space="preserve">Fit</w:t>
            </w:r>
          </w:p>
        </w:tc>
        <w:tc>
          <w:tcPr>
            <w:tcW w:type="dxa" w:w="1300"/>
            <w:shd w:fill="E8EDF3" w:color="auto" w:val="clear"/>
            <w:tcMar>
              <w:top w:type="dxa" w:w="40"/>
              <w:left w:type="dxa" w:w="80"/>
              <w:bottom w:type="dxa" w:w="40"/>
              <w:right w:type="dxa" w:w="80"/>
            </w:tcMar>
          </w:tcPr>
          <w:p>
            <w:r>
              <w:rPr>
                <w:b/>
                <w:bCs/>
                <w:color w:val="1F3A5F"/>
                <w:sz w:val="15"/>
                <w:szCs w:val="15"/>
              </w:rPr>
              <w:t xml:space="preserve">Entry</w:t>
            </w:r>
          </w:p>
        </w:tc>
      </w:tr>
      <w:tr>
        <w:trPr>
          <w:tblHeader w:val="false"/>
        </w:trPr>
        <w:tc>
          <w:tcPr>
            <w:tcW w:type="dxa" w:w="2600"/>
            <w:tcMar>
              <w:top w:type="dxa" w:w="40"/>
              <w:left w:type="dxa" w:w="80"/>
              <w:bottom w:type="dxa" w:w="40"/>
              <w:right w:type="dxa" w:w="80"/>
            </w:tcMar>
          </w:tcPr>
          <w:p>
            <w:r>
              <w:rPr>
                <w:b w:val="false"/>
                <w:bCs w:val="false"/>
                <w:color w:val="222222"/>
                <w:sz w:val="15"/>
                <w:szCs w:val="15"/>
              </w:rPr>
              <w:t xml:space="preserve">Tongji University, College of Design and Innovation</w:t>
            </w:r>
          </w:p>
        </w:tc>
        <w:tc>
          <w:tcPr>
            <w:tcW w:type="dxa" w:w="3300"/>
            <w:tcMar>
              <w:top w:type="dxa" w:w="40"/>
              <w:left w:type="dxa" w:w="80"/>
              <w:bottom w:type="dxa" w:w="40"/>
              <w:right w:type="dxa" w:w="80"/>
            </w:tcMar>
          </w:tcPr>
          <w:p>
            <w:r>
              <w:rPr>
                <w:b w:val="false"/>
                <w:bCs w:val="false"/>
                <w:color w:val="222222"/>
                <w:sz w:val="15"/>
                <w:szCs w:val="15"/>
              </w:rPr>
              <w:t xml:space="preserve">Design Engineering and Computing Research Lab (design cognition, affective computing); iDVx Lab (AI-supported design, HCI); publishes She Ji</w:t>
            </w:r>
          </w:p>
        </w:tc>
        <w:tc>
          <w:tcPr>
            <w:tcW w:type="dxa" w:w="1900"/>
            <w:tcMar>
              <w:top w:type="dxa" w:w="40"/>
              <w:left w:type="dxa" w:w="80"/>
              <w:bottom w:type="dxa" w:w="40"/>
              <w:right w:type="dxa" w:w="80"/>
            </w:tcMar>
          </w:tcPr>
          <w:p>
            <w:r>
              <w:rPr>
                <w:b w:val="false"/>
                <w:bCs w:val="false"/>
                <w:color w:val="222222"/>
                <w:sz w:val="15"/>
                <w:szCs w:val="15"/>
              </w:rPr>
              <w:t xml:space="preserve">Students, faculty, agencies</w:t>
            </w:r>
          </w:p>
        </w:tc>
        <w:tc>
          <w:tcPr>
            <w:tcW w:type="dxa" w:w="1300"/>
            <w:tcMar>
              <w:top w:type="dxa" w:w="40"/>
              <w:left w:type="dxa" w:w="80"/>
              <w:bottom w:type="dxa" w:w="40"/>
              <w:right w:type="dxa" w:w="80"/>
            </w:tcMar>
          </w:tcPr>
          <w:p>
            <w:r>
              <w:rPr>
                <w:b w:val="false"/>
                <w:bCs w:val="false"/>
                <w:color w:val="222222"/>
                <w:sz w:val="15"/>
                <w:szCs w:val="15"/>
              </w:rPr>
              <w:t xml:space="preserve">Yilin Wang; anchor</w:t>
            </w:r>
          </w:p>
        </w:tc>
      </w:tr>
      <w:tr>
        <w:trPr>
          <w:tblHeader w:val="false"/>
        </w:trPr>
        <w:tc>
          <w:tcPr>
            <w:tcW w:type="dxa" w:w="2600"/>
            <w:tcMar>
              <w:top w:type="dxa" w:w="40"/>
              <w:left w:type="dxa" w:w="80"/>
              <w:bottom w:type="dxa" w:w="40"/>
              <w:right w:type="dxa" w:w="80"/>
            </w:tcMar>
          </w:tcPr>
          <w:p>
            <w:r>
              <w:rPr>
                <w:b w:val="false"/>
                <w:bCs w:val="false"/>
                <w:color w:val="222222"/>
                <w:sz w:val="15"/>
                <w:szCs w:val="15"/>
              </w:rPr>
              <w:t xml:space="preserve">Shanghai Jiao Tong University, School of Design</w:t>
            </w:r>
          </w:p>
        </w:tc>
        <w:tc>
          <w:tcPr>
            <w:tcW w:type="dxa" w:w="3300"/>
            <w:tcMar>
              <w:top w:type="dxa" w:w="40"/>
              <w:left w:type="dxa" w:w="80"/>
              <w:bottom w:type="dxa" w:w="40"/>
              <w:right w:type="dxa" w:w="80"/>
            </w:tcMar>
          </w:tcPr>
          <w:p>
            <w:r>
              <w:rPr>
                <w:b w:val="false"/>
                <w:bCs w:val="false"/>
                <w:color w:val="222222"/>
                <w:sz w:val="15"/>
                <w:szCs w:val="15"/>
              </w:rPr>
              <w:t xml:space="preserve">Design with intelligent manufacturing and robotics; UX and HCI (Ting Han group)</w:t>
            </w:r>
          </w:p>
        </w:tc>
        <w:tc>
          <w:tcPr>
            <w:tcW w:type="dxa" w:w="1900"/>
            <w:tcMar>
              <w:top w:type="dxa" w:w="40"/>
              <w:left w:type="dxa" w:w="80"/>
              <w:bottom w:type="dxa" w:w="40"/>
              <w:right w:type="dxa" w:w="80"/>
            </w:tcMar>
          </w:tcPr>
          <w:p>
            <w:r>
              <w:rPr>
                <w:b w:val="false"/>
                <w:bCs w:val="false"/>
                <w:color w:val="222222"/>
                <w:sz w:val="15"/>
                <w:szCs w:val="15"/>
              </w:rPr>
              <w:t xml:space="preserve">Communities, agencies</w:t>
            </w:r>
          </w:p>
        </w:tc>
        <w:tc>
          <w:tcPr>
            <w:tcW w:type="dxa" w:w="1300"/>
            <w:tcMar>
              <w:top w:type="dxa" w:w="40"/>
              <w:left w:type="dxa" w:w="80"/>
              <w:bottom w:type="dxa" w:w="40"/>
              <w:right w:type="dxa" w:w="80"/>
            </w:tcMar>
          </w:tcPr>
          <w:p>
            <w:r>
              <w:rPr>
                <w:b w:val="false"/>
                <w:bCs w:val="false"/>
                <w:color w:val="222222"/>
                <w:sz w:val="15"/>
                <w:szCs w:val="15"/>
              </w:rPr>
              <w:t xml:space="preserve">Direct</w:t>
            </w:r>
          </w:p>
        </w:tc>
      </w:tr>
      <w:tr>
        <w:trPr>
          <w:tblHeader w:val="false"/>
        </w:trPr>
        <w:tc>
          <w:tcPr>
            <w:tcW w:type="dxa" w:w="2600"/>
            <w:tcMar>
              <w:top w:type="dxa" w:w="40"/>
              <w:left w:type="dxa" w:w="80"/>
              <w:bottom w:type="dxa" w:w="40"/>
              <w:right w:type="dxa" w:w="80"/>
            </w:tcMar>
          </w:tcPr>
          <w:p>
            <w:r>
              <w:rPr>
                <w:b w:val="false"/>
                <w:bCs w:val="false"/>
                <w:color w:val="222222"/>
                <w:sz w:val="15"/>
                <w:szCs w:val="15"/>
              </w:rPr>
              <w:t xml:space="preserve">Fudan University, School of Computer Science</w:t>
            </w:r>
          </w:p>
        </w:tc>
        <w:tc>
          <w:tcPr>
            <w:tcW w:type="dxa" w:w="3300"/>
            <w:tcMar>
              <w:top w:type="dxa" w:w="40"/>
              <w:left w:type="dxa" w:w="80"/>
              <w:bottom w:type="dxa" w:w="40"/>
              <w:right w:type="dxa" w:w="80"/>
            </w:tcMar>
          </w:tcPr>
          <w:p>
            <w:r>
              <w:rPr>
                <w:b w:val="false"/>
                <w:bCs w:val="false"/>
                <w:color w:val="222222"/>
                <w:sz w:val="15"/>
                <w:szCs w:val="15"/>
              </w:rPr>
              <w:t xml:space="preserve">Human-centered AGI and systems (Li Shang)</w:t>
            </w:r>
          </w:p>
        </w:tc>
        <w:tc>
          <w:tcPr>
            <w:tcW w:type="dxa" w:w="1900"/>
            <w:tcMar>
              <w:top w:type="dxa" w:w="40"/>
              <w:left w:type="dxa" w:w="80"/>
              <w:bottom w:type="dxa" w:w="40"/>
              <w:right w:type="dxa" w:w="80"/>
            </w:tcMar>
          </w:tcPr>
          <w:p>
            <w:r>
              <w:rPr>
                <w:b w:val="false"/>
                <w:bCs w:val="false"/>
                <w:color w:val="222222"/>
                <w:sz w:val="15"/>
                <w:szCs w:val="15"/>
              </w:rPr>
              <w:t xml:space="preserve">Agencies, orchestration</w:t>
            </w:r>
          </w:p>
        </w:tc>
        <w:tc>
          <w:tcPr>
            <w:tcW w:type="dxa" w:w="1300"/>
            <w:tcMar>
              <w:top w:type="dxa" w:w="40"/>
              <w:left w:type="dxa" w:w="80"/>
              <w:bottom w:type="dxa" w:w="40"/>
              <w:right w:type="dxa" w:w="80"/>
            </w:tcMar>
          </w:tcPr>
          <w:p>
            <w:r>
              <w:rPr>
                <w:b w:val="false"/>
                <w:bCs w:val="false"/>
                <w:color w:val="222222"/>
                <w:sz w:val="15"/>
                <w:szCs w:val="15"/>
              </w:rPr>
              <w:t xml:space="preserve">Direct</w:t>
            </w:r>
          </w:p>
        </w:tc>
      </w:tr>
      <w:tr>
        <w:trPr>
          <w:tblHeader w:val="false"/>
        </w:trPr>
        <w:tc>
          <w:tcPr>
            <w:tcW w:type="dxa" w:w="2600"/>
            <w:tcMar>
              <w:top w:type="dxa" w:w="40"/>
              <w:left w:type="dxa" w:w="80"/>
              <w:bottom w:type="dxa" w:w="40"/>
              <w:right w:type="dxa" w:w="80"/>
            </w:tcMar>
          </w:tcPr>
          <w:p>
            <w:r>
              <w:rPr>
                <w:b w:val="false"/>
                <w:bCs w:val="false"/>
                <w:color w:val="222222"/>
                <w:sz w:val="15"/>
                <w:szCs w:val="15"/>
              </w:rPr>
              <w:t xml:space="preserve">NYU Shanghai</w:t>
            </w:r>
          </w:p>
        </w:tc>
        <w:tc>
          <w:tcPr>
            <w:tcW w:type="dxa" w:w="3300"/>
            <w:tcMar>
              <w:top w:type="dxa" w:w="40"/>
              <w:left w:type="dxa" w:w="80"/>
              <w:bottom w:type="dxa" w:w="40"/>
              <w:right w:type="dxa" w:w="80"/>
            </w:tcMar>
          </w:tcPr>
          <w:p>
            <w:r>
              <w:rPr>
                <w:b w:val="false"/>
                <w:bCs w:val="false"/>
                <w:color w:val="222222"/>
                <w:sz w:val="15"/>
                <w:szCs w:val="15"/>
              </w:rPr>
              <w:t xml:space="preserve">Human-AI alignment and interaction (Hua Shen); CHI and CSCW</w:t>
            </w:r>
          </w:p>
        </w:tc>
        <w:tc>
          <w:tcPr>
            <w:tcW w:type="dxa" w:w="1900"/>
            <w:tcMar>
              <w:top w:type="dxa" w:w="40"/>
              <w:left w:type="dxa" w:w="80"/>
              <w:bottom w:type="dxa" w:w="40"/>
              <w:right w:type="dxa" w:w="80"/>
            </w:tcMar>
          </w:tcPr>
          <w:p>
            <w:r>
              <w:rPr>
                <w:b w:val="false"/>
                <w:bCs w:val="false"/>
                <w:color w:val="222222"/>
                <w:sz w:val="15"/>
                <w:szCs w:val="15"/>
              </w:rPr>
              <w:t xml:space="preserve">Agencies; co-authorship</w:t>
            </w:r>
          </w:p>
        </w:tc>
        <w:tc>
          <w:tcPr>
            <w:tcW w:type="dxa" w:w="1300"/>
            <w:tcMar>
              <w:top w:type="dxa" w:w="40"/>
              <w:left w:type="dxa" w:w="80"/>
              <w:bottom w:type="dxa" w:w="40"/>
              <w:right w:type="dxa" w:w="80"/>
            </w:tcMar>
          </w:tcPr>
          <w:p>
            <w:r>
              <w:rPr>
                <w:b w:val="false"/>
                <w:bCs w:val="false"/>
                <w:color w:val="222222"/>
                <w:sz w:val="15"/>
                <w:szCs w:val="15"/>
              </w:rPr>
              <w:t xml:space="preserve">Direct, English</w:t>
            </w:r>
          </w:p>
        </w:tc>
      </w:tr>
      <w:tr>
        <w:trPr>
          <w:tblHeader w:val="false"/>
        </w:trPr>
        <w:tc>
          <w:tcPr>
            <w:tcW w:type="dxa" w:w="2600"/>
            <w:tcMar>
              <w:top w:type="dxa" w:w="40"/>
              <w:left w:type="dxa" w:w="80"/>
              <w:bottom w:type="dxa" w:w="40"/>
              <w:right w:type="dxa" w:w="80"/>
            </w:tcMar>
          </w:tcPr>
          <w:p>
            <w:r>
              <w:rPr>
                <w:b w:val="false"/>
                <w:bCs w:val="false"/>
                <w:color w:val="222222"/>
                <w:sz w:val="15"/>
                <w:szCs w:val="15"/>
              </w:rPr>
              <w:t xml:space="preserve">East China Normal University, Psychology and Cognitive Science</w:t>
            </w:r>
          </w:p>
        </w:tc>
        <w:tc>
          <w:tcPr>
            <w:tcW w:type="dxa" w:w="3300"/>
            <w:tcMar>
              <w:top w:type="dxa" w:w="40"/>
              <w:left w:type="dxa" w:w="80"/>
              <w:bottom w:type="dxa" w:w="40"/>
              <w:right w:type="dxa" w:w="80"/>
            </w:tcMar>
          </w:tcPr>
          <w:p>
            <w:r>
              <w:rPr>
                <w:b w:val="false"/>
                <w:bCs w:val="false"/>
                <w:color w:val="222222"/>
                <w:sz w:val="15"/>
                <w:szCs w:val="15"/>
              </w:rPr>
              <w:t xml:space="preserve">Cognition, learning sciences, measurement</w:t>
            </w:r>
          </w:p>
        </w:tc>
        <w:tc>
          <w:tcPr>
            <w:tcW w:type="dxa" w:w="1900"/>
            <w:tcMar>
              <w:top w:type="dxa" w:w="40"/>
              <w:left w:type="dxa" w:w="80"/>
              <w:bottom w:type="dxa" w:w="40"/>
              <w:right w:type="dxa" w:w="80"/>
            </w:tcMar>
          </w:tcPr>
          <w:p>
            <w:r>
              <w:rPr>
                <w:b w:val="false"/>
                <w:bCs w:val="false"/>
                <w:color w:val="222222"/>
                <w:sz w:val="15"/>
                <w:szCs w:val="15"/>
              </w:rPr>
              <w:t xml:space="preserve">Students, faculty</w:t>
            </w:r>
          </w:p>
        </w:tc>
        <w:tc>
          <w:tcPr>
            <w:tcW w:type="dxa" w:w="1300"/>
            <w:tcMar>
              <w:top w:type="dxa" w:w="40"/>
              <w:left w:type="dxa" w:w="80"/>
              <w:bottom w:type="dxa" w:w="40"/>
              <w:right w:type="dxa" w:w="80"/>
            </w:tcMar>
          </w:tcPr>
          <w:p>
            <w:r>
              <w:rPr>
                <w:b w:val="false"/>
                <w:bCs w:val="false"/>
                <w:color w:val="222222"/>
                <w:sz w:val="15"/>
                <w:szCs w:val="15"/>
              </w:rPr>
              <w:t xml:space="preserve">Direct</w:t>
            </w:r>
          </w:p>
        </w:tc>
      </w:tr>
      <w:tr>
        <w:trPr>
          <w:tblHeader w:val="false"/>
        </w:trPr>
        <w:tc>
          <w:tcPr>
            <w:tcW w:type="dxa" w:w="2600"/>
            <w:tcMar>
              <w:top w:type="dxa" w:w="40"/>
              <w:left w:type="dxa" w:w="80"/>
              <w:bottom w:type="dxa" w:w="40"/>
              <w:right w:type="dxa" w:w="80"/>
            </w:tcMar>
          </w:tcPr>
          <w:p>
            <w:r>
              <w:rPr>
                <w:b w:val="false"/>
                <w:bCs w:val="false"/>
                <w:color w:val="222222"/>
                <w:sz w:val="15"/>
                <w:szCs w:val="15"/>
              </w:rPr>
              <w:t xml:space="preserve">Donghua University, School of Design</w:t>
            </w:r>
          </w:p>
        </w:tc>
        <w:tc>
          <w:tcPr>
            <w:tcW w:type="dxa" w:w="3300"/>
            <w:tcMar>
              <w:top w:type="dxa" w:w="40"/>
              <w:left w:type="dxa" w:w="80"/>
              <w:bottom w:type="dxa" w:w="40"/>
              <w:right w:type="dxa" w:w="80"/>
            </w:tcMar>
          </w:tcPr>
          <w:p>
            <w:r>
              <w:rPr>
                <w:b w:val="false"/>
                <w:bCs w:val="false"/>
                <w:color w:val="222222"/>
                <w:sz w:val="15"/>
                <w:szCs w:val="15"/>
              </w:rPr>
              <w:t xml:space="preserve">Design; Joseph’s foreign-expert host</w:t>
            </w:r>
          </w:p>
        </w:tc>
        <w:tc>
          <w:tcPr>
            <w:tcW w:type="dxa" w:w="1900"/>
            <w:tcMar>
              <w:top w:type="dxa" w:w="40"/>
              <w:left w:type="dxa" w:w="80"/>
              <w:bottom w:type="dxa" w:w="40"/>
              <w:right w:type="dxa" w:w="80"/>
            </w:tcMar>
          </w:tcPr>
          <w:p>
            <w:r>
              <w:rPr>
                <w:b w:val="false"/>
                <w:bCs w:val="false"/>
                <w:color w:val="222222"/>
                <w:sz w:val="15"/>
                <w:szCs w:val="15"/>
              </w:rPr>
              <w:t xml:space="preserve">Faculty, pilots</w:t>
            </w:r>
          </w:p>
        </w:tc>
        <w:tc>
          <w:tcPr>
            <w:tcW w:type="dxa" w:w="1300"/>
            <w:tcMar>
              <w:top w:type="dxa" w:w="40"/>
              <w:left w:type="dxa" w:w="80"/>
              <w:bottom w:type="dxa" w:w="40"/>
              <w:right w:type="dxa" w:w="80"/>
            </w:tcMar>
          </w:tcPr>
          <w:p>
            <w:r>
              <w:rPr>
                <w:b w:val="false"/>
                <w:bCs w:val="false"/>
                <w:color w:val="222222"/>
                <w:sz w:val="15"/>
                <w:szCs w:val="15"/>
              </w:rPr>
              <w:t xml:space="preserve">Warm</w:t>
            </w:r>
          </w:p>
        </w:tc>
      </w:tr>
    </w:tbl>
    <w:p>
      <w:pPr>
        <w:pBdr>
          <w:bottom w:val="single" w:color="C9D2DE" w:sz="6" w:space="3"/>
        </w:pBdr>
        <w:spacing w:after="80" w:before="220"/>
      </w:pPr>
      <w:r>
        <w:rPr>
          <w:b/>
          <w:bCs/>
          <w:color w:val="1F3A5F"/>
          <w:sz w:val="22"/>
          <w:szCs w:val="22"/>
        </w:rPr>
        <w:t xml:space="preserve">13. People and resourcing</w:t>
      </w:r>
    </w:p>
    <w:p>
      <w:pPr>
        <w:spacing w:after="90"/>
      </w:pPr>
      <w:r>
        <w:rPr>
          <w:color w:val="222222"/>
          <w:sz w:val="19"/>
          <w:szCs w:val="19"/>
        </w:rPr>
        <w:t xml:space="preserve">The lab is directed by Joseph Press, with Yilin Wang as co-lead and the anchor to Tongji. The near-term team is small and specific. A postdoctoral researcher or senior doctoral student leads the capability instrument and the controlled studies. A research engineer builds and maintains the dæmon platform and the logging pipeline. Two or three studio faculty serve as embedded collaborators who host the studies in their courses. An external advisory of design-cognition and human-AI researchers keeps the work honest against the field. Resourcing targets the National Natural Science Foundation of China and Shanghai municipal talent and innovation programs for the empirical work, and an industry partnership with Tencent for compute and platform access. None of this is yet secured, and the blueprint names the roles the program requires.</w:t>
      </w:r>
    </w:p>
    <w:p>
      <w:pPr>
        <w:pBdr>
          <w:bottom w:val="single" w:color="C9D2DE" w:sz="6" w:space="3"/>
        </w:pBdr>
        <w:spacing w:after="80" w:before="220"/>
      </w:pPr>
      <w:r>
        <w:rPr>
          <w:b/>
          <w:bCs/>
          <w:color w:val="1F3A5F"/>
          <w:sz w:val="22"/>
          <w:szCs w:val="22"/>
        </w:rPr>
        <w:t xml:space="preserve">14. Risks and mitigations</w:t>
      </w:r>
    </w:p>
    <w:p>
      <w:pPr>
        <w:pStyle w:val="ListParagraph"/>
        <w:numPr>
          <w:ilvl w:val="0"/>
          <w:numId w:val="2"/>
        </w:numPr>
        <w:spacing w:after="50"/>
      </w:pPr>
      <w:r>
        <w:rPr>
          <w:b/>
          <w:bCs/>
          <w:color w:val="1F3A5F"/>
          <w:sz w:val="19"/>
          <w:szCs w:val="19"/>
        </w:rPr>
        <w:t xml:space="preserve">The instrument may not validate.  </w:t>
      </w:r>
      <w:r>
        <w:rPr>
          <w:color w:val="222222"/>
          <w:sz w:val="19"/>
          <w:szCs w:val="19"/>
        </w:rPr>
        <w:t xml:space="preserve">If the four capabilities resist a reliable measure, the causal program stalls. Treat instrument development as a result in its own right, and partner with a group that holds a validated design-cognition measure.</w:t>
      </w:r>
    </w:p>
    <w:p>
      <w:pPr>
        <w:pStyle w:val="ListParagraph"/>
        <w:numPr>
          <w:ilvl w:val="0"/>
          <w:numId w:val="2"/>
        </w:numPr>
        <w:spacing w:after="50"/>
      </w:pPr>
      <w:r>
        <w:rPr>
          <w:b/>
          <w:bCs/>
          <w:color w:val="1F3A5F"/>
          <w:sz w:val="19"/>
          <w:szCs w:val="19"/>
        </w:rPr>
        <w:t xml:space="preserve">The controlled study is hard to run cleanly.  </w:t>
      </w:r>
      <w:r>
        <w:rPr>
          <w:color w:val="222222"/>
          <w:sz w:val="19"/>
          <w:szCs w:val="19"/>
        </w:rPr>
        <w:t xml:space="preserve">A graded studio makes random assignment and a completion-tool arm fraught, and the arms can contaminate one another. Assign by studio section rather than within a class, counterbalance across the semester, and keep the completion-tool arm to non-graded exercises.</w:t>
      </w:r>
    </w:p>
    <w:p>
      <w:pPr>
        <w:pStyle w:val="ListParagraph"/>
        <w:numPr>
          <w:ilvl w:val="0"/>
          <w:numId w:val="2"/>
        </w:numPr>
        <w:spacing w:after="50"/>
      </w:pPr>
      <w:r>
        <w:rPr>
          <w:b/>
          <w:bCs/>
          <w:color w:val="1F3A5F"/>
          <w:sz w:val="19"/>
          <w:szCs w:val="19"/>
        </w:rPr>
        <w:t xml:space="preserve">Field access is slow.  </w:t>
      </w:r>
      <w:r>
        <w:rPr>
          <w:color w:val="222222"/>
          <w:sz w:val="19"/>
          <w:szCs w:val="19"/>
        </w:rPr>
        <w:t xml:space="preserve">Agencies and communities take time to recruit and to trust. Open those cases early and lead with the warm partners.</w:t>
      </w:r>
    </w:p>
    <w:p>
      <w:pPr>
        <w:pStyle w:val="ListParagraph"/>
        <w:numPr>
          <w:ilvl w:val="0"/>
          <w:numId w:val="2"/>
        </w:numPr>
        <w:spacing w:after="50"/>
      </w:pPr>
      <w:r>
        <w:rPr>
          <w:b/>
          <w:bCs/>
          <w:color w:val="1F3A5F"/>
          <w:sz w:val="19"/>
          <w:szCs w:val="19"/>
        </w:rPr>
        <w:t xml:space="preserve">WorkBuddy is a moving commercial target.  </w:t>
      </w:r>
      <w:r>
        <w:rPr>
          <w:color w:val="222222"/>
          <w:sz w:val="19"/>
          <w:szCs w:val="19"/>
        </w:rPr>
        <w:t xml:space="preserve">Its features and models will change under us. Treat it as one instance of orchestration rather than a dependency, and keep the open-source path, OpenMontage, Modly, and self-hosted models, as the stable base.</w:t>
      </w:r>
    </w:p>
    <w:p>
      <w:pPr>
        <w:pBdr>
          <w:bottom w:val="single" w:color="C9D2DE" w:sz="6" w:space="3"/>
        </w:pBdr>
        <w:spacing w:after="80" w:before="220"/>
      </w:pPr>
      <w:r>
        <w:rPr>
          <w:b/>
          <w:bCs/>
          <w:color w:val="1F3A5F"/>
          <w:sz w:val="22"/>
          <w:szCs w:val="22"/>
        </w:rPr>
        <w:t xml:space="preserve">15. Plan to Chinese New Year 2027</w:t>
      </w:r>
    </w:p>
    <w:p>
      <w:pPr>
        <w:spacing w:after="90"/>
      </w:pPr>
      <w:r>
        <w:rPr>
          <w:color w:val="222222"/>
          <w:sz w:val="19"/>
          <w:szCs w:val="19"/>
        </w:rPr>
        <w:t xml:space="preserve">The program runs from September 2026 to the Chinese New Year holiday on 6 February 2027. Establish the capability instrument with a first studio cohort while the prototype rig and session logger are stood up. Run the student mechanism study with the consent-only condition through the autumn. Open the WorkBuddy agency case and approach Tongji and NYU Shanghai in parallel, since field access takes time. The ACI book publishes on 22 December, with a campus launch event on 19 and 20 December. Close the period with first paper drafts and a phase review before the holiday. By the holiday the lab should hold three concrete results: a validated pilot of the capability instrument, one pre-registered study running in the field, and the first logged dataset. The weekly Gantt follows.</w:t>
      </w:r>
    </w:p>
    <w:p>
      <w:pPr>
        <w:pBdr>
          <w:top w:val="single" w:color="C9D2DE" w:sz="6" w:space="4"/>
        </w:pBdr>
        <w:spacing w:before="180"/>
      </w:pPr>
      <w:r>
        <w:rPr>
          <w:b/>
          <w:bCs/>
          <w:color w:val="1F3A5F"/>
          <w:sz w:val="15"/>
          <w:szCs w:val="15"/>
        </w:rPr>
        <w:t xml:space="preserve">References. </w:t>
      </w:r>
      <w:r>
        <w:rPr>
          <w:color w:val="5B6472"/>
          <w:sz w:val="15"/>
          <w:szCs w:val="15"/>
        </w:rPr>
        <w:t xml:space="preserve">MIT Media Lab (skill erosion under AI assistance); Risko and Gilbert (cognitive offloading); Cross, Christiaans and Dorst (design protocols); Goldschmidt (linkography); Helske et al. (process mining for learning analytics); Buçinca et al. (cognitive forcing functions); Bjork (desirable difficulties); Barnett and Ceci (transfer); Bucciarelli, Schön (design ethnography, reflective practice); Frayling; Zimmerman, Forlizzi and Evenson (research through design); Press and Wang, Agentic Creative Intelligence (four capabilities, Creative Council, Chapter 5). Confirm editions before citing.</w:t>
      </w:r>
    </w:p>
    <w:p>
      <w:r>
        <w:br w:type="page"/>
      </w:r>
    </w:p>
    <w:p>
      <w:pPr>
        <w:spacing w:after="80"/>
      </w:pPr>
      <w:r>
        <w:rPr>
          <w:b/>
          <w:bCs/>
          <w:color w:val="1F3A5F"/>
          <w:sz w:val="22"/>
          <w:szCs w:val="22"/>
        </w:rPr>
        <w:t xml:space="preserve">Plan (Gantt) to Chinese New Year 2027  ·  至 2027 春节的计划（甘特图）</w:t>
      </w:r>
    </w:p>
    <w:tbl>
      <w:tblPr>
        <w:tblW w:type="dxa" w:w="9799"/>
        <w:tblBorders>
          <w:top w:val="single" w:color="C9D2DE" w:sz="2"/>
          <w:left w:val="single" w:color="C9D2DE" w:sz="2"/>
          <w:bottom w:val="single" w:color="C9D2DE" w:sz="2"/>
          <w:right w:val="single" w:color="C9D2DE" w:sz="2"/>
          <w:insideH w:val="single" w:color="C9D2DE" w:sz="2"/>
          <w:insideV w:val="single" w:color="C9D2DE" w:sz="2"/>
        </w:tblBorders>
      </w:tblPr>
      <w:tblGrid>
        <w:gridCol w:w="2600"/>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tblGrid>
      <w:tr>
        <w:trPr>
          <w:tblHeader/>
        </w:trPr>
        <w:tc>
          <w:tcPr>
            <w:tcW w:type="dxa" w:w="2600"/>
            <w:shd w:fill="E8EDF3" w:color="auto" w:val="clear"/>
            <w:tcMar>
              <w:top w:type="dxa" w:w="24"/>
              <w:left w:type="dxa" w:w="70"/>
              <w:bottom w:type="dxa" w:w="24"/>
              <w:right w:type="dxa" w:w="40"/>
            </w:tcMar>
          </w:tcPr>
          <w:p>
            <w:r>
              <w:rPr>
                <w:b/>
                <w:bCs/>
                <w:color w:val="1F3A5F"/>
                <w:sz w:val="12"/>
                <w:szCs w:val="12"/>
              </w:rPr>
              <w:t xml:space="preserve">2026 / 2027</w:t>
            </w:r>
          </w:p>
        </w:tc>
        <w:tc>
          <w:tcPr>
            <w:gridSpan w:val="5"/>
            <w:shd w:fill="E8EDF3" w:color="auto" w:val="clear"/>
            <w:tcMar>
              <w:top w:type="dxa" w:w="24"/>
              <w:left w:type="dxa" w:w="20"/>
              <w:bottom w:type="dxa" w:w="24"/>
              <w:right w:type="dxa" w:w="20"/>
            </w:tcMar>
          </w:tcPr>
          <w:p>
            <w:pPr>
              <w:jc w:val="center"/>
            </w:pPr>
            <w:r>
              <w:rPr>
                <w:b/>
                <w:bCs/>
                <w:color w:val="1F3A5F"/>
                <w:sz w:val="12"/>
                <w:szCs w:val="12"/>
              </w:rPr>
              <w:t xml:space="preserve">Sep</w:t>
            </w:r>
          </w:p>
        </w:tc>
        <w:tc>
          <w:tcPr>
            <w:gridSpan w:val="4"/>
            <w:shd w:fill="E8EDF3" w:color="auto" w:val="clear"/>
            <w:tcMar>
              <w:top w:type="dxa" w:w="24"/>
              <w:left w:type="dxa" w:w="20"/>
              <w:bottom w:type="dxa" w:w="24"/>
              <w:right w:type="dxa" w:w="20"/>
            </w:tcMar>
          </w:tcPr>
          <w:p>
            <w:pPr>
              <w:jc w:val="center"/>
            </w:pPr>
            <w:r>
              <w:rPr>
                <w:b/>
                <w:bCs/>
                <w:color w:val="1F3A5F"/>
                <w:sz w:val="12"/>
                <w:szCs w:val="12"/>
              </w:rPr>
              <w:t xml:space="preserve">Oct</w:t>
            </w:r>
          </w:p>
        </w:tc>
        <w:tc>
          <w:tcPr>
            <w:gridSpan w:val="4"/>
            <w:shd w:fill="E8EDF3" w:color="auto" w:val="clear"/>
            <w:tcMar>
              <w:top w:type="dxa" w:w="24"/>
              <w:left w:type="dxa" w:w="20"/>
              <w:bottom w:type="dxa" w:w="24"/>
              <w:right w:type="dxa" w:w="20"/>
            </w:tcMar>
          </w:tcPr>
          <w:p>
            <w:pPr>
              <w:jc w:val="center"/>
            </w:pPr>
            <w:r>
              <w:rPr>
                <w:b/>
                <w:bCs/>
                <w:color w:val="1F3A5F"/>
                <w:sz w:val="12"/>
                <w:szCs w:val="12"/>
              </w:rPr>
              <w:t xml:space="preserve">Nov</w:t>
            </w:r>
          </w:p>
        </w:tc>
        <w:tc>
          <w:tcPr>
            <w:gridSpan w:val="5"/>
            <w:shd w:fill="E8EDF3" w:color="auto" w:val="clear"/>
            <w:tcMar>
              <w:top w:type="dxa" w:w="24"/>
              <w:left w:type="dxa" w:w="20"/>
              <w:bottom w:type="dxa" w:w="24"/>
              <w:right w:type="dxa" w:w="20"/>
            </w:tcMar>
          </w:tcPr>
          <w:p>
            <w:pPr>
              <w:jc w:val="center"/>
            </w:pPr>
            <w:r>
              <w:rPr>
                <w:b/>
                <w:bCs/>
                <w:color w:val="1F3A5F"/>
                <w:sz w:val="12"/>
                <w:szCs w:val="12"/>
              </w:rPr>
              <w:t xml:space="preserve">Dec</w:t>
            </w:r>
          </w:p>
        </w:tc>
        <w:tc>
          <w:tcPr>
            <w:gridSpan w:val="4"/>
            <w:shd w:fill="E8EDF3" w:color="auto" w:val="clear"/>
            <w:tcMar>
              <w:top w:type="dxa" w:w="24"/>
              <w:left w:type="dxa" w:w="20"/>
              <w:bottom w:type="dxa" w:w="24"/>
              <w:right w:type="dxa" w:w="20"/>
            </w:tcMar>
          </w:tcPr>
          <w:p>
            <w:pPr>
              <w:jc w:val="center"/>
            </w:pPr>
            <w:r>
              <w:rPr>
                <w:b/>
                <w:bCs/>
                <w:color w:val="1F3A5F"/>
                <w:sz w:val="12"/>
                <w:szCs w:val="12"/>
              </w:rPr>
              <w:t xml:space="preserve">Jan</w:t>
            </w:r>
          </w:p>
        </w:tc>
        <w:tc>
          <w:tcPr>
            <w:gridSpan w:val="1"/>
            <w:shd w:fill="E8EDF3" w:color="auto" w:val="clear"/>
            <w:tcMar>
              <w:top w:type="dxa" w:w="24"/>
              <w:left w:type="dxa" w:w="20"/>
              <w:bottom w:type="dxa" w:w="24"/>
              <w:right w:type="dxa" w:w="20"/>
            </w:tcMar>
          </w:tcPr>
          <w:p>
            <w:pPr>
              <w:jc w:val="center"/>
            </w:pPr>
            <w:r>
              <w:rPr>
                <w:b/>
                <w:bCs/>
                <w:color w:val="1F3A5F"/>
                <w:sz w:val="12"/>
                <w:szCs w:val="12"/>
              </w:rPr>
              <w:t xml:space="preserve">Feb</w:t>
            </w:r>
          </w:p>
        </w:tc>
      </w:tr>
      <w:tr>
        <w:trPr>
          <w:tblHeader/>
        </w:trPr>
        <w:tc>
          <w:tcPr>
            <w:tcW w:type="dxa" w:w="2600"/>
            <w:shd w:fill="E8EDF3" w:color="auto" w:val="clear"/>
            <w:tcMar>
              <w:top w:type="dxa" w:w="40"/>
              <w:left w:type="dxa" w:w="80"/>
              <w:bottom w:type="dxa" w:w="40"/>
              <w:right w:type="dxa" w:w="80"/>
            </w:tcMar>
          </w:tcPr>
          <w:p>
            <w:r>
              <w:rPr>
                <w:b/>
                <w:bCs/>
                <w:color w:val="1F3A5F"/>
                <w:sz w:val="15"/>
                <w:szCs w:val="15"/>
              </w:rPr>
              <w:t xml:space="preserve">Workstream / week</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8</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15</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22</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29</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6</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13</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20</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27</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3</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10</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17</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24</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8</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15</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22</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29</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5</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12</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19</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26</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w:t>
            </w:r>
          </w:p>
        </w:tc>
      </w:tr>
      <w:tr>
        <w:tc>
          <w:tcPr>
            <w:tcW w:type="dxa" w:w="2600"/>
            <w:tcMar>
              <w:top w:type="dxa" w:w="24"/>
              <w:left w:type="dxa" w:w="70"/>
              <w:bottom w:type="dxa" w:w="24"/>
              <w:right w:type="dxa" w:w="40"/>
            </w:tcMar>
          </w:tcPr>
          <w:p>
            <w:r>
              <w:rPr>
                <w:color w:val="222222"/>
                <w:sz w:val="12"/>
                <w:szCs w:val="12"/>
              </w:rPr>
              <w:t xml:space="preserve">Capability instrument 能力测量工具</w:t>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Prototype rig + logger 原型机与日志</w:t>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Ethics + pre-registration 伦理与预注册</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Partner engagement 合作方接洽</w:t>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Student mechanism study 学生机制研究</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Agency case (WorkBuddy) 机构案例</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Faculty + community 教师与社群</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Data pipeline + analysis 数据管道与分析</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First paper drafts 首批论文初稿</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Phase review + next plan 阶段回顾与规划</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Milestones 里程碑</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1F3A5F" w:color="auto" w:val="clear"/>
            <w:tcMar>
              <w:top w:type="dxa" w:w="24"/>
              <w:left w:type="dxa" w:w="20"/>
              <w:bottom w:type="dxa" w:w="24"/>
              <w:right w:type="dxa" w:w="20"/>
            </w:tcMar>
          </w:tcPr>
          <w:p>
            <w:pPr>
              <w:jc w:val="center"/>
            </w:pPr>
            <w:r>
              <w:rPr>
                <w:b w:val="false"/>
                <w:bCs w:val="false"/>
                <w:color w:val="FFFFFF"/>
                <w:sz w:val="12"/>
                <w:szCs w:val="12"/>
              </w:rPr>
              <w:t xml:space="preserve">◆</w:t>
            </w:r>
          </w:p>
        </w:tc>
        <w:tc>
          <w:tcPr>
            <w:tcW w:type="dxa" w:w="313"/>
            <w:shd w:fill="1F3A5F" w:color="auto" w:val="clear"/>
            <w:tcMar>
              <w:top w:type="dxa" w:w="24"/>
              <w:left w:type="dxa" w:w="20"/>
              <w:bottom w:type="dxa" w:w="24"/>
              <w:right w:type="dxa" w:w="20"/>
            </w:tcMar>
          </w:tcPr>
          <w:p>
            <w:pPr>
              <w:jc w:val="center"/>
            </w:pPr>
            <w:r>
              <w:rPr>
                <w:b w:val="false"/>
                <w:bCs w:val="false"/>
                <w:color w:val="FFFFFF"/>
                <w:sz w:val="12"/>
                <w:szCs w:val="12"/>
              </w:rPr>
              <w:t xml:space="preserve">◆</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1F3A5F" w:color="auto" w:val="clear"/>
            <w:tcMar>
              <w:top w:type="dxa" w:w="24"/>
              <w:left w:type="dxa" w:w="20"/>
              <w:bottom w:type="dxa" w:w="24"/>
              <w:right w:type="dxa" w:w="20"/>
            </w:tcMar>
          </w:tcPr>
          <w:p>
            <w:pPr>
              <w:jc w:val="center"/>
            </w:pPr>
            <w:r>
              <w:rPr>
                <w:b w:val="false"/>
                <w:bCs w:val="false"/>
                <w:color w:val="FFFFFF"/>
                <w:sz w:val="12"/>
                <w:szCs w:val="12"/>
              </w:rPr>
              <w:t xml:space="preserve">◆</w:t>
            </w:r>
          </w:p>
        </w:tc>
      </w:tr>
    </w:tbl>
    <w:p>
      <w:pPr>
        <w:spacing w:before="120"/>
      </w:pPr>
      <w:r>
        <w:rPr>
          <w:b/>
          <w:bCs/>
          <w:color w:val="1F3A5F"/>
          <w:sz w:val="15"/>
          <w:szCs w:val="15"/>
        </w:rPr>
        <w:t xml:space="preserve">Milestones 里程碑: </w:t>
      </w:r>
      <w:r>
        <w:rPr>
          <w:color w:val="222222"/>
          <w:sz w:val="15"/>
          <w:szCs w:val="15"/>
        </w:rPr>
        <w:t xml:space="preserve">campus launch 19-20 Dec  ·  ACI book publication 22 Dec  ·  Chinese New Year 6 Feb 2027 (plan horizon).   </w:t>
      </w:r>
      <w:r>
        <w:rPr>
          <w:color w:val="222222"/>
          <w:sz w:val="15"/>
          <w:szCs w:val="15"/>
        </w:rPr>
        <w:t xml:space="preserve">校内发布 12月19-20日  ·  ACI 书出版 12月22日  ·  春节 2027年2月6日（计划地平线）。</w:t>
      </w:r>
    </w:p>
    <w:p>
      <w:r>
        <w:br w:type="page"/>
      </w:r>
    </w:p>
    <w:p>
      <w:pPr>
        <w:spacing w:after="40"/>
      </w:pPr>
      <w:r>
        <w:rPr>
          <w:b/>
          <w:bCs/>
          <w:color w:val="1F3A5F"/>
          <w:sz w:val="32"/>
          <w:szCs w:val="32"/>
        </w:rPr>
        <w:t xml:space="preserve">ACI 研究实验室：蓝图</w:t>
      </w:r>
    </w:p>
    <w:p>
      <w:pPr>
        <w:spacing w:after="160"/>
      </w:pPr>
      <w:r>
        <w:rPr>
          <w:color w:val="5B6472"/>
          <w:sz w:val="17"/>
          <w:szCs w:val="17"/>
        </w:rPr>
        <w:t xml:space="preserve">上海工程技术大学  ·  智能体创作智能  ·  面向 2030</w:t>
      </w:r>
    </w:p>
    <w:p>
      <w:pPr>
        <w:pBdr>
          <w:bottom w:val="single" w:color="C9D2DE" w:sz="6" w:space="3"/>
        </w:pBdr>
        <w:spacing w:after="80" w:before="220"/>
      </w:pPr>
      <w:r>
        <w:rPr>
          <w:b/>
          <w:bCs/>
          <w:color w:val="1F3A5F"/>
          <w:sz w:val="22"/>
          <w:szCs w:val="22"/>
        </w:rPr>
        <w:t xml:space="preserve">一、愿景</w:t>
      </w:r>
    </w:p>
    <w:p>
      <w:pPr>
        <w:spacing w:after="90"/>
      </w:pPr>
      <w:r>
        <w:rPr>
          <w:color w:val="222222"/>
          <w:sz w:val="19"/>
          <w:szCs w:val="19"/>
        </w:rPr>
        <w:t xml:space="preserve">ACI 研究实验室研究：当人与智能体式 AI 协作时，创作能力如何存续、侵蚀或生长；并构建那种培养它的 AI。其对象是“AI 与工作”之问中最难、最少被测量的部分：不是产出，而是创作学科赖以立足的判断、材料手感与持久注意。其方法是：配置一种克制而非完成的 AI，让它在设计教育与实践中工作，并测量它对使用者的影响。</w:t>
      </w:r>
    </w:p>
    <w:p>
      <w:pPr>
        <w:pBdr>
          <w:bottom w:val="single" w:color="C9D2DE" w:sz="6" w:space="3"/>
        </w:pBdr>
        <w:spacing w:after="80" w:before="220"/>
      </w:pPr>
      <w:r>
        <w:rPr>
          <w:b/>
          <w:bCs/>
          <w:color w:val="1F3A5F"/>
          <w:sz w:val="22"/>
          <w:szCs w:val="22"/>
        </w:rPr>
        <w:t xml:space="preserve">二、问题与“为何是现在”</w:t>
      </w:r>
    </w:p>
    <w:p>
      <w:pPr>
        <w:spacing w:after="90"/>
      </w:pPr>
      <w:r>
        <w:rPr>
          <w:color w:val="222222"/>
          <w:sz w:val="19"/>
          <w:szCs w:val="19"/>
        </w:rPr>
        <w:t xml:space="preserve">创作工作正围绕智能体式 AI 重建，其速度快过任何人对“它对做事的人何为”的研究。在设计、电影、建筑与音乐中，曾只做建议的系统如今在做决定，从业者的角色由“制作”滑向“选择”。之问不在于这些系统是否提高产出，而在于持续使用对这个领域所依赖的能力做了什么。两种结果与现有证据同样相容：交托可能侵蚀能力，一如把导航、记忆及其他技能交给机器后所发生的；也可能一个为培养而非替代而造的智能体反而深化它。无人证明何者为真，因为这个领域连一套经验证的创作能力测量都没有，更不用说对智能体如何改变它的受控说明。这是一个严肃而具体的缺口，也正是本实验室要填补的。</w:t>
      </w:r>
    </w:p>
    <w:p>
      <w:pPr>
        <w:spacing w:after="90"/>
      </w:pPr>
      <w:r>
        <w:rPr>
          <w:color w:val="222222"/>
          <w:sz w:val="19"/>
          <w:szCs w:val="19"/>
        </w:rPr>
        <w:t xml:space="preserve">这个问题之难，有超出任何单一工具的原因。创作能力大多是默会的，因而抵制常规仪器的测量。增强与退化同时发生，因而速度上的增益可能掩盖判断上的损失。而当多个智能体与模型被耦合进一个工作流，作者身份、权力与责任变得模糊，以至于“谁做了那个决定”本身也成了一个研究问题。</w:t>
      </w:r>
    </w:p>
    <w:p>
      <w:pPr>
        <w:spacing w:after="90"/>
      </w:pPr>
      <w:r>
        <w:rPr>
          <w:color w:val="222222"/>
          <w:sz w:val="19"/>
          <w:szCs w:val="19"/>
        </w:rPr>
        <w:t xml:space="preserve">时机并非偶然。智能体工具正在进入工作室与课程，学生与从业者在未来几年形成的习惯，将硬化为默认。以我们自己的方式研究它的基础设施，自托管、国产、可检视至日志，今日即可得。而实验室所检验的思想已在公共之中：ACI 专著于 2026 年 12 月出版，而实验室正是其核心主张得以被检验、而非只被断言的途径。今日起步的实验室可以设定基线；三年后起步的，只能去测量一个已成定局的世界。</w:t>
      </w:r>
    </w:p>
    <w:p>
      <w:pPr>
        <w:pBdr>
          <w:bottom w:val="single" w:color="C9D2DE" w:sz="6" w:space="3"/>
        </w:pBdr>
        <w:spacing w:after="80" w:before="220"/>
      </w:pPr>
      <w:r>
        <w:rPr>
          <w:b/>
          <w:bCs/>
          <w:color w:val="1F3A5F"/>
          <w:sz w:val="22"/>
          <w:szCs w:val="22"/>
        </w:rPr>
        <w:t xml:space="preserve">三、dæmon：SUES 对 AI 智能体的重新界定</w:t>
      </w:r>
    </w:p>
    <w:p>
      <w:pPr>
        <w:spacing w:after="90"/>
      </w:pPr>
      <w:r>
        <w:rPr>
          <w:color w:val="222222"/>
          <w:sz w:val="19"/>
          <w:szCs w:val="19"/>
        </w:rPr>
        <w:t xml:space="preserve">大多数智能体式 AI 为完成而生。助手、副驾、自主代理，各以它们完成的活来衡量。ACI 实验室重新界定智能体，并以它拒绝去做什么来定义它。dæmon 克制交出成品，要求人亲自作出并为主导性决定辩护，把裁决留给人。助手送回一个结果，dæmon 则送回一个更难的问题。这是实验室的标志性构念，也是其赌注：一个为培养人而造的智能体，能在一个为服侍人而造、却侵蚀其手艺之处成功。</w:t>
      </w:r>
    </w:p>
    <w:p>
      <w:pPr>
        <w:spacing w:after="55" w:before="150"/>
      </w:pPr>
      <w:r>
        <w:rPr>
          <w:b/>
          <w:bCs/>
          <w:color w:val="1F3A5F"/>
          <w:sz w:val="20"/>
          <w:szCs w:val="20"/>
        </w:rPr>
        <w:t xml:space="preserve">四项创作能力</w:t>
      </w:r>
    </w:p>
    <w:p>
      <w:pPr>
        <w:spacing w:after="70"/>
      </w:pPr>
      <w:r>
        <w:rPr>
          <w:b/>
          <w:bCs/>
          <w:color w:val="1F3A5F"/>
          <w:sz w:val="19"/>
          <w:szCs w:val="19"/>
        </w:rPr>
        <w:t xml:space="preserve">持续投入（Extended Engagement，形）。  </w:t>
      </w:r>
      <w:r>
        <w:rPr>
          <w:color w:val="222222"/>
          <w:sz w:val="19"/>
          <w:szCs w:val="19"/>
        </w:rPr>
        <w:t xml:space="preserve">对材料或问题的持久具身沉浸，与之相守直到形态浮现。</w:t>
      </w:r>
    </w:p>
    <w:p>
      <w:pPr>
        <w:spacing w:after="70"/>
      </w:pPr>
      <w:r>
        <w:rPr>
          <w:b/>
          <w:bCs/>
          <w:color w:val="1F3A5F"/>
          <w:sz w:val="19"/>
          <w:szCs w:val="19"/>
        </w:rPr>
        <w:t xml:space="preserve">审美感知（Aesthetic Awareness，格）。  </w:t>
      </w:r>
      <w:r>
        <w:rPr>
          <w:color w:val="222222"/>
          <w:sz w:val="19"/>
          <w:szCs w:val="19"/>
        </w:rPr>
        <w:t xml:space="preserve">对“什么行、为什么行”的受训判别。</w:t>
      </w:r>
    </w:p>
    <w:p>
      <w:pPr>
        <w:spacing w:after="70"/>
      </w:pPr>
      <w:r>
        <w:rPr>
          <w:b/>
          <w:bCs/>
          <w:color w:val="1F3A5F"/>
          <w:sz w:val="19"/>
          <w:szCs w:val="19"/>
        </w:rPr>
        <w:t xml:space="preserve">适应性连贯（Adaptive Coherence，事）。  </w:t>
      </w:r>
      <w:r>
        <w:rPr>
          <w:color w:val="222222"/>
          <w:sz w:val="19"/>
          <w:szCs w:val="19"/>
        </w:rPr>
        <w:t xml:space="preserve">在各部分变化时守住整体。</w:t>
      </w:r>
    </w:p>
    <w:p>
      <w:pPr>
        <w:spacing w:after="70"/>
      </w:pPr>
      <w:r>
        <w:rPr>
          <w:b/>
          <w:bCs/>
          <w:color w:val="1F3A5F"/>
          <w:sz w:val="19"/>
          <w:szCs w:val="19"/>
        </w:rPr>
        <w:t xml:space="preserve">表达影响力（Expressive Influence，意）。  </w:t>
      </w:r>
      <w:r>
        <w:rPr>
          <w:color w:val="222222"/>
          <w:sz w:val="19"/>
          <w:szCs w:val="19"/>
        </w:rPr>
        <w:t xml:space="preserve">让作品落到受众身上。</w:t>
      </w:r>
    </w:p>
    <w:p>
      <w:pPr>
        <w:spacing w:after="90"/>
      </w:pPr>
      <w:r>
        <w:rPr>
          <w:color w:val="222222"/>
          <w:sz w:val="19"/>
          <w:szCs w:val="19"/>
        </w:rPr>
        <w:t xml:space="preserve">当不止一项在场时，从业者作为主席，围绕一个共享的设计对象，把它们召集为一个创作议会。议会与它所对立的多模型编排，是研究方向 D3 与 D4。</w:t>
      </w:r>
    </w:p>
    <w:p>
      <w:pPr>
        <w:pBdr>
          <w:bottom w:val="single" w:color="C9D2DE" w:sz="6" w:space="3"/>
        </w:pBdr>
        <w:spacing w:after="80" w:before="220"/>
      </w:pPr>
      <w:r>
        <w:rPr>
          <w:b/>
          <w:bCs/>
          <w:color w:val="1F3A5F"/>
          <w:sz w:val="22"/>
          <w:szCs w:val="22"/>
        </w:rPr>
        <w:t xml:space="preserve">四、定位、对标与 2030 目标</w:t>
      </w:r>
    </w:p>
    <w:p>
      <w:pPr>
        <w:spacing w:after="90"/>
      </w:pPr>
      <w:r>
        <w:rPr>
          <w:color w:val="222222"/>
          <w:sz w:val="19"/>
          <w:szCs w:val="19"/>
        </w:rPr>
        <w:t xml:space="preserve">实验室所入的领域，如今都把 AI 定位为“增强而非替代”人的能力：Stanford HAI、MIT Media Lab 的人–AI 共生研究、卡内基梅隆的人机交互研究所、以及佐治亚理工的设计与智能实验室，连同代尔夫特与同济设计创意学院的设计认知传统。其位置是具体的：研究创作能力而非一般生产力；其仪器是克制型的 dæmon，一个那些完成型实验室不研究的构念；其根基是具身实践与中国哲学；其基础设施国产且自托管；它跨四类设计人群展开，而非单一的用户研究。</w:t>
      </w:r>
    </w:p>
    <w:p>
      <w:pPr>
        <w:spacing w:after="90"/>
      </w:pPr>
      <w:r>
        <w:rPr>
          <w:color w:val="222222"/>
          <w:sz w:val="19"/>
          <w:szCs w:val="19"/>
        </w:rPr>
        <w:t xml:space="preserve">到 2030：四项能力的经验证、已发表、并在 SUES 之外被采用的测量工具；一个可配置的 dæmon 平台与一套创作议会方法的公开应用；在 Design Studies、CHI、CSCW 及设计期刊的持续纯绩；一份无其他团队拥有的人–智能体创作纵向数据集；以及与上海设计与计算各学院的长期合作。野心是成为“AI 与创作能力”研究的参照点，就如少数几家实验室成为了“AI 与语言”、“AI 与视觉”的参照点。</w:t>
      </w:r>
    </w:p>
    <w:p>
      <w:pPr>
        <w:pBdr>
          <w:bottom w:val="single" w:color="C9D2DE" w:sz="6" w:space="3"/>
        </w:pBdr>
        <w:spacing w:after="80" w:before="220"/>
      </w:pPr>
      <w:r>
        <w:rPr>
          <w:b/>
          <w:bCs/>
          <w:color w:val="1F3A5F"/>
          <w:sz w:val="22"/>
          <w:szCs w:val="22"/>
        </w:rPr>
        <w:t xml:space="preserve">五、四类人群</w:t>
      </w:r>
    </w:p>
    <w:p>
      <w:pPr>
        <w:spacing w:after="70"/>
      </w:pPr>
      <w:r>
        <w:rPr>
          <w:b/>
          <w:bCs/>
          <w:color w:val="1F3A5F"/>
          <w:sz w:val="19"/>
          <w:szCs w:val="19"/>
        </w:rPr>
        <w:t xml:space="preserve">设计学生。  </w:t>
      </w:r>
      <w:r>
        <w:rPr>
          <w:color w:val="222222"/>
          <w:sz w:val="19"/>
          <w:szCs w:val="19"/>
        </w:rPr>
        <w:t xml:space="preserve">形成能力的新手。形成、迁移、以及干预本身之设计的现场。</w:t>
      </w:r>
    </w:p>
    <w:p>
      <w:pPr>
        <w:spacing w:after="70"/>
      </w:pPr>
      <w:r>
        <w:rPr>
          <w:b/>
          <w:bCs/>
          <w:color w:val="1F3A5F"/>
          <w:sz w:val="19"/>
          <w:szCs w:val="19"/>
        </w:rPr>
        <w:t xml:space="preserve">设计教师。  </w:t>
      </w:r>
      <w:r>
        <w:rPr>
          <w:color w:val="222222"/>
          <w:sz w:val="19"/>
          <w:szCs w:val="19"/>
        </w:rPr>
        <w:t xml:space="preserve">资深教育者，当学生先遇答案、后遇导师时，他们自身的判断与一门手艺的传承皆悬于此。</w:t>
      </w:r>
    </w:p>
    <w:p>
      <w:pPr>
        <w:spacing w:after="70"/>
      </w:pPr>
      <w:r>
        <w:rPr>
          <w:b/>
          <w:bCs/>
          <w:color w:val="1F3A5F"/>
          <w:sz w:val="19"/>
          <w:szCs w:val="19"/>
        </w:rPr>
        <w:t xml:space="preserve">设计社群。  </w:t>
      </w:r>
      <w:r>
        <w:rPr>
          <w:color w:val="222222"/>
          <w:sz w:val="19"/>
          <w:szCs w:val="19"/>
        </w:rPr>
        <w:t xml:space="preserve">实践的集体，议会在此成为一种社会形式，共享的目的须在众多从业者与智能体之间守住。</w:t>
      </w:r>
    </w:p>
    <w:p>
      <w:pPr>
        <w:spacing w:after="70"/>
      </w:pPr>
      <w:r>
        <w:rPr>
          <w:b/>
          <w:bCs/>
          <w:color w:val="1F3A5F"/>
          <w:sz w:val="19"/>
          <w:szCs w:val="19"/>
        </w:rPr>
        <w:t xml:space="preserve">设计机构。  </w:t>
      </w:r>
      <w:r>
        <w:rPr>
          <w:color w:val="222222"/>
          <w:sz w:val="19"/>
          <w:szCs w:val="19"/>
        </w:rPr>
        <w:t xml:space="preserve">“必须交付”压力下的商业工作室，克制型中介在此遇最硬的考验，编排也在此规模化运转。</w:t>
      </w:r>
    </w:p>
    <w:p>
      <w:pPr>
        <w:pBdr>
          <w:bottom w:val="single" w:color="C9D2DE" w:sz="6" w:space="3"/>
        </w:pBdr>
        <w:spacing w:after="80" w:before="220"/>
      </w:pPr>
      <w:r>
        <w:rPr>
          <w:b/>
          <w:bCs/>
          <w:color w:val="1F3A5F"/>
          <w:sz w:val="22"/>
          <w:szCs w:val="22"/>
        </w:rPr>
        <w:t xml:space="preserve">六、研究方向</w:t>
      </w:r>
    </w:p>
    <w:p>
      <w:pPr>
        <w:spacing w:after="55" w:before="150"/>
      </w:pPr>
      <w:r>
        <w:rPr>
          <w:b/>
          <w:bCs/>
          <w:color w:val="1F3A5F"/>
          <w:sz w:val="20"/>
          <w:szCs w:val="20"/>
        </w:rPr>
        <w:t xml:space="preserve">D1. 能力形成（学生）</w:t>
      </w:r>
    </w:p>
    <w:p>
      <w:pPr>
        <w:spacing w:after="70"/>
      </w:pPr>
      <w:r>
        <w:rPr>
          <w:b/>
          <w:bCs/>
          <w:color w:val="1F3A5F"/>
          <w:sz w:val="19"/>
          <w:szCs w:val="19"/>
        </w:rPr>
        <w:t xml:space="preserve">工具。  </w:t>
      </w:r>
      <w:r>
        <w:rPr>
          <w:color w:val="222222"/>
          <w:sz w:val="19"/>
          <w:szCs w:val="19"/>
        </w:rPr>
        <w:t xml:space="preserve">从工作室作业中经口语报告与连接图分析建立四项能力的可观测指标，并对照专家盲评验证。</w:t>
      </w:r>
    </w:p>
    <w:p>
      <w:pPr>
        <w:spacing w:after="70"/>
      </w:pPr>
      <w:r>
        <w:rPr>
          <w:b/>
          <w:bCs/>
          <w:color w:val="1F3A5F"/>
          <w:sz w:val="19"/>
          <w:szCs w:val="19"/>
        </w:rPr>
        <w:t xml:space="preserve">机制。  </w:t>
      </w:r>
      <w:r>
        <w:rPr>
          <w:color w:val="222222"/>
          <w:sz w:val="19"/>
          <w:szCs w:val="19"/>
        </w:rPr>
        <w:t xml:space="preserve">dæmon 是否比无辅助基线、完成型工具、以及“只暂停求同意、不要求阐明”的同意条件更能培养能力？同意条件把效应与打断和耗时分离。预测：阐明优于同意，同意优于完成型工具（以延迟后测衡量），并按工作室分班以保持各组洁净。若阐明与同意趋同，此说即败。</w:t>
      </w:r>
    </w:p>
    <w:p>
      <w:pPr>
        <w:spacing w:after="70"/>
      </w:pPr>
      <w:r>
        <w:rPr>
          <w:b/>
          <w:bCs/>
          <w:color w:val="1F3A5F"/>
          <w:sz w:val="19"/>
          <w:szCs w:val="19"/>
        </w:rPr>
        <w:t xml:space="preserve">撤除与迁移。  </w:t>
      </w:r>
      <w:r>
        <w:rPr>
          <w:color w:val="222222"/>
          <w:sz w:val="19"/>
          <w:szCs w:val="19"/>
        </w:rPr>
        <w:t xml:space="preserve">何种撤除节奏产出自主而非依赖；相对于用完成型工具的队列，增益是否呈现近迁移、远迁移与持久性。</w:t>
      </w:r>
    </w:p>
    <w:p>
      <w:pPr>
        <w:spacing w:after="55" w:before="150"/>
      </w:pPr>
      <w:r>
        <w:rPr>
          <w:b/>
          <w:bCs/>
          <w:color w:val="1F3A5F"/>
          <w:sz w:val="20"/>
          <w:szCs w:val="20"/>
        </w:rPr>
        <w:t xml:space="preserve">D2. 专家实践与传承（教师）</w:t>
      </w:r>
    </w:p>
    <w:p>
      <w:pPr>
        <w:spacing w:after="70"/>
      </w:pPr>
      <w:r>
        <w:rPr>
          <w:b/>
          <w:bCs/>
          <w:color w:val="1F3A5F"/>
          <w:sz w:val="19"/>
          <w:szCs w:val="19"/>
        </w:rPr>
        <w:t xml:space="preserve">专家判断。  </w:t>
      </w:r>
      <w:r>
        <w:rPr>
          <w:color w:val="222222"/>
          <w:sz w:val="19"/>
          <w:szCs w:val="19"/>
        </w:rPr>
        <w:t xml:space="preserve">经 dæmon 工作的教师，在持续使用下是守住还是失去自身判断。</w:t>
      </w:r>
    </w:p>
    <w:p>
      <w:pPr>
        <w:spacing w:after="70"/>
      </w:pPr>
      <w:r>
        <w:rPr>
          <w:b/>
          <w:bCs/>
          <w:color w:val="1F3A5F"/>
          <w:sz w:val="19"/>
          <w:szCs w:val="19"/>
        </w:rPr>
        <w:t xml:space="preserve">传承。  </w:t>
      </w:r>
      <w:r>
        <w:rPr>
          <w:color w:val="222222"/>
          <w:sz w:val="19"/>
          <w:szCs w:val="19"/>
        </w:rPr>
        <w:t xml:space="preserve">当学生手握答案而来，设计的学徒之路将如何；一门手艺的哪些部分仍需长期养成。</w:t>
      </w:r>
    </w:p>
    <w:p>
      <w:pPr>
        <w:spacing w:after="55" w:before="150"/>
      </w:pPr>
      <w:r>
        <w:rPr>
          <w:b/>
          <w:bCs/>
          <w:color w:val="1F3A5F"/>
          <w:sz w:val="20"/>
          <w:szCs w:val="20"/>
        </w:rPr>
        <w:t xml:space="preserve">D3. 创作议会与集体创作（社群）</w:t>
      </w:r>
    </w:p>
    <w:p>
      <w:pPr>
        <w:spacing w:after="70"/>
      </w:pPr>
      <w:r>
        <w:rPr>
          <w:b/>
          <w:bCs/>
          <w:color w:val="1F3A5F"/>
          <w:sz w:val="19"/>
          <w:szCs w:val="19"/>
        </w:rPr>
        <w:t xml:space="preserve">作为社会形式的议会。  </w:t>
      </w:r>
      <w:r>
        <w:rPr>
          <w:color w:val="222222"/>
          <w:sz w:val="19"/>
          <w:szCs w:val="19"/>
        </w:rPr>
        <w:t xml:space="preserve">“从业者作主席”的安排能否由一人延展到集体，共享的目的能否在众多从业者与智能体之间守住。以参与式设计与行动研究来研究。</w:t>
      </w:r>
    </w:p>
    <w:p>
      <w:pPr>
        <w:spacing w:after="55" w:before="150"/>
      </w:pPr>
      <w:r>
        <w:rPr>
          <w:b/>
          <w:bCs/>
          <w:color w:val="1F3A5F"/>
          <w:sz w:val="20"/>
          <w:szCs w:val="20"/>
        </w:rPr>
        <w:t xml:space="preserve">D4. 多模型编排与权力（机构）</w:t>
      </w:r>
    </w:p>
    <w:p>
      <w:pPr>
        <w:spacing w:after="70"/>
      </w:pPr>
      <w:r>
        <w:rPr>
          <w:b/>
          <w:bCs/>
          <w:color w:val="1F3A5F"/>
          <w:sz w:val="19"/>
          <w:szCs w:val="19"/>
        </w:rPr>
        <w:t xml:space="preserve">编排对立议会。  </w:t>
      </w:r>
      <w:r>
        <w:rPr>
          <w:color w:val="222222"/>
          <w:sz w:val="19"/>
          <w:szCs w:val="19"/>
        </w:rPr>
        <w:t xml:space="preserve">手稿把议会与机械编排器相对立，后者通过混合专家（MoE）、模型上下文协议（MCP）与智能体间（A2A）委派来路由与汇聚，并让“协调一致的行动”顶替共享的目的。之问是：一种把一个人置于桌首的编排，是否在机械编排把目的编码掉之处守住了目的。</w:t>
      </w:r>
    </w:p>
    <w:p>
      <w:pPr>
        <w:spacing w:after="70"/>
      </w:pPr>
      <w:r>
        <w:rPr>
          <w:b/>
          <w:bCs/>
          <w:color w:val="1F3A5F"/>
          <w:sz w:val="19"/>
          <w:szCs w:val="19"/>
        </w:rPr>
        <w:t xml:space="preserve">WorkBuddy：挑战与机会。  </w:t>
      </w:r>
      <w:r>
        <w:rPr>
          <w:color w:val="222222"/>
          <w:sz w:val="19"/>
          <w:szCs w:val="19"/>
        </w:rPr>
        <w:t xml:space="preserve">WorkBuddy 是规模化运转的机械编排：一个“专家”市场与“专家团队”，在 Hunyuan、DeepSeek、GLM、Kimi、MiniMax 间切换，为完成而生。它既是“编排把协调一致的行动编码化”的最强田野案例，也是“把一个完成平台重构为把从业者置于桌首”的设计挑战。</w:t>
      </w:r>
    </w:p>
    <w:p>
      <w:pPr>
        <w:pBdr>
          <w:bottom w:val="single" w:color="C9D2DE" w:sz="6" w:space="3"/>
        </w:pBdr>
        <w:spacing w:after="80" w:before="220"/>
      </w:pPr>
      <w:r>
        <w:rPr>
          <w:b/>
          <w:bCs/>
          <w:color w:val="1F3A5F"/>
          <w:sz w:val="22"/>
          <w:szCs w:val="22"/>
        </w:rPr>
        <w:t xml:space="preserve">七、五个待研究的设计工作流</w:t>
      </w:r>
    </w:p>
    <w:p>
      <w:pPr>
        <w:spacing w:after="90"/>
      </w:pPr>
      <w:r>
        <w:rPr>
          <w:color w:val="222222"/>
          <w:sz w:val="19"/>
          <w:szCs w:val="19"/>
        </w:rPr>
        <w:t xml:space="preserve">实验室在设计真正发生之处研究 dæmon，跨五个工作流，涵盖四项能力与工作室及本地产业所处的学科。每一个都是一条开源流水线，带一个 dæmon 可扣住的决定，且每一个都产出方法所阅读的日志记录。</w:t>
      </w:r>
    </w:p>
    <w:tbl>
      <w:tblPr>
        <w:tblW w:type="dxa" w:w="8806"/>
        <w:tblBorders>
          <w:top w:val="single" w:color="C9D2DE" w:sz="2"/>
          <w:left w:val="single" w:color="C9D2DE" w:sz="2"/>
          <w:bottom w:val="single" w:color="C9D2DE" w:sz="2"/>
          <w:right w:val="single" w:color="C9D2DE" w:sz="2"/>
          <w:insideH w:val="single" w:color="C9D2DE" w:sz="2"/>
          <w:insideV w:val="single" w:color="C9D2DE" w:sz="2"/>
        </w:tblBorders>
      </w:tblPr>
      <w:tblGrid>
        <w:gridCol w:w="1700"/>
        <w:gridCol w:w="2200"/>
        <w:gridCol w:w="3200"/>
        <w:gridCol w:w="1706"/>
      </w:tblGrid>
      <w:tr>
        <w:trPr>
          <w:tblHeader/>
        </w:trPr>
        <w:tc>
          <w:tcPr>
            <w:tcW w:type="dxa" w:w="1700"/>
            <w:shd w:fill="E8EDF3" w:color="auto" w:val="clear"/>
            <w:tcMar>
              <w:top w:type="dxa" w:w="40"/>
              <w:left w:type="dxa" w:w="80"/>
              <w:bottom w:type="dxa" w:w="40"/>
              <w:right w:type="dxa" w:w="80"/>
            </w:tcMar>
          </w:tcPr>
          <w:p>
            <w:r>
              <w:rPr>
                <w:b/>
                <w:bCs/>
                <w:color w:val="1F3A5F"/>
                <w:sz w:val="15"/>
                <w:szCs w:val="15"/>
              </w:rPr>
              <w:t xml:space="preserve">设计领域</w:t>
            </w:r>
          </w:p>
        </w:tc>
        <w:tc>
          <w:tcPr>
            <w:tcW w:type="dxa" w:w="2200"/>
            <w:shd w:fill="E8EDF3" w:color="auto" w:val="clear"/>
            <w:tcMar>
              <w:top w:type="dxa" w:w="40"/>
              <w:left w:type="dxa" w:w="80"/>
              <w:bottom w:type="dxa" w:w="40"/>
              <w:right w:type="dxa" w:w="80"/>
            </w:tcMar>
          </w:tcPr>
          <w:p>
            <w:r>
              <w:rPr>
                <w:b/>
                <w:bCs/>
                <w:color w:val="1F3A5F"/>
                <w:sz w:val="15"/>
                <w:szCs w:val="15"/>
              </w:rPr>
              <w:t xml:space="preserve">开源流水线</w:t>
            </w:r>
          </w:p>
        </w:tc>
        <w:tc>
          <w:tcPr>
            <w:tcW w:type="dxa" w:w="3200"/>
            <w:shd w:fill="E8EDF3" w:color="auto" w:val="clear"/>
            <w:tcMar>
              <w:top w:type="dxa" w:w="40"/>
              <w:left w:type="dxa" w:w="80"/>
              <w:bottom w:type="dxa" w:w="40"/>
              <w:right w:type="dxa" w:w="80"/>
            </w:tcMar>
          </w:tcPr>
          <w:p>
            <w:r>
              <w:rPr>
                <w:b/>
                <w:bCs/>
                <w:color w:val="1F3A5F"/>
                <w:sz w:val="15"/>
                <w:szCs w:val="15"/>
              </w:rPr>
              <w:t xml:space="preserve">dæmon 扣住的决定</w:t>
            </w:r>
          </w:p>
        </w:tc>
        <w:tc>
          <w:tcPr>
            <w:tcW w:type="dxa" w:w="1706"/>
            <w:shd w:fill="E8EDF3" w:color="auto" w:val="clear"/>
            <w:tcMar>
              <w:top w:type="dxa" w:w="40"/>
              <w:left w:type="dxa" w:w="80"/>
              <w:bottom w:type="dxa" w:w="40"/>
              <w:right w:type="dxa" w:w="80"/>
            </w:tcMar>
          </w:tcPr>
          <w:p>
            <w:r>
              <w:rPr>
                <w:b/>
                <w:bCs/>
                <w:color w:val="1F3A5F"/>
                <w:sz w:val="15"/>
                <w:szCs w:val="15"/>
              </w:rPr>
              <w:t xml:space="preserve">培养的能力</w:t>
            </w:r>
          </w:p>
        </w:tc>
      </w:tr>
      <w:tr>
        <w:trPr>
          <w:tblHeader w:val="false"/>
        </w:trPr>
        <w:tc>
          <w:tcPr>
            <w:tcW w:type="dxa" w:w="1700"/>
            <w:tcMar>
              <w:top w:type="dxa" w:w="40"/>
              <w:left w:type="dxa" w:w="80"/>
              <w:bottom w:type="dxa" w:w="40"/>
              <w:right w:type="dxa" w:w="80"/>
            </w:tcMar>
          </w:tcPr>
          <w:p>
            <w:r>
              <w:rPr>
                <w:b w:val="false"/>
                <w:bCs w:val="false"/>
                <w:color w:val="222222"/>
                <w:sz w:val="15"/>
                <w:szCs w:val="15"/>
              </w:rPr>
              <w:t xml:space="preserve">环境、建筑</w:t>
            </w:r>
          </w:p>
        </w:tc>
        <w:tc>
          <w:tcPr>
            <w:tcW w:type="dxa" w:w="2200"/>
            <w:tcMar>
              <w:top w:type="dxa" w:w="40"/>
              <w:left w:type="dxa" w:w="80"/>
              <w:bottom w:type="dxa" w:w="40"/>
              <w:right w:type="dxa" w:w="80"/>
            </w:tcMar>
          </w:tcPr>
          <w:p>
            <w:r>
              <w:rPr>
                <w:b w:val="false"/>
                <w:bCs w:val="false"/>
                <w:color w:val="222222"/>
                <w:sz w:val="15"/>
                <w:szCs w:val="15"/>
              </w:rPr>
              <w:t xml:space="preserve">Hunyuan 图像；经 Modly 的 Hunyuan3D</w:t>
            </w:r>
          </w:p>
        </w:tc>
        <w:tc>
          <w:tcPr>
            <w:tcW w:type="dxa" w:w="3200"/>
            <w:tcMar>
              <w:top w:type="dxa" w:w="40"/>
              <w:left w:type="dxa" w:w="80"/>
              <w:bottom w:type="dxa" w:w="40"/>
              <w:right w:type="dxa" w:w="80"/>
            </w:tcMar>
          </w:tcPr>
          <w:p>
            <w:r>
              <w:rPr>
                <w:b w:val="false"/>
                <w:bCs w:val="false"/>
                <w:color w:val="222222"/>
                <w:sz w:val="15"/>
                <w:szCs w:val="15"/>
              </w:rPr>
              <w:t xml:space="preserve">场地回应、功能、流线、总体构思（parti）</w:t>
            </w:r>
          </w:p>
        </w:tc>
        <w:tc>
          <w:tcPr>
            <w:tcW w:type="dxa" w:w="1706"/>
            <w:tcMar>
              <w:top w:type="dxa" w:w="40"/>
              <w:left w:type="dxa" w:w="80"/>
              <w:bottom w:type="dxa" w:w="40"/>
              <w:right w:type="dxa" w:w="80"/>
            </w:tcMar>
          </w:tcPr>
          <w:p>
            <w:r>
              <w:rPr>
                <w:b w:val="false"/>
                <w:bCs w:val="false"/>
                <w:color w:val="222222"/>
                <w:sz w:val="15"/>
                <w:szCs w:val="15"/>
              </w:rPr>
              <w:t xml:space="preserve">持续投入、适应性连贯</w:t>
            </w:r>
          </w:p>
        </w:tc>
      </w:tr>
      <w:tr>
        <w:trPr>
          <w:tblHeader w:val="false"/>
        </w:trPr>
        <w:tc>
          <w:tcPr>
            <w:tcW w:type="dxa" w:w="1700"/>
            <w:tcMar>
              <w:top w:type="dxa" w:w="40"/>
              <w:left w:type="dxa" w:w="80"/>
              <w:bottom w:type="dxa" w:w="40"/>
              <w:right w:type="dxa" w:w="80"/>
            </w:tcMar>
          </w:tcPr>
          <w:p>
            <w:r>
              <w:rPr>
                <w:b w:val="false"/>
                <w:bCs w:val="false"/>
                <w:color w:val="222222"/>
                <w:sz w:val="15"/>
                <w:szCs w:val="15"/>
              </w:rPr>
              <w:t xml:space="preserve">汽车</w:t>
            </w:r>
          </w:p>
        </w:tc>
        <w:tc>
          <w:tcPr>
            <w:tcW w:type="dxa" w:w="2200"/>
            <w:tcMar>
              <w:top w:type="dxa" w:w="40"/>
              <w:left w:type="dxa" w:w="80"/>
              <w:bottom w:type="dxa" w:w="40"/>
              <w:right w:type="dxa" w:w="80"/>
            </w:tcMar>
          </w:tcPr>
          <w:p>
            <w:r>
              <w:rPr>
                <w:b w:val="false"/>
                <w:bCs w:val="false"/>
                <w:color w:val="222222"/>
                <w:sz w:val="15"/>
                <w:szCs w:val="15"/>
              </w:rPr>
              <w:t xml:space="preserve">Hunyuan 图像；Modly</w:t>
            </w:r>
          </w:p>
        </w:tc>
        <w:tc>
          <w:tcPr>
            <w:tcW w:type="dxa" w:w="3200"/>
            <w:tcMar>
              <w:top w:type="dxa" w:w="40"/>
              <w:left w:type="dxa" w:w="80"/>
              <w:bottom w:type="dxa" w:w="40"/>
              <w:right w:type="dxa" w:w="80"/>
            </w:tcMar>
          </w:tcPr>
          <w:p>
            <w:r>
              <w:rPr>
                <w:b w:val="false"/>
                <w:bCs w:val="false"/>
                <w:color w:val="222222"/>
                <w:sz w:val="15"/>
                <w:szCs w:val="15"/>
              </w:rPr>
              <w:t xml:space="preserve">布置硬点、比例、姿态、曲面</w:t>
            </w:r>
          </w:p>
        </w:tc>
        <w:tc>
          <w:tcPr>
            <w:tcW w:type="dxa" w:w="1706"/>
            <w:tcMar>
              <w:top w:type="dxa" w:w="40"/>
              <w:left w:type="dxa" w:w="80"/>
              <w:bottom w:type="dxa" w:w="40"/>
              <w:right w:type="dxa" w:w="80"/>
            </w:tcMar>
          </w:tcPr>
          <w:p>
            <w:r>
              <w:rPr>
                <w:b w:val="false"/>
                <w:bCs w:val="false"/>
                <w:color w:val="222222"/>
                <w:sz w:val="15"/>
                <w:szCs w:val="15"/>
              </w:rPr>
              <w:t xml:space="preserve">审美感知</w:t>
            </w:r>
          </w:p>
        </w:tc>
      </w:tr>
      <w:tr>
        <w:trPr>
          <w:tblHeader w:val="false"/>
        </w:trPr>
        <w:tc>
          <w:tcPr>
            <w:tcW w:type="dxa" w:w="1700"/>
            <w:tcMar>
              <w:top w:type="dxa" w:w="40"/>
              <w:left w:type="dxa" w:w="80"/>
              <w:bottom w:type="dxa" w:w="40"/>
              <w:right w:type="dxa" w:w="80"/>
            </w:tcMar>
          </w:tcPr>
          <w:p>
            <w:r>
              <w:rPr>
                <w:b w:val="false"/>
                <w:bCs w:val="false"/>
                <w:color w:val="222222"/>
                <w:sz w:val="15"/>
                <w:szCs w:val="15"/>
              </w:rPr>
              <w:t xml:space="preserve">平面</w:t>
            </w:r>
          </w:p>
        </w:tc>
        <w:tc>
          <w:tcPr>
            <w:tcW w:type="dxa" w:w="2200"/>
            <w:tcMar>
              <w:top w:type="dxa" w:w="40"/>
              <w:left w:type="dxa" w:w="80"/>
              <w:bottom w:type="dxa" w:w="40"/>
              <w:right w:type="dxa" w:w="80"/>
            </w:tcMar>
          </w:tcPr>
          <w:p>
            <w:r>
              <w:rPr>
                <w:b w:val="false"/>
                <w:bCs w:val="false"/>
                <w:color w:val="222222"/>
                <w:sz w:val="15"/>
                <w:szCs w:val="15"/>
              </w:rPr>
              <w:t xml:space="preserve">Hunyuan 图像</w:t>
            </w:r>
          </w:p>
        </w:tc>
        <w:tc>
          <w:tcPr>
            <w:tcW w:type="dxa" w:w="3200"/>
            <w:tcMar>
              <w:top w:type="dxa" w:w="40"/>
              <w:left w:type="dxa" w:w="80"/>
              <w:bottom w:type="dxa" w:w="40"/>
              <w:right w:type="dxa" w:w="80"/>
            </w:tcMar>
          </w:tcPr>
          <w:p>
            <w:r>
              <w:rPr>
                <w:b w:val="false"/>
                <w:bCs w:val="false"/>
                <w:color w:val="222222"/>
                <w:sz w:val="15"/>
                <w:szCs w:val="15"/>
              </w:rPr>
              <w:t xml:space="preserve">信息、层级、网格、字体</w:t>
            </w:r>
          </w:p>
        </w:tc>
        <w:tc>
          <w:tcPr>
            <w:tcW w:type="dxa" w:w="1706"/>
            <w:tcMar>
              <w:top w:type="dxa" w:w="40"/>
              <w:left w:type="dxa" w:w="80"/>
              <w:bottom w:type="dxa" w:w="40"/>
              <w:right w:type="dxa" w:w="80"/>
            </w:tcMar>
          </w:tcPr>
          <w:p>
            <w:r>
              <w:rPr>
                <w:b w:val="false"/>
                <w:bCs w:val="false"/>
                <w:color w:val="222222"/>
                <w:sz w:val="15"/>
                <w:szCs w:val="15"/>
              </w:rPr>
              <w:t xml:space="preserve">表达影响力、审美感知</w:t>
            </w:r>
          </w:p>
        </w:tc>
      </w:tr>
      <w:tr>
        <w:trPr>
          <w:tblHeader w:val="false"/>
        </w:trPr>
        <w:tc>
          <w:tcPr>
            <w:tcW w:type="dxa" w:w="1700"/>
            <w:tcMar>
              <w:top w:type="dxa" w:w="40"/>
              <w:left w:type="dxa" w:w="80"/>
              <w:bottom w:type="dxa" w:w="40"/>
              <w:right w:type="dxa" w:w="80"/>
            </w:tcMar>
          </w:tcPr>
          <w:p>
            <w:r>
              <w:rPr>
                <w:b w:val="false"/>
                <w:bCs w:val="false"/>
                <w:color w:val="222222"/>
                <w:sz w:val="15"/>
                <w:szCs w:val="15"/>
              </w:rPr>
              <w:t xml:space="preserve">动态、视频</w:t>
            </w:r>
          </w:p>
        </w:tc>
        <w:tc>
          <w:tcPr>
            <w:tcW w:type="dxa" w:w="2200"/>
            <w:tcMar>
              <w:top w:type="dxa" w:w="40"/>
              <w:left w:type="dxa" w:w="80"/>
              <w:bottom w:type="dxa" w:w="40"/>
              <w:right w:type="dxa" w:w="80"/>
            </w:tcMar>
          </w:tcPr>
          <w:p>
            <w:r>
              <w:rPr>
                <w:b w:val="false"/>
                <w:bCs w:val="false"/>
                <w:color w:val="222222"/>
                <w:sz w:val="15"/>
                <w:szCs w:val="15"/>
              </w:rPr>
              <w:t xml:space="preserve">OpenMontage</w:t>
            </w:r>
          </w:p>
        </w:tc>
        <w:tc>
          <w:tcPr>
            <w:tcW w:type="dxa" w:w="3200"/>
            <w:tcMar>
              <w:top w:type="dxa" w:w="40"/>
              <w:left w:type="dxa" w:w="80"/>
              <w:bottom w:type="dxa" w:w="40"/>
              <w:right w:type="dxa" w:w="80"/>
            </w:tcMar>
          </w:tcPr>
          <w:p>
            <w:r>
              <w:rPr>
                <w:b w:val="false"/>
                <w:bCs w:val="false"/>
                <w:color w:val="222222"/>
                <w:sz w:val="15"/>
                <w:szCs w:val="15"/>
              </w:rPr>
              <w:t xml:space="preserve">情感弧线与结构，在提案门</w:t>
            </w:r>
          </w:p>
        </w:tc>
        <w:tc>
          <w:tcPr>
            <w:tcW w:type="dxa" w:w="1706"/>
            <w:tcMar>
              <w:top w:type="dxa" w:w="40"/>
              <w:left w:type="dxa" w:w="80"/>
              <w:bottom w:type="dxa" w:w="40"/>
              <w:right w:type="dxa" w:w="80"/>
            </w:tcMar>
          </w:tcPr>
          <w:p>
            <w:r>
              <w:rPr>
                <w:b w:val="false"/>
                <w:bCs w:val="false"/>
                <w:color w:val="222222"/>
                <w:sz w:val="15"/>
                <w:szCs w:val="15"/>
              </w:rPr>
              <w:t xml:space="preserve">适应性连贯、审美感知</w:t>
            </w:r>
          </w:p>
        </w:tc>
      </w:tr>
      <w:tr>
        <w:trPr>
          <w:tblHeader w:val="false"/>
        </w:trPr>
        <w:tc>
          <w:tcPr>
            <w:tcW w:type="dxa" w:w="1700"/>
            <w:tcMar>
              <w:top w:type="dxa" w:w="40"/>
              <w:left w:type="dxa" w:w="80"/>
              <w:bottom w:type="dxa" w:w="40"/>
              <w:right w:type="dxa" w:w="80"/>
            </w:tcMar>
          </w:tcPr>
          <w:p>
            <w:r>
              <w:rPr>
                <w:b w:val="false"/>
                <w:bCs w:val="false"/>
                <w:color w:val="222222"/>
                <w:sz w:val="15"/>
                <w:szCs w:val="15"/>
              </w:rPr>
              <w:t xml:space="preserve">产品、3D 形态</w:t>
            </w:r>
          </w:p>
        </w:tc>
        <w:tc>
          <w:tcPr>
            <w:tcW w:type="dxa" w:w="2200"/>
            <w:tcMar>
              <w:top w:type="dxa" w:w="40"/>
              <w:left w:type="dxa" w:w="80"/>
              <w:bottom w:type="dxa" w:w="40"/>
              <w:right w:type="dxa" w:w="80"/>
            </w:tcMar>
          </w:tcPr>
          <w:p>
            <w:r>
              <w:rPr>
                <w:b w:val="false"/>
                <w:bCs w:val="false"/>
                <w:color w:val="222222"/>
                <w:sz w:val="15"/>
                <w:szCs w:val="15"/>
              </w:rPr>
              <w:t xml:space="preserve">Modly（Hunyuan3D）</w:t>
            </w:r>
          </w:p>
        </w:tc>
        <w:tc>
          <w:tcPr>
            <w:tcW w:type="dxa" w:w="3200"/>
            <w:tcMar>
              <w:top w:type="dxa" w:w="40"/>
              <w:left w:type="dxa" w:w="80"/>
              <w:bottom w:type="dxa" w:w="40"/>
              <w:right w:type="dxa" w:w="80"/>
            </w:tcMar>
          </w:tcPr>
          <w:p>
            <w:r>
              <w:rPr>
                <w:b w:val="false"/>
                <w:bCs w:val="false"/>
                <w:color w:val="222222"/>
                <w:sz w:val="15"/>
                <w:szCs w:val="15"/>
              </w:rPr>
              <w:t xml:space="preserve">形态、轮廓、比例、用途</w:t>
            </w:r>
          </w:p>
        </w:tc>
        <w:tc>
          <w:tcPr>
            <w:tcW w:type="dxa" w:w="1706"/>
            <w:tcMar>
              <w:top w:type="dxa" w:w="40"/>
              <w:left w:type="dxa" w:w="80"/>
              <w:bottom w:type="dxa" w:w="40"/>
              <w:right w:type="dxa" w:w="80"/>
            </w:tcMar>
          </w:tcPr>
          <w:p>
            <w:r>
              <w:rPr>
                <w:b w:val="false"/>
                <w:bCs w:val="false"/>
                <w:color w:val="222222"/>
                <w:sz w:val="15"/>
                <w:szCs w:val="15"/>
              </w:rPr>
              <w:t xml:space="preserve">审美感知、持续投入</w:t>
            </w:r>
          </w:p>
        </w:tc>
      </w:tr>
    </w:tbl>
    <w:p>
      <w:pPr>
        <w:pBdr>
          <w:bottom w:val="single" w:color="C9D2DE" w:sz="6" w:space="3"/>
        </w:pBdr>
        <w:spacing w:after="80" w:before="220"/>
      </w:pPr>
      <w:r>
        <w:rPr>
          <w:b/>
          <w:bCs/>
          <w:color w:val="1F3A5F"/>
          <w:sz w:val="22"/>
          <w:szCs w:val="22"/>
        </w:rPr>
        <w:t xml:space="preserve">八、方法</w:t>
      </w:r>
    </w:p>
    <w:p>
      <w:pPr>
        <w:spacing w:after="90"/>
      </w:pPr>
      <w:r>
        <w:rPr>
          <w:color w:val="222222"/>
          <w:sz w:val="19"/>
          <w:szCs w:val="19"/>
        </w:rPr>
        <w:t xml:space="preserve">实验室研究自身的仪器。每一次 dæmon 会话都产生一份稠密的记录：人的提示与决定、模型的响应、工具与智能体的调用、修改与选择、以及它们的时序。这份记录即原始数据，经三层互相三角验证。</w:t>
      </w:r>
    </w:p>
    <w:p>
      <w:pPr>
        <w:spacing w:after="70"/>
      </w:pPr>
      <w:r>
        <w:rPr>
          <w:b/>
          <w:bCs/>
          <w:color w:val="1F3A5F"/>
          <w:sz w:val="19"/>
          <w:szCs w:val="19"/>
        </w:rPr>
        <w:t xml:space="preserve">设计认知分析。  </w:t>
      </w:r>
      <w:r>
        <w:rPr>
          <w:color w:val="222222"/>
          <w:sz w:val="19"/>
          <w:szCs w:val="19"/>
        </w:rPr>
        <w:t xml:space="preserve">代尔夫特传统的设计动作口语报告分析（Cross、Christiaans 与 Dorst）与连接图（Goldschmidt），现在在日志记录上计算，而非手工转录。</w:t>
      </w:r>
    </w:p>
    <w:p>
      <w:pPr>
        <w:spacing w:after="70"/>
      </w:pPr>
      <w:r>
        <w:rPr>
          <w:b/>
          <w:bCs/>
          <w:color w:val="1F3A5F"/>
          <w:sz w:val="19"/>
          <w:szCs w:val="19"/>
        </w:rPr>
        <w:t xml:space="preserve">交互与过程挖掘。  </w:t>
      </w:r>
      <w:r>
        <w:rPr>
          <w:color w:val="222222"/>
          <w:sz w:val="19"/>
          <w:szCs w:val="19"/>
        </w:rPr>
        <w:t xml:space="preserve">对决策记录的序列与过程建模（马尔可夫模型过程挖掘；对话与参与度画像聚类），并持告诫：交互量不等于学习，需将无效投入与有效的苦思区分开。</w:t>
      </w:r>
    </w:p>
    <w:p>
      <w:pPr>
        <w:spacing w:after="70"/>
      </w:pPr>
      <w:r>
        <w:rPr>
          <w:b/>
          <w:bCs/>
          <w:color w:val="1F3A5F"/>
          <w:sz w:val="19"/>
          <w:szCs w:val="19"/>
        </w:rPr>
        <w:t xml:space="preserve">LLM 辅助的质性分析。  </w:t>
      </w:r>
      <w:r>
        <w:rPr>
          <w:color w:val="222222"/>
          <w:sz w:val="19"/>
          <w:szCs w:val="19"/>
        </w:rPr>
        <w:t xml:space="preserve">本地开源模型辅助开放编码，数据留在实验室，采用人–AI 混合编码手册、报告人–模型一致度，并由研究者掌握阐释权。</w:t>
      </w:r>
    </w:p>
    <w:p>
      <w:pPr>
        <w:spacing w:after="90"/>
      </w:pPr>
      <w:r>
        <w:rPr>
          <w:color w:val="222222"/>
          <w:sz w:val="19"/>
          <w:szCs w:val="19"/>
        </w:rPr>
        <w:t xml:space="preserve">在此基础之上，是因果与田野设计：带同意条件的预注册受控比较与延迟后测；对机构与教师的纵向民族志；以及与社群的参与式与行动研究。对 AI 生成记录的计算式阅读，与受控研究及情境田野三角验证，是实验室对齐的标准。交互记录属敏感个人数据，故实验室以知情同意与伦理审批为前提，日志自托管并受访问控制。</w:t>
      </w:r>
    </w:p>
    <w:p>
      <w:pPr>
        <w:pBdr>
          <w:bottom w:val="single" w:color="C9D2DE" w:sz="6" w:space="3"/>
        </w:pBdr>
        <w:spacing w:after="80" w:before="220"/>
      </w:pPr>
      <w:r>
        <w:rPr>
          <w:b/>
          <w:bCs/>
          <w:color w:val="1F3A5F"/>
          <w:sz w:val="22"/>
          <w:szCs w:val="22"/>
        </w:rPr>
        <w:t xml:space="preserve">九、推荐技术栈：腾讯加开源</w:t>
      </w:r>
    </w:p>
    <w:p>
      <w:pPr>
        <w:pStyle w:val="ListParagraph"/>
        <w:numPr>
          <w:ilvl w:val="0"/>
          <w:numId w:val="2"/>
        </w:numPr>
        <w:spacing w:after="50"/>
      </w:pPr>
      <w:r>
        <w:rPr>
          <w:b/>
          <w:bCs/>
          <w:color w:val="1F3A5F"/>
          <w:sz w:val="19"/>
          <w:szCs w:val="19"/>
        </w:rPr>
        <w:t xml:space="preserve">智能体、工具、编排：  </w:t>
      </w:r>
      <w:r>
        <w:rPr>
          <w:color w:val="222222"/>
          <w:sz w:val="19"/>
          <w:szCs w:val="19"/>
        </w:rPr>
        <w:t xml:space="preserve">基于 Hunyuan Hy3 的腾讯 WorkBuddy，沙箱化，支持工具调用与 MCP，可在 Hunyuan、DeepSeek、GLM、Kimi、MiniMax 间切换。可复用的 dæmon 行为打包为 WorkBuddy Skills。WorkBuddy 也是方向 D4 的对象。</w:t>
      </w:r>
    </w:p>
    <w:p>
      <w:pPr>
        <w:pStyle w:val="ListParagraph"/>
        <w:numPr>
          <w:ilvl w:val="0"/>
          <w:numId w:val="2"/>
        </w:numPr>
        <w:spacing w:after="50"/>
      </w:pPr>
      <w:r>
        <w:rPr>
          <w:b/>
          <w:bCs/>
          <w:color w:val="1F3A5F"/>
          <w:sz w:val="19"/>
          <w:szCs w:val="19"/>
        </w:rPr>
        <w:t xml:space="preserve">大脑：  </w:t>
      </w:r>
      <w:r>
        <w:rPr>
          <w:color w:val="222222"/>
          <w:sz w:val="19"/>
          <w:szCs w:val="19"/>
        </w:rPr>
        <w:t xml:space="preserve">默认 Hunyuan Hy3；任意 OpenAI 兼容端点（含本地 Ollama）覆盖开源权重。</w:t>
      </w:r>
    </w:p>
    <w:p>
      <w:pPr>
        <w:pStyle w:val="ListParagraph"/>
        <w:numPr>
          <w:ilvl w:val="0"/>
          <w:numId w:val="2"/>
        </w:numPr>
        <w:spacing w:after="50"/>
      </w:pPr>
      <w:r>
        <w:rPr>
          <w:b/>
          <w:bCs/>
          <w:color w:val="1F3A5F"/>
          <w:sz w:val="19"/>
          <w:szCs w:val="19"/>
        </w:rPr>
        <w:t xml:space="preserve">创作生成：  </w:t>
      </w:r>
      <w:r>
        <w:rPr>
          <w:color w:val="222222"/>
          <w:sz w:val="19"/>
          <w:szCs w:val="19"/>
        </w:rPr>
        <w:t xml:space="preserve">Hunyuan3D、HunyuanVideo、Hunyuan 图像。</w:t>
      </w:r>
    </w:p>
    <w:p>
      <w:pPr>
        <w:pStyle w:val="ListParagraph"/>
        <w:numPr>
          <w:ilvl w:val="0"/>
          <w:numId w:val="2"/>
        </w:numPr>
        <w:spacing w:after="50"/>
      </w:pPr>
      <w:r>
        <w:rPr>
          <w:b/>
          <w:bCs/>
          <w:color w:val="1F3A5F"/>
          <w:sz w:val="19"/>
          <w:szCs w:val="19"/>
        </w:rPr>
        <w:t xml:space="preserve">语音输入：  </w:t>
      </w:r>
      <w:r>
        <w:rPr>
          <w:color w:val="222222"/>
          <w:sz w:val="19"/>
          <w:szCs w:val="19"/>
        </w:rPr>
        <w:t xml:space="preserve">Whisper，或腾讯云 ASR。</w:t>
      </w:r>
    </w:p>
    <w:p>
      <w:pPr>
        <w:pStyle w:val="ListParagraph"/>
        <w:numPr>
          <w:ilvl w:val="0"/>
          <w:numId w:val="2"/>
        </w:numPr>
        <w:spacing w:after="50"/>
      </w:pPr>
      <w:r>
        <w:rPr>
          <w:b/>
          <w:bCs/>
          <w:color w:val="1F3A5F"/>
          <w:sz w:val="19"/>
          <w:szCs w:val="19"/>
        </w:rPr>
        <w:t xml:space="preserve">语音输出与克隆：  </w:t>
      </w:r>
      <w:r>
        <w:rPr>
          <w:color w:val="222222"/>
          <w:sz w:val="19"/>
          <w:szCs w:val="19"/>
        </w:rPr>
        <w:t xml:space="preserve">CosyVoice 或 Chatterbox，或腾讯云 TTS。</w:t>
      </w:r>
    </w:p>
    <w:p>
      <w:pPr>
        <w:pStyle w:val="ListParagraph"/>
        <w:numPr>
          <w:ilvl w:val="0"/>
          <w:numId w:val="2"/>
        </w:numPr>
        <w:spacing w:after="50"/>
      </w:pPr>
      <w:r>
        <w:rPr>
          <w:b/>
          <w:bCs/>
          <w:color w:val="1F3A5F"/>
          <w:sz w:val="19"/>
          <w:szCs w:val="19"/>
        </w:rPr>
        <w:t xml:space="preserve">面孔：  </w:t>
      </w:r>
      <w:r>
        <w:rPr>
          <w:color w:val="222222"/>
          <w:sz w:val="19"/>
          <w:szCs w:val="19"/>
        </w:rPr>
        <w:t xml:space="preserve">MuseTalk 配 LivePortrait，或 Duix.Heygem 做完全本地克隆。</w:t>
      </w:r>
    </w:p>
    <w:p>
      <w:pPr>
        <w:pStyle w:val="ListParagraph"/>
        <w:numPr>
          <w:ilvl w:val="0"/>
          <w:numId w:val="2"/>
        </w:numPr>
        <w:spacing w:after="50"/>
      </w:pPr>
      <w:r>
        <w:rPr>
          <w:b/>
          <w:bCs/>
          <w:color w:val="1F3A5F"/>
          <w:sz w:val="19"/>
          <w:szCs w:val="19"/>
        </w:rPr>
        <w:t xml:space="preserve">实时界面：  </w:t>
      </w:r>
      <w:r>
        <w:rPr>
          <w:color w:val="222222"/>
          <w:sz w:val="19"/>
          <w:szCs w:val="19"/>
        </w:rPr>
        <w:t xml:space="preserve">OpenTalking 或 LiveTalking，提供 WebRTC、可打断的管线。</w:t>
      </w:r>
    </w:p>
    <w:p>
      <w:pPr>
        <w:pStyle w:val="ListParagraph"/>
        <w:numPr>
          <w:ilvl w:val="0"/>
          <w:numId w:val="2"/>
        </w:numPr>
        <w:spacing w:after="50"/>
      </w:pPr>
      <w:r>
        <w:rPr>
          <w:b/>
          <w:bCs/>
          <w:color w:val="1F3A5F"/>
          <w:sz w:val="19"/>
          <w:szCs w:val="19"/>
        </w:rPr>
        <w:t xml:space="preserve">记忆：  </w:t>
      </w:r>
      <w:r>
        <w:rPr>
          <w:color w:val="222222"/>
          <w:sz w:val="19"/>
          <w:szCs w:val="19"/>
        </w:rPr>
        <w:t xml:space="preserve">在 ACI 语料与实验室材料上的向量库。</w:t>
      </w:r>
    </w:p>
    <w:p>
      <w:pPr>
        <w:pStyle w:val="ListParagraph"/>
        <w:numPr>
          <w:ilvl w:val="0"/>
          <w:numId w:val="2"/>
        </w:numPr>
        <w:spacing w:after="50"/>
      </w:pPr>
      <w:r>
        <w:rPr>
          <w:b/>
          <w:bCs/>
          <w:color w:val="1F3A5F"/>
          <w:sz w:val="19"/>
          <w:szCs w:val="19"/>
        </w:rPr>
        <w:t xml:space="preserve">算力与托管：  </w:t>
      </w:r>
      <w:r>
        <w:rPr>
          <w:color w:val="222222"/>
          <w:sz w:val="19"/>
          <w:szCs w:val="19"/>
        </w:rPr>
        <w:t xml:space="preserve">腾讯云 GPU 或本地显卡；WorkBuddy 可经 Lighthouse 自托管；数据留在国内。</w:t>
      </w:r>
    </w:p>
    <w:p>
      <w:pPr>
        <w:pStyle w:val="ListParagraph"/>
        <w:numPr>
          <w:ilvl w:val="0"/>
          <w:numId w:val="2"/>
        </w:numPr>
        <w:spacing w:after="50"/>
      </w:pPr>
      <w:r>
        <w:rPr>
          <w:b/>
          <w:bCs/>
          <w:color w:val="1F3A5F"/>
          <w:sz w:val="19"/>
          <w:szCs w:val="19"/>
        </w:rPr>
        <w:t xml:space="preserve">仪表化：  </w:t>
      </w:r>
      <w:r>
        <w:rPr>
          <w:color w:val="222222"/>
          <w:sz w:val="19"/>
          <w:szCs w:val="19"/>
        </w:rPr>
        <w:t xml:space="preserve">一个会话记录器，把每个提示、响应、工具调用、修改与时序捕获为主要研究记录。这是实验室的核心研究仪器。</w:t>
      </w:r>
    </w:p>
    <w:p>
      <w:pPr>
        <w:pBdr>
          <w:bottom w:val="single" w:color="C9D2DE" w:sz="6" w:space="3"/>
        </w:pBdr>
        <w:spacing w:after="80" w:before="220"/>
      </w:pPr>
      <w:r>
        <w:rPr>
          <w:b/>
          <w:bCs/>
          <w:color w:val="1F3A5F"/>
          <w:sz w:val="22"/>
          <w:szCs w:val="22"/>
        </w:rPr>
        <w:t xml:space="preserve">十、算力</w:t>
      </w:r>
    </w:p>
    <w:p>
      <w:pPr>
        <w:spacing w:after="90"/>
      </w:pPr>
      <w:r>
        <w:rPr>
          <w:color w:val="222222"/>
          <w:sz w:val="19"/>
          <w:szCs w:val="19"/>
        </w:rPr>
        <w:t xml:space="preserve">视频与 3D 生成是大头。配合量化并把文本编码器卸载到系统内存，可把全精度模型收进一张消费级 GPU，故原型机并不昂贵。</w:t>
      </w:r>
    </w:p>
    <w:tbl>
      <w:tblPr>
        <w:tblW w:type="dxa" w:w="9000"/>
        <w:tblBorders>
          <w:top w:val="single" w:color="C9D2DE" w:sz="2"/>
          <w:left w:val="single" w:color="C9D2DE" w:sz="2"/>
          <w:bottom w:val="single" w:color="C9D2DE" w:sz="2"/>
          <w:right w:val="single" w:color="C9D2DE" w:sz="2"/>
          <w:insideH w:val="single" w:color="C9D2DE" w:sz="2"/>
          <w:insideV w:val="single" w:color="C9D2DE" w:sz="2"/>
        </w:tblBorders>
      </w:tblPr>
      <w:tblGrid>
        <w:gridCol w:w="1200"/>
        <w:gridCol w:w="2200"/>
        <w:gridCol w:w="1700"/>
        <w:gridCol w:w="3900"/>
      </w:tblGrid>
      <w:tr>
        <w:trPr>
          <w:tblHeader/>
        </w:trPr>
        <w:tc>
          <w:tcPr>
            <w:tcW w:type="dxa" w:w="1200"/>
            <w:shd w:fill="E8EDF3" w:color="auto" w:val="clear"/>
            <w:tcMar>
              <w:top w:type="dxa" w:w="40"/>
              <w:left w:type="dxa" w:w="80"/>
              <w:bottom w:type="dxa" w:w="40"/>
              <w:right w:type="dxa" w:w="80"/>
            </w:tcMar>
          </w:tcPr>
          <w:p>
            <w:r>
              <w:rPr>
                <w:b/>
                <w:bCs/>
                <w:color w:val="1F3A5F"/>
                <w:sz w:val="15"/>
                <w:szCs w:val="15"/>
              </w:rPr>
              <w:t xml:space="preserve">级别</w:t>
            </w:r>
          </w:p>
        </w:tc>
        <w:tc>
          <w:tcPr>
            <w:tcW w:type="dxa" w:w="2200"/>
            <w:shd w:fill="E8EDF3" w:color="auto" w:val="clear"/>
            <w:tcMar>
              <w:top w:type="dxa" w:w="40"/>
              <w:left w:type="dxa" w:w="80"/>
              <w:bottom w:type="dxa" w:w="40"/>
              <w:right w:type="dxa" w:w="80"/>
            </w:tcMar>
          </w:tcPr>
          <w:p>
            <w:r>
              <w:rPr>
                <w:b/>
                <w:bCs/>
                <w:color w:val="1F3A5F"/>
                <w:sz w:val="15"/>
                <w:szCs w:val="15"/>
              </w:rPr>
              <w:t xml:space="preserve">GPU</w:t>
            </w:r>
          </w:p>
        </w:tc>
        <w:tc>
          <w:tcPr>
            <w:tcW w:type="dxa" w:w="1700"/>
            <w:shd w:fill="E8EDF3" w:color="auto" w:val="clear"/>
            <w:tcMar>
              <w:top w:type="dxa" w:w="40"/>
              <w:left w:type="dxa" w:w="80"/>
              <w:bottom w:type="dxa" w:w="40"/>
              <w:right w:type="dxa" w:w="80"/>
            </w:tcMar>
          </w:tcPr>
          <w:p>
            <w:r>
              <w:rPr>
                <w:b/>
                <w:bCs/>
                <w:color w:val="1F3A5F"/>
                <w:sz w:val="15"/>
                <w:szCs w:val="15"/>
              </w:rPr>
              <w:t xml:space="preserve">系统</w:t>
            </w:r>
          </w:p>
        </w:tc>
        <w:tc>
          <w:tcPr>
            <w:tcW w:type="dxa" w:w="3900"/>
            <w:shd w:fill="E8EDF3" w:color="auto" w:val="clear"/>
            <w:tcMar>
              <w:top w:type="dxa" w:w="40"/>
              <w:left w:type="dxa" w:w="80"/>
              <w:bottom w:type="dxa" w:w="40"/>
              <w:right w:type="dxa" w:w="80"/>
            </w:tcMar>
          </w:tcPr>
          <w:p>
            <w:r>
              <w:rPr>
                <w:b/>
                <w:bCs/>
                <w:color w:val="1F3A5F"/>
                <w:sz w:val="15"/>
                <w:szCs w:val="15"/>
              </w:rPr>
              <w:t xml:space="preserve">可运行</w:t>
            </w:r>
          </w:p>
        </w:tc>
      </w:tr>
      <w:tr>
        <w:trPr>
          <w:tblHeader w:val="false"/>
        </w:trPr>
        <w:tc>
          <w:tcPr>
            <w:tcW w:type="dxa" w:w="1200"/>
            <w:tcMar>
              <w:top w:type="dxa" w:w="40"/>
              <w:left w:type="dxa" w:w="80"/>
              <w:bottom w:type="dxa" w:w="40"/>
              <w:right w:type="dxa" w:w="80"/>
            </w:tcMar>
          </w:tcPr>
          <w:p>
            <w:r>
              <w:rPr>
                <w:b w:val="false"/>
                <w:bCs w:val="false"/>
                <w:color w:val="222222"/>
                <w:sz w:val="15"/>
                <w:szCs w:val="15"/>
              </w:rPr>
              <w:t xml:space="preserve">0 原型</w:t>
            </w:r>
          </w:p>
        </w:tc>
        <w:tc>
          <w:tcPr>
            <w:tcW w:type="dxa" w:w="2200"/>
            <w:tcMar>
              <w:top w:type="dxa" w:w="40"/>
              <w:left w:type="dxa" w:w="80"/>
              <w:bottom w:type="dxa" w:w="40"/>
              <w:right w:type="dxa" w:w="80"/>
            </w:tcMar>
          </w:tcPr>
          <w:p>
            <w:r>
              <w:rPr>
                <w:b w:val="false"/>
                <w:bCs w:val="false"/>
                <w:color w:val="222222"/>
                <w:sz w:val="15"/>
                <w:szCs w:val="15"/>
              </w:rPr>
              <w:t xml:space="preserve">1x RTX 4090 24GB</w:t>
            </w:r>
          </w:p>
        </w:tc>
        <w:tc>
          <w:tcPr>
            <w:tcW w:type="dxa" w:w="1700"/>
            <w:tcMar>
              <w:top w:type="dxa" w:w="40"/>
              <w:left w:type="dxa" w:w="80"/>
              <w:bottom w:type="dxa" w:w="40"/>
              <w:right w:type="dxa" w:w="80"/>
            </w:tcMar>
          </w:tcPr>
          <w:p>
            <w:r>
              <w:rPr>
                <w:b w:val="false"/>
                <w:bCs w:val="false"/>
                <w:color w:val="222222"/>
                <w:sz w:val="15"/>
                <w:szCs w:val="15"/>
              </w:rPr>
              <w:t xml:space="preserve">64GB 内存，2TB NVMe</w:t>
            </w:r>
          </w:p>
        </w:tc>
        <w:tc>
          <w:tcPr>
            <w:tcW w:type="dxa" w:w="3900"/>
            <w:tcMar>
              <w:top w:type="dxa" w:w="40"/>
              <w:left w:type="dxa" w:w="80"/>
              <w:bottom w:type="dxa" w:w="40"/>
              <w:right w:type="dxa" w:w="80"/>
            </w:tcMar>
          </w:tcPr>
          <w:p>
            <w:r>
              <w:rPr>
                <w:b w:val="false"/>
                <w:bCs w:val="false"/>
                <w:color w:val="222222"/>
                <w:sz w:val="15"/>
                <w:szCs w:val="15"/>
              </w:rPr>
              <w:t xml:space="preserve">dæmon 大模型 7-14B 量化、图像生成、Modly（Hunyuan3D Mini）、短时本地视频 FP8、会话日志</w:t>
            </w:r>
          </w:p>
        </w:tc>
      </w:tr>
      <w:tr>
        <w:trPr>
          <w:tblHeader w:val="false"/>
        </w:trPr>
        <w:tc>
          <w:tcPr>
            <w:tcW w:type="dxa" w:w="1200"/>
            <w:tcMar>
              <w:top w:type="dxa" w:w="40"/>
              <w:left w:type="dxa" w:w="80"/>
              <w:bottom w:type="dxa" w:w="40"/>
              <w:right w:type="dxa" w:w="80"/>
            </w:tcMar>
          </w:tcPr>
          <w:p>
            <w:r>
              <w:rPr>
                <w:b w:val="false"/>
                <w:bCs w:val="false"/>
                <w:color w:val="222222"/>
                <w:sz w:val="15"/>
                <w:szCs w:val="15"/>
              </w:rPr>
              <w:t xml:space="preserve">1 工作站</w:t>
            </w:r>
          </w:p>
        </w:tc>
        <w:tc>
          <w:tcPr>
            <w:tcW w:type="dxa" w:w="2200"/>
            <w:tcMar>
              <w:top w:type="dxa" w:w="40"/>
              <w:left w:type="dxa" w:w="80"/>
              <w:bottom w:type="dxa" w:w="40"/>
              <w:right w:type="dxa" w:w="80"/>
            </w:tcMar>
          </w:tcPr>
          <w:p>
            <w:r>
              <w:rPr>
                <w:b w:val="false"/>
                <w:bCs w:val="false"/>
                <w:color w:val="222222"/>
                <w:sz w:val="15"/>
                <w:szCs w:val="15"/>
              </w:rPr>
              <w:t xml:space="preserve">1x 48GB（L40S）或 80GB（A100）</w:t>
            </w:r>
          </w:p>
        </w:tc>
        <w:tc>
          <w:tcPr>
            <w:tcW w:type="dxa" w:w="1700"/>
            <w:tcMar>
              <w:top w:type="dxa" w:w="40"/>
              <w:left w:type="dxa" w:w="80"/>
              <w:bottom w:type="dxa" w:w="40"/>
              <w:right w:type="dxa" w:w="80"/>
            </w:tcMar>
          </w:tcPr>
          <w:p>
            <w:r>
              <w:rPr>
                <w:b w:val="false"/>
                <w:bCs w:val="false"/>
                <w:color w:val="222222"/>
                <w:sz w:val="15"/>
                <w:szCs w:val="15"/>
              </w:rPr>
              <w:t xml:space="preserve">128GB 内存，4TB NVMe</w:t>
            </w:r>
          </w:p>
        </w:tc>
        <w:tc>
          <w:tcPr>
            <w:tcW w:type="dxa" w:w="3900"/>
            <w:tcMar>
              <w:top w:type="dxa" w:w="40"/>
              <w:left w:type="dxa" w:w="80"/>
              <w:bottom w:type="dxa" w:w="40"/>
              <w:right w:type="dxa" w:w="80"/>
            </w:tcMar>
          </w:tcPr>
          <w:p>
            <w:r>
              <w:rPr>
                <w:b w:val="false"/>
                <w:bCs w:val="false"/>
                <w:color w:val="222222"/>
                <w:sz w:val="15"/>
                <w:szCs w:val="15"/>
              </w:rPr>
              <w:t xml:space="preserve">WAN 14B 或 HunyuanVideo 720p FP8、Hunyuan3D 完整版、较大 dæmon 大模型</w:t>
            </w:r>
          </w:p>
        </w:tc>
      </w:tr>
      <w:tr>
        <w:trPr>
          <w:tblHeader w:val="false"/>
        </w:trPr>
        <w:tc>
          <w:tcPr>
            <w:tcW w:type="dxa" w:w="1200"/>
            <w:tcMar>
              <w:top w:type="dxa" w:w="40"/>
              <w:left w:type="dxa" w:w="80"/>
              <w:bottom w:type="dxa" w:w="40"/>
              <w:right w:type="dxa" w:w="80"/>
            </w:tcMar>
          </w:tcPr>
          <w:p>
            <w:r>
              <w:rPr>
                <w:b w:val="false"/>
                <w:bCs w:val="false"/>
                <w:color w:val="222222"/>
                <w:sz w:val="15"/>
                <w:szCs w:val="15"/>
              </w:rPr>
              <w:t xml:space="preserve">2 团队节点</w:t>
            </w:r>
          </w:p>
        </w:tc>
        <w:tc>
          <w:tcPr>
            <w:tcW w:type="dxa" w:w="2200"/>
            <w:tcMar>
              <w:top w:type="dxa" w:w="40"/>
              <w:left w:type="dxa" w:w="80"/>
              <w:bottom w:type="dxa" w:w="40"/>
              <w:right w:type="dxa" w:w="80"/>
            </w:tcMar>
          </w:tcPr>
          <w:p>
            <w:r>
              <w:rPr>
                <w:b w:val="false"/>
                <w:bCs w:val="false"/>
                <w:color w:val="222222"/>
                <w:sz w:val="15"/>
                <w:szCs w:val="15"/>
              </w:rPr>
              <w:t xml:space="preserve">2-4x 48-80GB，或腾讯云 GPU</w:t>
            </w:r>
          </w:p>
        </w:tc>
        <w:tc>
          <w:tcPr>
            <w:tcW w:type="dxa" w:w="1700"/>
            <w:tcMar>
              <w:top w:type="dxa" w:w="40"/>
              <w:left w:type="dxa" w:w="80"/>
              <w:bottom w:type="dxa" w:w="40"/>
              <w:right w:type="dxa" w:w="80"/>
            </w:tcMar>
          </w:tcPr>
          <w:p>
            <w:r>
              <w:rPr>
                <w:b w:val="false"/>
                <w:bCs w:val="false"/>
                <w:color w:val="222222"/>
                <w:sz w:val="15"/>
                <w:szCs w:val="15"/>
              </w:rPr>
              <w:t xml:space="preserve">256GB 以上内存</w:t>
            </w:r>
          </w:p>
        </w:tc>
        <w:tc>
          <w:tcPr>
            <w:tcW w:type="dxa" w:w="3900"/>
            <w:tcMar>
              <w:top w:type="dxa" w:w="40"/>
              <w:left w:type="dxa" w:w="80"/>
              <w:bottom w:type="dxa" w:w="40"/>
              <w:right w:type="dxa" w:w="80"/>
            </w:tcMar>
          </w:tcPr>
          <w:p>
            <w:r>
              <w:rPr>
                <w:b w:val="false"/>
                <w:bCs w:val="false"/>
                <w:color w:val="222222"/>
                <w:sz w:val="15"/>
                <w:szCs w:val="15"/>
              </w:rPr>
              <w:t xml:space="preserve">并发工作室会话，加夜间批量</w:t>
            </w:r>
          </w:p>
        </w:tc>
      </w:tr>
    </w:tbl>
    <w:p>
      <w:pPr>
        <w:pBdr>
          <w:bottom w:val="single" w:color="C9D2DE" w:sz="6" w:space="3"/>
        </w:pBdr>
        <w:spacing w:after="80" w:before="220"/>
      </w:pPr>
      <w:r>
        <w:rPr>
          <w:b/>
          <w:bCs/>
          <w:color w:val="1F3A5F"/>
          <w:sz w:val="22"/>
          <w:szCs w:val="22"/>
        </w:rPr>
        <w:t xml:space="preserve">十一、目标期刊</w:t>
      </w:r>
    </w:p>
    <w:tbl>
      <w:tblPr>
        <w:tblW w:type="dxa" w:w="9006"/>
        <w:tblBorders>
          <w:top w:val="single" w:color="C9D2DE" w:sz="2"/>
          <w:left w:val="single" w:color="C9D2DE" w:sz="2"/>
          <w:bottom w:val="single" w:color="C9D2DE" w:sz="2"/>
          <w:right w:val="single" w:color="C9D2DE" w:sz="2"/>
          <w:insideH w:val="single" w:color="C9D2DE" w:sz="2"/>
          <w:insideV w:val="single" w:color="C9D2DE" w:sz="2"/>
        </w:tblBorders>
      </w:tblPr>
      <w:tblGrid>
        <w:gridCol w:w="2200"/>
        <w:gridCol w:w="3100"/>
        <w:gridCol w:w="3706"/>
      </w:tblGrid>
      <w:tr>
        <w:trPr>
          <w:tblHeader/>
        </w:trPr>
        <w:tc>
          <w:tcPr>
            <w:tcW w:type="dxa" w:w="2200"/>
            <w:shd w:fill="E8EDF3" w:color="auto" w:val="clear"/>
            <w:tcMar>
              <w:top w:type="dxa" w:w="40"/>
              <w:left w:type="dxa" w:w="80"/>
              <w:bottom w:type="dxa" w:w="40"/>
              <w:right w:type="dxa" w:w="80"/>
            </w:tcMar>
          </w:tcPr>
          <w:p>
            <w:r>
              <w:rPr>
                <w:b/>
                <w:bCs/>
                <w:color w:val="1F3A5F"/>
                <w:sz w:val="15"/>
                <w:szCs w:val="15"/>
              </w:rPr>
              <w:t xml:space="preserve">侧重</w:t>
            </w:r>
          </w:p>
        </w:tc>
        <w:tc>
          <w:tcPr>
            <w:tcW w:type="dxa" w:w="3100"/>
            <w:shd w:fill="E8EDF3" w:color="auto" w:val="clear"/>
            <w:tcMar>
              <w:top w:type="dxa" w:w="40"/>
              <w:left w:type="dxa" w:w="80"/>
              <w:bottom w:type="dxa" w:w="40"/>
              <w:right w:type="dxa" w:w="80"/>
            </w:tcMar>
          </w:tcPr>
          <w:p>
            <w:r>
              <w:rPr>
                <w:b/>
                <w:bCs/>
                <w:color w:val="1F3A5F"/>
                <w:sz w:val="15"/>
                <w:szCs w:val="15"/>
              </w:rPr>
              <w:t xml:space="preserve">首选</w:t>
            </w:r>
          </w:p>
        </w:tc>
        <w:tc>
          <w:tcPr>
            <w:tcW w:type="dxa" w:w="3706"/>
            <w:shd w:fill="E8EDF3" w:color="auto" w:val="clear"/>
            <w:tcMar>
              <w:top w:type="dxa" w:w="40"/>
              <w:left w:type="dxa" w:w="80"/>
              <w:bottom w:type="dxa" w:w="40"/>
              <w:right w:type="dxa" w:w="80"/>
            </w:tcMar>
          </w:tcPr>
          <w:p>
            <w:r>
              <w:rPr>
                <w:b/>
                <w:bCs/>
                <w:color w:val="1F3A5F"/>
                <w:sz w:val="15"/>
                <w:szCs w:val="15"/>
              </w:rPr>
              <w:t xml:space="preserve">次选</w:t>
            </w:r>
          </w:p>
        </w:tc>
      </w:tr>
      <w:tr>
        <w:trPr>
          <w:tblHeader w:val="false"/>
        </w:trPr>
        <w:tc>
          <w:tcPr>
            <w:tcW w:type="dxa" w:w="2200"/>
            <w:tcMar>
              <w:top w:type="dxa" w:w="40"/>
              <w:left w:type="dxa" w:w="80"/>
              <w:bottom w:type="dxa" w:w="40"/>
              <w:right w:type="dxa" w:w="80"/>
            </w:tcMar>
          </w:tcPr>
          <w:p>
            <w:r>
              <w:rPr>
                <w:b w:val="false"/>
                <w:bCs w:val="false"/>
                <w:color w:val="222222"/>
                <w:sz w:val="15"/>
                <w:szCs w:val="15"/>
              </w:rPr>
              <w:t xml:space="preserve">学生：能力形成</w:t>
            </w:r>
          </w:p>
        </w:tc>
        <w:tc>
          <w:tcPr>
            <w:tcW w:type="dxa" w:w="3100"/>
            <w:tcMar>
              <w:top w:type="dxa" w:w="40"/>
              <w:left w:type="dxa" w:w="80"/>
              <w:bottom w:type="dxa" w:w="40"/>
              <w:right w:type="dxa" w:w="80"/>
            </w:tcMar>
          </w:tcPr>
          <w:p>
            <w:r>
              <w:rPr>
                <w:b w:val="false"/>
                <w:bCs w:val="false"/>
                <w:color w:val="222222"/>
                <w:sz w:val="15"/>
                <w:szCs w:val="15"/>
              </w:rPr>
              <w:t xml:space="preserve">Design Studies；Journal of the Learning Sciences</w:t>
            </w:r>
          </w:p>
        </w:tc>
        <w:tc>
          <w:tcPr>
            <w:tcW w:type="dxa" w:w="3706"/>
            <w:tcMar>
              <w:top w:type="dxa" w:w="40"/>
              <w:left w:type="dxa" w:w="80"/>
              <w:bottom w:type="dxa" w:w="40"/>
              <w:right w:type="dxa" w:w="80"/>
            </w:tcMar>
          </w:tcPr>
          <w:p>
            <w:r>
              <w:rPr>
                <w:b w:val="false"/>
                <w:bCs w:val="false"/>
                <w:color w:val="222222"/>
                <w:sz w:val="15"/>
                <w:szCs w:val="15"/>
              </w:rPr>
              <w:t xml:space="preserve">Int. J. of Technology and Design Education；ACM Creativity and Cognition</w:t>
            </w:r>
          </w:p>
        </w:tc>
      </w:tr>
      <w:tr>
        <w:trPr>
          <w:tblHeader w:val="false"/>
        </w:trPr>
        <w:tc>
          <w:tcPr>
            <w:tcW w:type="dxa" w:w="2200"/>
            <w:tcMar>
              <w:top w:type="dxa" w:w="40"/>
              <w:left w:type="dxa" w:w="80"/>
              <w:bottom w:type="dxa" w:w="40"/>
              <w:right w:type="dxa" w:w="80"/>
            </w:tcMar>
          </w:tcPr>
          <w:p>
            <w:r>
              <w:rPr>
                <w:b w:val="false"/>
                <w:bCs w:val="false"/>
                <w:color w:val="222222"/>
                <w:sz w:val="15"/>
                <w:szCs w:val="15"/>
              </w:rPr>
              <w:t xml:space="preserve">教师：专家实践、传承</w:t>
            </w:r>
          </w:p>
        </w:tc>
        <w:tc>
          <w:tcPr>
            <w:tcW w:type="dxa" w:w="3100"/>
            <w:tcMar>
              <w:top w:type="dxa" w:w="40"/>
              <w:left w:type="dxa" w:w="80"/>
              <w:bottom w:type="dxa" w:w="40"/>
              <w:right w:type="dxa" w:w="80"/>
            </w:tcMar>
          </w:tcPr>
          <w:p>
            <w:r>
              <w:rPr>
                <w:b w:val="false"/>
                <w:bCs w:val="false"/>
                <w:color w:val="222222"/>
                <w:sz w:val="15"/>
                <w:szCs w:val="15"/>
              </w:rPr>
              <w:t xml:space="preserve">Design Studies；Design Issues</w:t>
            </w:r>
          </w:p>
        </w:tc>
        <w:tc>
          <w:tcPr>
            <w:tcW w:type="dxa" w:w="3706"/>
            <w:tcMar>
              <w:top w:type="dxa" w:w="40"/>
              <w:left w:type="dxa" w:w="80"/>
              <w:bottom w:type="dxa" w:w="40"/>
              <w:right w:type="dxa" w:w="80"/>
            </w:tcMar>
          </w:tcPr>
          <w:p>
            <w:r>
              <w:rPr>
                <w:b w:val="false"/>
                <w:bCs w:val="false"/>
                <w:color w:val="222222"/>
                <w:sz w:val="15"/>
                <w:szCs w:val="15"/>
              </w:rPr>
              <w:t xml:space="preserve">She Ji；Int. J. of Technology and Design Education</w:t>
            </w:r>
          </w:p>
        </w:tc>
      </w:tr>
      <w:tr>
        <w:trPr>
          <w:tblHeader w:val="false"/>
        </w:trPr>
        <w:tc>
          <w:tcPr>
            <w:tcW w:type="dxa" w:w="2200"/>
            <w:tcMar>
              <w:top w:type="dxa" w:w="40"/>
              <w:left w:type="dxa" w:w="80"/>
              <w:bottom w:type="dxa" w:w="40"/>
              <w:right w:type="dxa" w:w="80"/>
            </w:tcMar>
          </w:tcPr>
          <w:p>
            <w:r>
              <w:rPr>
                <w:b w:val="false"/>
                <w:bCs w:val="false"/>
                <w:color w:val="222222"/>
                <w:sz w:val="15"/>
                <w:szCs w:val="15"/>
              </w:rPr>
              <w:t xml:space="preserve">社群：创作议会</w:t>
            </w:r>
          </w:p>
        </w:tc>
        <w:tc>
          <w:tcPr>
            <w:tcW w:type="dxa" w:w="3100"/>
            <w:tcMar>
              <w:top w:type="dxa" w:w="40"/>
              <w:left w:type="dxa" w:w="80"/>
              <w:bottom w:type="dxa" w:w="40"/>
              <w:right w:type="dxa" w:w="80"/>
            </w:tcMar>
          </w:tcPr>
          <w:p>
            <w:r>
              <w:rPr>
                <w:b w:val="false"/>
                <w:bCs w:val="false"/>
                <w:color w:val="222222"/>
                <w:sz w:val="15"/>
                <w:szCs w:val="15"/>
              </w:rPr>
              <w:t xml:space="preserve">CoDesign；New Media and Society</w:t>
            </w:r>
          </w:p>
        </w:tc>
        <w:tc>
          <w:tcPr>
            <w:tcW w:type="dxa" w:w="3706"/>
            <w:tcMar>
              <w:top w:type="dxa" w:w="40"/>
              <w:left w:type="dxa" w:w="80"/>
              <w:bottom w:type="dxa" w:w="40"/>
              <w:right w:type="dxa" w:w="80"/>
            </w:tcMar>
          </w:tcPr>
          <w:p>
            <w:r>
              <w:rPr>
                <w:b w:val="false"/>
                <w:bCs w:val="false"/>
                <w:color w:val="222222"/>
                <w:sz w:val="15"/>
                <w:szCs w:val="15"/>
              </w:rPr>
              <w:t xml:space="preserve">ACM CSCW (PACMHCI)；She Ji</w:t>
            </w:r>
          </w:p>
        </w:tc>
      </w:tr>
      <w:tr>
        <w:trPr>
          <w:tblHeader w:val="false"/>
        </w:trPr>
        <w:tc>
          <w:tcPr>
            <w:tcW w:type="dxa" w:w="2200"/>
            <w:tcMar>
              <w:top w:type="dxa" w:w="40"/>
              <w:left w:type="dxa" w:w="80"/>
              <w:bottom w:type="dxa" w:w="40"/>
              <w:right w:type="dxa" w:w="80"/>
            </w:tcMar>
          </w:tcPr>
          <w:p>
            <w:r>
              <w:rPr>
                <w:b w:val="false"/>
                <w:bCs w:val="false"/>
                <w:color w:val="222222"/>
                <w:sz w:val="15"/>
                <w:szCs w:val="15"/>
              </w:rPr>
              <w:t xml:space="preserve">机构：编排与权力</w:t>
            </w:r>
          </w:p>
        </w:tc>
        <w:tc>
          <w:tcPr>
            <w:tcW w:type="dxa" w:w="3100"/>
            <w:tcMar>
              <w:top w:type="dxa" w:w="40"/>
              <w:left w:type="dxa" w:w="80"/>
              <w:bottom w:type="dxa" w:w="40"/>
              <w:right w:type="dxa" w:w="80"/>
            </w:tcMar>
          </w:tcPr>
          <w:p>
            <w:r>
              <w:rPr>
                <w:b w:val="false"/>
                <w:bCs w:val="false"/>
                <w:color w:val="222222"/>
                <w:sz w:val="15"/>
                <w:szCs w:val="15"/>
              </w:rPr>
              <w:t xml:space="preserve">ACM CHI；Int. J. of Human-Computer Studies</w:t>
            </w:r>
          </w:p>
        </w:tc>
        <w:tc>
          <w:tcPr>
            <w:tcW w:type="dxa" w:w="3706"/>
            <w:tcMar>
              <w:top w:type="dxa" w:w="40"/>
              <w:left w:type="dxa" w:w="80"/>
              <w:bottom w:type="dxa" w:w="40"/>
              <w:right w:type="dxa" w:w="80"/>
            </w:tcMar>
          </w:tcPr>
          <w:p>
            <w:r>
              <w:rPr>
                <w:b w:val="false"/>
                <w:bCs w:val="false"/>
                <w:color w:val="222222"/>
                <w:sz w:val="15"/>
                <w:szCs w:val="15"/>
              </w:rPr>
              <w:t xml:space="preserve">Journal of Engineering Design；ACM TOCHI</w:t>
            </w:r>
          </w:p>
        </w:tc>
      </w:tr>
    </w:tbl>
    <w:p>
      <w:pPr>
        <w:pBdr>
          <w:bottom w:val="single" w:color="C9D2DE" w:sz="6" w:space="3"/>
        </w:pBdr>
        <w:spacing w:after="80" w:before="220"/>
      </w:pPr>
      <w:r>
        <w:rPr>
          <w:b/>
          <w:bCs/>
          <w:color w:val="1F3A5F"/>
          <w:sz w:val="22"/>
          <w:szCs w:val="22"/>
        </w:rPr>
        <w:t xml:space="preserve">十二、上海合作方</w:t>
      </w:r>
    </w:p>
    <w:p>
      <w:pPr>
        <w:spacing w:after="90"/>
      </w:pPr>
      <w:r>
        <w:rPr>
          <w:color w:val="222222"/>
          <w:sz w:val="19"/>
          <w:szCs w:val="19"/>
        </w:rPr>
        <w:t xml:space="preserve">接洽前请核实现任负责人。同济与东华是可暖启的起点，经由 Yilin Wang 与 Joseph 的外专职任。</w:t>
      </w:r>
    </w:p>
    <w:tbl>
      <w:tblPr>
        <w:tblW w:type="dxa" w:w="9106"/>
        <w:tblBorders>
          <w:top w:val="single" w:color="C9D2DE" w:sz="2"/>
          <w:left w:val="single" w:color="C9D2DE" w:sz="2"/>
          <w:bottom w:val="single" w:color="C9D2DE" w:sz="2"/>
          <w:right w:val="single" w:color="C9D2DE" w:sz="2"/>
          <w:insideH w:val="single" w:color="C9D2DE" w:sz="2"/>
          <w:insideV w:val="single" w:color="C9D2DE" w:sz="2"/>
        </w:tblBorders>
      </w:tblPr>
      <w:tblGrid>
        <w:gridCol w:w="2400"/>
        <w:gridCol w:w="3300"/>
        <w:gridCol w:w="1900"/>
        <w:gridCol w:w="1506"/>
      </w:tblGrid>
      <w:tr>
        <w:trPr>
          <w:tblHeader/>
        </w:trPr>
        <w:tc>
          <w:tcPr>
            <w:tcW w:type="dxa" w:w="2400"/>
            <w:shd w:fill="E8EDF3" w:color="auto" w:val="clear"/>
            <w:tcMar>
              <w:top w:type="dxa" w:w="40"/>
              <w:left w:type="dxa" w:w="80"/>
              <w:bottom w:type="dxa" w:w="40"/>
              <w:right w:type="dxa" w:w="80"/>
            </w:tcMar>
          </w:tcPr>
          <w:p>
            <w:r>
              <w:rPr>
                <w:b/>
                <w:bCs/>
                <w:color w:val="1F3A5F"/>
                <w:sz w:val="15"/>
                <w:szCs w:val="15"/>
              </w:rPr>
              <w:t xml:space="preserve">机构</w:t>
            </w:r>
          </w:p>
        </w:tc>
        <w:tc>
          <w:tcPr>
            <w:tcW w:type="dxa" w:w="3300"/>
            <w:shd w:fill="E8EDF3" w:color="auto" w:val="clear"/>
            <w:tcMar>
              <w:top w:type="dxa" w:w="40"/>
              <w:left w:type="dxa" w:w="80"/>
              <w:bottom w:type="dxa" w:w="40"/>
              <w:right w:type="dxa" w:w="80"/>
            </w:tcMar>
          </w:tcPr>
          <w:p>
            <w:r>
              <w:rPr>
                <w:b/>
                <w:bCs/>
                <w:color w:val="1F3A5F"/>
                <w:sz w:val="15"/>
                <w:szCs w:val="15"/>
              </w:rPr>
              <w:t xml:space="preserve">团队与强项</w:t>
            </w:r>
          </w:p>
        </w:tc>
        <w:tc>
          <w:tcPr>
            <w:tcW w:type="dxa" w:w="1900"/>
            <w:shd w:fill="E8EDF3" w:color="auto" w:val="clear"/>
            <w:tcMar>
              <w:top w:type="dxa" w:w="40"/>
              <w:left w:type="dxa" w:w="80"/>
              <w:bottom w:type="dxa" w:w="40"/>
              <w:right w:type="dxa" w:w="80"/>
            </w:tcMar>
          </w:tcPr>
          <w:p>
            <w:r>
              <w:rPr>
                <w:b/>
                <w:bCs/>
                <w:color w:val="1F3A5F"/>
                <w:sz w:val="15"/>
                <w:szCs w:val="15"/>
              </w:rPr>
              <w:t xml:space="preserve">契合</w:t>
            </w:r>
          </w:p>
        </w:tc>
        <w:tc>
          <w:tcPr>
            <w:tcW w:type="dxa" w:w="1506"/>
            <w:shd w:fill="E8EDF3" w:color="auto" w:val="clear"/>
            <w:tcMar>
              <w:top w:type="dxa" w:w="40"/>
              <w:left w:type="dxa" w:w="80"/>
              <w:bottom w:type="dxa" w:w="40"/>
              <w:right w:type="dxa" w:w="80"/>
            </w:tcMar>
          </w:tcPr>
          <w:p>
            <w:r>
              <w:rPr>
                <w:b/>
                <w:bCs/>
                <w:color w:val="1F3A5F"/>
                <w:sz w:val="15"/>
                <w:szCs w:val="15"/>
              </w:rPr>
              <w:t xml:space="preserve">入口</w:t>
            </w:r>
          </w:p>
        </w:tc>
      </w:tr>
      <w:tr>
        <w:trPr>
          <w:tblHeader w:val="false"/>
        </w:trPr>
        <w:tc>
          <w:tcPr>
            <w:tcW w:type="dxa" w:w="2400"/>
            <w:tcMar>
              <w:top w:type="dxa" w:w="40"/>
              <w:left w:type="dxa" w:w="80"/>
              <w:bottom w:type="dxa" w:w="40"/>
              <w:right w:type="dxa" w:w="80"/>
            </w:tcMar>
          </w:tcPr>
          <w:p>
            <w:r>
              <w:rPr>
                <w:b w:val="false"/>
                <w:bCs w:val="false"/>
                <w:color w:val="222222"/>
                <w:sz w:val="15"/>
                <w:szCs w:val="15"/>
              </w:rPr>
              <w:t xml:space="preserve">同济大学设计创意学院</w:t>
            </w:r>
          </w:p>
        </w:tc>
        <w:tc>
          <w:tcPr>
            <w:tcW w:type="dxa" w:w="3300"/>
            <w:tcMar>
              <w:top w:type="dxa" w:w="40"/>
              <w:left w:type="dxa" w:w="80"/>
              <w:bottom w:type="dxa" w:w="40"/>
              <w:right w:type="dxa" w:w="80"/>
            </w:tcMar>
          </w:tcPr>
          <w:p>
            <w:r>
              <w:rPr>
                <w:b w:val="false"/>
                <w:bCs w:val="false"/>
                <w:color w:val="222222"/>
                <w:sz w:val="15"/>
                <w:szCs w:val="15"/>
              </w:rPr>
              <w:t xml:space="preserve">设计工程与计算研究室（设计认知、情感计算）；iDVx 实验室（AI 辅助设计、HCI）；主办 She Ji</w:t>
            </w:r>
          </w:p>
        </w:tc>
        <w:tc>
          <w:tcPr>
            <w:tcW w:type="dxa" w:w="1900"/>
            <w:tcMar>
              <w:top w:type="dxa" w:w="40"/>
              <w:left w:type="dxa" w:w="80"/>
              <w:bottom w:type="dxa" w:w="40"/>
              <w:right w:type="dxa" w:w="80"/>
            </w:tcMar>
          </w:tcPr>
          <w:p>
            <w:r>
              <w:rPr>
                <w:b w:val="false"/>
                <w:bCs w:val="false"/>
                <w:color w:val="222222"/>
                <w:sz w:val="15"/>
                <w:szCs w:val="15"/>
              </w:rPr>
              <w:t xml:space="preserve">学生、教师、机构</w:t>
            </w:r>
          </w:p>
        </w:tc>
        <w:tc>
          <w:tcPr>
            <w:tcW w:type="dxa" w:w="1506"/>
            <w:tcMar>
              <w:top w:type="dxa" w:w="40"/>
              <w:left w:type="dxa" w:w="80"/>
              <w:bottom w:type="dxa" w:w="40"/>
              <w:right w:type="dxa" w:w="80"/>
            </w:tcMar>
          </w:tcPr>
          <w:p>
            <w:r>
              <w:rPr>
                <w:b w:val="false"/>
                <w:bCs w:val="false"/>
                <w:color w:val="222222"/>
                <w:sz w:val="15"/>
                <w:szCs w:val="15"/>
              </w:rPr>
              <w:t xml:space="preserve">Yilin Wang；锚点</w:t>
            </w:r>
          </w:p>
        </w:tc>
      </w:tr>
      <w:tr>
        <w:trPr>
          <w:tblHeader w:val="false"/>
        </w:trPr>
        <w:tc>
          <w:tcPr>
            <w:tcW w:type="dxa" w:w="2400"/>
            <w:tcMar>
              <w:top w:type="dxa" w:w="40"/>
              <w:left w:type="dxa" w:w="80"/>
              <w:bottom w:type="dxa" w:w="40"/>
              <w:right w:type="dxa" w:w="80"/>
            </w:tcMar>
          </w:tcPr>
          <w:p>
            <w:r>
              <w:rPr>
                <w:b w:val="false"/>
                <w:bCs w:val="false"/>
                <w:color w:val="222222"/>
                <w:sz w:val="15"/>
                <w:szCs w:val="15"/>
              </w:rPr>
              <w:t xml:space="preserve">上海交通大学设计学院</w:t>
            </w:r>
          </w:p>
        </w:tc>
        <w:tc>
          <w:tcPr>
            <w:tcW w:type="dxa" w:w="3300"/>
            <w:tcMar>
              <w:top w:type="dxa" w:w="40"/>
              <w:left w:type="dxa" w:w="80"/>
              <w:bottom w:type="dxa" w:w="40"/>
              <w:right w:type="dxa" w:w="80"/>
            </w:tcMar>
          </w:tcPr>
          <w:p>
            <w:r>
              <w:rPr>
                <w:b w:val="false"/>
                <w:bCs w:val="false"/>
                <w:color w:val="222222"/>
                <w:sz w:val="15"/>
                <w:szCs w:val="15"/>
              </w:rPr>
              <w:t xml:space="preserve">设计结合智能制造与机器人；用户体验与 HCI（韩挺团队）</w:t>
            </w:r>
          </w:p>
        </w:tc>
        <w:tc>
          <w:tcPr>
            <w:tcW w:type="dxa" w:w="1900"/>
            <w:tcMar>
              <w:top w:type="dxa" w:w="40"/>
              <w:left w:type="dxa" w:w="80"/>
              <w:bottom w:type="dxa" w:w="40"/>
              <w:right w:type="dxa" w:w="80"/>
            </w:tcMar>
          </w:tcPr>
          <w:p>
            <w:r>
              <w:rPr>
                <w:b w:val="false"/>
                <w:bCs w:val="false"/>
                <w:color w:val="222222"/>
                <w:sz w:val="15"/>
                <w:szCs w:val="15"/>
              </w:rPr>
              <w:t xml:space="preserve">社群、机构</w:t>
            </w:r>
          </w:p>
        </w:tc>
        <w:tc>
          <w:tcPr>
            <w:tcW w:type="dxa" w:w="1506"/>
            <w:tcMar>
              <w:top w:type="dxa" w:w="40"/>
              <w:left w:type="dxa" w:w="80"/>
              <w:bottom w:type="dxa" w:w="40"/>
              <w:right w:type="dxa" w:w="80"/>
            </w:tcMar>
          </w:tcPr>
          <w:p>
            <w:r>
              <w:rPr>
                <w:b w:val="false"/>
                <w:bCs w:val="false"/>
                <w:color w:val="222222"/>
                <w:sz w:val="15"/>
                <w:szCs w:val="15"/>
              </w:rPr>
              <w:t xml:space="preserve">直接</w:t>
            </w:r>
          </w:p>
        </w:tc>
      </w:tr>
      <w:tr>
        <w:trPr>
          <w:tblHeader w:val="false"/>
        </w:trPr>
        <w:tc>
          <w:tcPr>
            <w:tcW w:type="dxa" w:w="2400"/>
            <w:tcMar>
              <w:top w:type="dxa" w:w="40"/>
              <w:left w:type="dxa" w:w="80"/>
              <w:bottom w:type="dxa" w:w="40"/>
              <w:right w:type="dxa" w:w="80"/>
            </w:tcMar>
          </w:tcPr>
          <w:p>
            <w:r>
              <w:rPr>
                <w:b w:val="false"/>
                <w:bCs w:val="false"/>
                <w:color w:val="222222"/>
                <w:sz w:val="15"/>
                <w:szCs w:val="15"/>
              </w:rPr>
              <w:t xml:space="preserve">复旦大学计算机科学技术学院</w:t>
            </w:r>
          </w:p>
        </w:tc>
        <w:tc>
          <w:tcPr>
            <w:tcW w:type="dxa" w:w="3300"/>
            <w:tcMar>
              <w:top w:type="dxa" w:w="40"/>
              <w:left w:type="dxa" w:w="80"/>
              <w:bottom w:type="dxa" w:w="40"/>
              <w:right w:type="dxa" w:w="80"/>
            </w:tcMar>
          </w:tcPr>
          <w:p>
            <w:r>
              <w:rPr>
                <w:b w:val="false"/>
                <w:bCs w:val="false"/>
                <w:color w:val="222222"/>
                <w:sz w:val="15"/>
                <w:szCs w:val="15"/>
              </w:rPr>
              <w:t xml:space="preserve">以人为本的 AGI 与系统（Li Shang）</w:t>
            </w:r>
          </w:p>
        </w:tc>
        <w:tc>
          <w:tcPr>
            <w:tcW w:type="dxa" w:w="1900"/>
            <w:tcMar>
              <w:top w:type="dxa" w:w="40"/>
              <w:left w:type="dxa" w:w="80"/>
              <w:bottom w:type="dxa" w:w="40"/>
              <w:right w:type="dxa" w:w="80"/>
            </w:tcMar>
          </w:tcPr>
          <w:p>
            <w:r>
              <w:rPr>
                <w:b w:val="false"/>
                <w:bCs w:val="false"/>
                <w:color w:val="222222"/>
                <w:sz w:val="15"/>
                <w:szCs w:val="15"/>
              </w:rPr>
              <w:t xml:space="preserve">机构、编排</w:t>
            </w:r>
          </w:p>
        </w:tc>
        <w:tc>
          <w:tcPr>
            <w:tcW w:type="dxa" w:w="1506"/>
            <w:tcMar>
              <w:top w:type="dxa" w:w="40"/>
              <w:left w:type="dxa" w:w="80"/>
              <w:bottom w:type="dxa" w:w="40"/>
              <w:right w:type="dxa" w:w="80"/>
            </w:tcMar>
          </w:tcPr>
          <w:p>
            <w:r>
              <w:rPr>
                <w:b w:val="false"/>
                <w:bCs w:val="false"/>
                <w:color w:val="222222"/>
                <w:sz w:val="15"/>
                <w:szCs w:val="15"/>
              </w:rPr>
              <w:t xml:space="preserve">直接</w:t>
            </w:r>
          </w:p>
        </w:tc>
      </w:tr>
      <w:tr>
        <w:trPr>
          <w:tblHeader w:val="false"/>
        </w:trPr>
        <w:tc>
          <w:tcPr>
            <w:tcW w:type="dxa" w:w="2400"/>
            <w:tcMar>
              <w:top w:type="dxa" w:w="40"/>
              <w:left w:type="dxa" w:w="80"/>
              <w:bottom w:type="dxa" w:w="40"/>
              <w:right w:type="dxa" w:w="80"/>
            </w:tcMar>
          </w:tcPr>
          <w:p>
            <w:r>
              <w:rPr>
                <w:b w:val="false"/>
                <w:bCs w:val="false"/>
                <w:color w:val="222222"/>
                <w:sz w:val="15"/>
                <w:szCs w:val="15"/>
              </w:rPr>
              <w:t xml:space="preserve">上海纽约大学</w:t>
            </w:r>
          </w:p>
        </w:tc>
        <w:tc>
          <w:tcPr>
            <w:tcW w:type="dxa" w:w="3300"/>
            <w:tcMar>
              <w:top w:type="dxa" w:w="40"/>
              <w:left w:type="dxa" w:w="80"/>
              <w:bottom w:type="dxa" w:w="40"/>
              <w:right w:type="dxa" w:w="80"/>
            </w:tcMar>
          </w:tcPr>
          <w:p>
            <w:r>
              <w:rPr>
                <w:b w:val="false"/>
                <w:bCs w:val="false"/>
                <w:color w:val="222222"/>
                <w:sz w:val="15"/>
                <w:szCs w:val="15"/>
              </w:rPr>
              <w:t xml:space="preserve">人–AI 对齐与交互（Hua Shen）；CHI 与 CSCW</w:t>
            </w:r>
          </w:p>
        </w:tc>
        <w:tc>
          <w:tcPr>
            <w:tcW w:type="dxa" w:w="1900"/>
            <w:tcMar>
              <w:top w:type="dxa" w:w="40"/>
              <w:left w:type="dxa" w:w="80"/>
              <w:bottom w:type="dxa" w:w="40"/>
              <w:right w:type="dxa" w:w="80"/>
            </w:tcMar>
          </w:tcPr>
          <w:p>
            <w:r>
              <w:rPr>
                <w:b w:val="false"/>
                <w:bCs w:val="false"/>
                <w:color w:val="222222"/>
                <w:sz w:val="15"/>
                <w:szCs w:val="15"/>
              </w:rPr>
              <w:t xml:space="preserve">机构；合著</w:t>
            </w:r>
          </w:p>
        </w:tc>
        <w:tc>
          <w:tcPr>
            <w:tcW w:type="dxa" w:w="1506"/>
            <w:tcMar>
              <w:top w:type="dxa" w:w="40"/>
              <w:left w:type="dxa" w:w="80"/>
              <w:bottom w:type="dxa" w:w="40"/>
              <w:right w:type="dxa" w:w="80"/>
            </w:tcMar>
          </w:tcPr>
          <w:p>
            <w:r>
              <w:rPr>
                <w:b w:val="false"/>
                <w:bCs w:val="false"/>
                <w:color w:val="222222"/>
                <w:sz w:val="15"/>
                <w:szCs w:val="15"/>
              </w:rPr>
              <w:t xml:space="preserve">直接、英文</w:t>
            </w:r>
          </w:p>
        </w:tc>
      </w:tr>
      <w:tr>
        <w:trPr>
          <w:tblHeader w:val="false"/>
        </w:trPr>
        <w:tc>
          <w:tcPr>
            <w:tcW w:type="dxa" w:w="2400"/>
            <w:tcMar>
              <w:top w:type="dxa" w:w="40"/>
              <w:left w:type="dxa" w:w="80"/>
              <w:bottom w:type="dxa" w:w="40"/>
              <w:right w:type="dxa" w:w="80"/>
            </w:tcMar>
          </w:tcPr>
          <w:p>
            <w:r>
              <w:rPr>
                <w:b w:val="false"/>
                <w:bCs w:val="false"/>
                <w:color w:val="222222"/>
                <w:sz w:val="15"/>
                <w:szCs w:val="15"/>
              </w:rPr>
              <w:t xml:space="preserve">华东师范大学心理与认知科学学院</w:t>
            </w:r>
          </w:p>
        </w:tc>
        <w:tc>
          <w:tcPr>
            <w:tcW w:type="dxa" w:w="3300"/>
            <w:tcMar>
              <w:top w:type="dxa" w:w="40"/>
              <w:left w:type="dxa" w:w="80"/>
              <w:bottom w:type="dxa" w:w="40"/>
              <w:right w:type="dxa" w:w="80"/>
            </w:tcMar>
          </w:tcPr>
          <w:p>
            <w:r>
              <w:rPr>
                <w:b w:val="false"/>
                <w:bCs w:val="false"/>
                <w:color w:val="222222"/>
                <w:sz w:val="15"/>
                <w:szCs w:val="15"/>
              </w:rPr>
              <w:t xml:space="preserve">认知、学习科学、测量</w:t>
            </w:r>
          </w:p>
        </w:tc>
        <w:tc>
          <w:tcPr>
            <w:tcW w:type="dxa" w:w="1900"/>
            <w:tcMar>
              <w:top w:type="dxa" w:w="40"/>
              <w:left w:type="dxa" w:w="80"/>
              <w:bottom w:type="dxa" w:w="40"/>
              <w:right w:type="dxa" w:w="80"/>
            </w:tcMar>
          </w:tcPr>
          <w:p>
            <w:r>
              <w:rPr>
                <w:b w:val="false"/>
                <w:bCs w:val="false"/>
                <w:color w:val="222222"/>
                <w:sz w:val="15"/>
                <w:szCs w:val="15"/>
              </w:rPr>
              <w:t xml:space="preserve">学生、教师</w:t>
            </w:r>
          </w:p>
        </w:tc>
        <w:tc>
          <w:tcPr>
            <w:tcW w:type="dxa" w:w="1506"/>
            <w:tcMar>
              <w:top w:type="dxa" w:w="40"/>
              <w:left w:type="dxa" w:w="80"/>
              <w:bottom w:type="dxa" w:w="40"/>
              <w:right w:type="dxa" w:w="80"/>
            </w:tcMar>
          </w:tcPr>
          <w:p>
            <w:r>
              <w:rPr>
                <w:b w:val="false"/>
                <w:bCs w:val="false"/>
                <w:color w:val="222222"/>
                <w:sz w:val="15"/>
                <w:szCs w:val="15"/>
              </w:rPr>
              <w:t xml:space="preserve">直接</w:t>
            </w:r>
          </w:p>
        </w:tc>
      </w:tr>
      <w:tr>
        <w:trPr>
          <w:tblHeader w:val="false"/>
        </w:trPr>
        <w:tc>
          <w:tcPr>
            <w:tcW w:type="dxa" w:w="2400"/>
            <w:tcMar>
              <w:top w:type="dxa" w:w="40"/>
              <w:left w:type="dxa" w:w="80"/>
              <w:bottom w:type="dxa" w:w="40"/>
              <w:right w:type="dxa" w:w="80"/>
            </w:tcMar>
          </w:tcPr>
          <w:p>
            <w:r>
              <w:rPr>
                <w:b w:val="false"/>
                <w:bCs w:val="false"/>
                <w:color w:val="222222"/>
                <w:sz w:val="15"/>
                <w:szCs w:val="15"/>
              </w:rPr>
              <w:t xml:space="preserve">东华大学服装与艺术设计学院</w:t>
            </w:r>
          </w:p>
        </w:tc>
        <w:tc>
          <w:tcPr>
            <w:tcW w:type="dxa" w:w="3300"/>
            <w:tcMar>
              <w:top w:type="dxa" w:w="40"/>
              <w:left w:type="dxa" w:w="80"/>
              <w:bottom w:type="dxa" w:w="40"/>
              <w:right w:type="dxa" w:w="80"/>
            </w:tcMar>
          </w:tcPr>
          <w:p>
            <w:r>
              <w:rPr>
                <w:b w:val="false"/>
                <w:bCs w:val="false"/>
                <w:color w:val="222222"/>
                <w:sz w:val="15"/>
                <w:szCs w:val="15"/>
              </w:rPr>
              <w:t xml:space="preserve">设计；Joseph 的外专职任所在</w:t>
            </w:r>
          </w:p>
        </w:tc>
        <w:tc>
          <w:tcPr>
            <w:tcW w:type="dxa" w:w="1900"/>
            <w:tcMar>
              <w:top w:type="dxa" w:w="40"/>
              <w:left w:type="dxa" w:w="80"/>
              <w:bottom w:type="dxa" w:w="40"/>
              <w:right w:type="dxa" w:w="80"/>
            </w:tcMar>
          </w:tcPr>
          <w:p>
            <w:r>
              <w:rPr>
                <w:b w:val="false"/>
                <w:bCs w:val="false"/>
                <w:color w:val="222222"/>
                <w:sz w:val="15"/>
                <w:szCs w:val="15"/>
              </w:rPr>
              <w:t xml:space="preserve">教师、试点</w:t>
            </w:r>
          </w:p>
        </w:tc>
        <w:tc>
          <w:tcPr>
            <w:tcW w:type="dxa" w:w="1506"/>
            <w:tcMar>
              <w:top w:type="dxa" w:w="40"/>
              <w:left w:type="dxa" w:w="80"/>
              <w:bottom w:type="dxa" w:w="40"/>
              <w:right w:type="dxa" w:w="80"/>
            </w:tcMar>
          </w:tcPr>
          <w:p>
            <w:r>
              <w:rPr>
                <w:b w:val="false"/>
                <w:bCs w:val="false"/>
                <w:color w:val="222222"/>
                <w:sz w:val="15"/>
                <w:szCs w:val="15"/>
              </w:rPr>
              <w:t xml:space="preserve">可暖启</w:t>
            </w:r>
          </w:p>
        </w:tc>
      </w:tr>
    </w:tbl>
    <w:p>
      <w:pPr>
        <w:pBdr>
          <w:bottom w:val="single" w:color="C9D2DE" w:sz="6" w:space="3"/>
        </w:pBdr>
        <w:spacing w:after="80" w:before="220"/>
      </w:pPr>
      <w:r>
        <w:rPr>
          <w:b/>
          <w:bCs/>
          <w:color w:val="1F3A5F"/>
          <w:sz w:val="22"/>
          <w:szCs w:val="22"/>
        </w:rPr>
        <w:t xml:space="preserve">十三、团队与资源</w:t>
      </w:r>
    </w:p>
    <w:p>
      <w:pPr>
        <w:spacing w:after="90"/>
      </w:pPr>
      <w:r>
        <w:rPr>
          <w:color w:val="222222"/>
          <w:sz w:val="19"/>
          <w:szCs w:val="19"/>
        </w:rPr>
        <w:t xml:space="preserve">实验室由 Joseph Press 主持，Yilin Wang 为共同负责人，亦是通往同济的锚点。近期团队精而小。一名博士后或高年级博士生主导能力测量工具与受控研究。一名研究工程师建设并维护 dæmon 平台与日志管线。两三名工作室教师作为嵌入式合作者，在课程中承接研究。一个由设计认知与人–AI 研究者组成的外部顾问组，使工作对齐于领域而不失严谨。资源上，经验研究面向国家自然科学基金与上海市人才及创新计划，算力与平台经由与腾讯的产业合作。以上均尚未落实，本蓝图列出的是计划所需的角色。</w:t>
      </w:r>
    </w:p>
    <w:p>
      <w:pPr>
        <w:pBdr>
          <w:bottom w:val="single" w:color="C9D2DE" w:sz="6" w:space="3"/>
        </w:pBdr>
        <w:spacing w:after="80" w:before="220"/>
      </w:pPr>
      <w:r>
        <w:rPr>
          <w:b/>
          <w:bCs/>
          <w:color w:val="1F3A5F"/>
          <w:sz w:val="22"/>
          <w:szCs w:val="22"/>
        </w:rPr>
        <w:t xml:space="preserve">十四、风险与应对</w:t>
      </w:r>
    </w:p>
    <w:p>
      <w:pPr>
        <w:pStyle w:val="ListParagraph"/>
        <w:numPr>
          <w:ilvl w:val="0"/>
          <w:numId w:val="2"/>
        </w:numPr>
        <w:spacing w:after="50"/>
      </w:pPr>
      <w:r>
        <w:rPr>
          <w:b/>
          <w:bCs/>
          <w:color w:val="1F3A5F"/>
          <w:sz w:val="19"/>
          <w:szCs w:val="19"/>
        </w:rPr>
        <w:t xml:space="preserve">工具或无法通过验证。  </w:t>
      </w:r>
      <w:r>
        <w:rPr>
          <w:color w:val="222222"/>
          <w:sz w:val="19"/>
          <w:szCs w:val="19"/>
        </w:rPr>
        <w:t xml:space="preserve">若四项能力抵制可靠测量，因果计划将停滞。把工具开发当作一项独立成果，并与已有经验证之设计认知测量的团队合作。</w:t>
      </w:r>
    </w:p>
    <w:p>
      <w:pPr>
        <w:pStyle w:val="ListParagraph"/>
        <w:numPr>
          <w:ilvl w:val="0"/>
          <w:numId w:val="2"/>
        </w:numPr>
        <w:spacing w:after="50"/>
      </w:pPr>
      <w:r>
        <w:rPr>
          <w:b/>
          <w:bCs/>
          <w:color w:val="1F3A5F"/>
          <w:sz w:val="19"/>
          <w:szCs w:val="19"/>
        </w:rPr>
        <w:t xml:space="preserve">受控研究难以干净开展。  </w:t>
      </w:r>
      <w:r>
        <w:rPr>
          <w:color w:val="222222"/>
          <w:sz w:val="19"/>
          <w:szCs w:val="19"/>
        </w:rPr>
        <w:t xml:space="preserve">计入成绩的工作室使随机分配与完成型工具组在伦理与实践上都棘手，各组之间亦可能相互污染。按工作室分班而非班内分配、在整学期内平衡、并把完成型工具组限于不计分练习。</w:t>
      </w:r>
    </w:p>
    <w:p>
      <w:pPr>
        <w:pStyle w:val="ListParagraph"/>
        <w:numPr>
          <w:ilvl w:val="0"/>
          <w:numId w:val="2"/>
        </w:numPr>
        <w:spacing w:after="50"/>
      </w:pPr>
      <w:r>
        <w:rPr>
          <w:b/>
          <w:bCs/>
          <w:color w:val="1F3A5F"/>
          <w:sz w:val="19"/>
          <w:szCs w:val="19"/>
        </w:rPr>
        <w:t xml:space="preserve">田野准入缓慢。  </w:t>
      </w:r>
      <w:r>
        <w:rPr>
          <w:color w:val="222222"/>
          <w:sz w:val="19"/>
          <w:szCs w:val="19"/>
        </w:rPr>
        <w:t xml:space="preserve">机构与社群需要时间招募与建立信任。尽早开启这些案例，并以可暖启的合作方为先。</w:t>
      </w:r>
    </w:p>
    <w:p>
      <w:pPr>
        <w:pStyle w:val="ListParagraph"/>
        <w:numPr>
          <w:ilvl w:val="0"/>
          <w:numId w:val="2"/>
        </w:numPr>
        <w:spacing w:after="50"/>
      </w:pPr>
      <w:r>
        <w:rPr>
          <w:b/>
          <w:bCs/>
          <w:color w:val="1F3A5F"/>
          <w:sz w:val="19"/>
          <w:szCs w:val="19"/>
        </w:rPr>
        <w:t xml:space="preserve">WorkBuddy 是移动的商业目标。  </w:t>
      </w:r>
      <w:r>
        <w:rPr>
          <w:color w:val="222222"/>
          <w:sz w:val="19"/>
          <w:szCs w:val="19"/>
        </w:rPr>
        <w:t xml:space="preserve">其功能与模型会在我们脚下变化。把它当作编排的一个实例而非依赖，并把开源路径（OpenMontage、Modly、自托管模型）作为稳定底座。</w:t>
      </w:r>
    </w:p>
    <w:p>
      <w:pPr>
        <w:pBdr>
          <w:bottom w:val="single" w:color="C9D2DE" w:sz="6" w:space="3"/>
        </w:pBdr>
        <w:spacing w:after="80" w:before="220"/>
      </w:pPr>
      <w:r>
        <w:rPr>
          <w:b/>
          <w:bCs/>
          <w:color w:val="1F3A5F"/>
          <w:sz w:val="22"/>
          <w:szCs w:val="22"/>
        </w:rPr>
        <w:t xml:space="preserve">十五、至 2027 春节的计划</w:t>
      </w:r>
    </w:p>
    <w:p>
      <w:pPr>
        <w:spacing w:after="90"/>
      </w:pPr>
      <w:r>
        <w:rPr>
          <w:color w:val="222222"/>
          <w:sz w:val="19"/>
          <w:szCs w:val="19"/>
        </w:rPr>
        <w:t xml:space="preserve">计划从 2026 年 9 月运行至 2027 年 2 月 6 日的春节假期。在搭起原型机与会话记录器的同时，以首个工作室队列建立能力测量工具。整个秋季开展带同意条件的学生机制研究。并行开启 WorkBuddy 机构案例，并接洽同济与上海纽约大学，因田野准入需时。ACI 书于 12 月 22 日出版，并于 12 月 19–20 日在校举行发布会。假期前以首批论文初稿与一次阶段回顾收尾。到假期，实验室应握有三项具体成果：能力测量工具的验证性试点、一项在田野中运行的预注册研究、以及首个日志数据集。周度甘特图如下。</w:t>
      </w:r>
    </w:p>
    <w:p>
      <w:pPr>
        <w:pBdr>
          <w:top w:val="single" w:color="C9D2DE" w:sz="6" w:space="4"/>
        </w:pBdr>
        <w:spacing w:before="180"/>
      </w:pPr>
      <w:r>
        <w:rPr>
          <w:b/>
          <w:bCs/>
          <w:color w:val="1F3A5F"/>
          <w:sz w:val="15"/>
          <w:szCs w:val="15"/>
        </w:rPr>
        <w:t xml:space="preserve">参考文献。</w:t>
      </w:r>
      <w:r>
        <w:rPr>
          <w:color w:val="5B6472"/>
          <w:sz w:val="15"/>
          <w:szCs w:val="15"/>
        </w:rPr>
        <w:t xml:space="preserve">MIT Media Lab（AI 辅助下的技能侵蚀）；Risko 与 Gilbert（认知卸载）；Cross、Christiaans 与 Dorst（设计协议）；Goldschmidt（连接图）；Helske 等（学习分析的过程挖掘）；Buçinca 等（认知强制机制）；Bjork（合意难度）；Barnett 与 Ceci（迁移）；Bucciarelli、Schön（设计民族志、反思性实践）；Frayling；Zimmerman、Forlizzi 与 Evenson（研究通过设计）；Press 与 Wang，《智能体创作智能》。引用前请核对版本。</w:t>
      </w:r>
    </w:p>
    <w:p>
      <w:r>
        <w:br w:type="page"/>
      </w:r>
    </w:p>
    <w:p>
      <w:pPr>
        <w:spacing w:after="80"/>
      </w:pPr>
      <w:r>
        <w:rPr>
          <w:b/>
          <w:bCs/>
          <w:color w:val="1F3A5F"/>
          <w:sz w:val="22"/>
          <w:szCs w:val="22"/>
        </w:rPr>
        <w:t xml:space="preserve">Plan (Gantt) to Chinese New Year 2027  ·  至 2027 春节的计划（甘特图）</w:t>
      </w:r>
    </w:p>
    <w:tbl>
      <w:tblPr>
        <w:tblW w:type="dxa" w:w="9799"/>
        <w:tblBorders>
          <w:top w:val="single" w:color="C9D2DE" w:sz="2"/>
          <w:left w:val="single" w:color="C9D2DE" w:sz="2"/>
          <w:bottom w:val="single" w:color="C9D2DE" w:sz="2"/>
          <w:right w:val="single" w:color="C9D2DE" w:sz="2"/>
          <w:insideH w:val="single" w:color="C9D2DE" w:sz="2"/>
          <w:insideV w:val="single" w:color="C9D2DE" w:sz="2"/>
        </w:tblBorders>
      </w:tblPr>
      <w:tblGrid>
        <w:gridCol w:w="2600"/>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gridCol w:w="313"/>
      </w:tblGrid>
      <w:tr>
        <w:trPr>
          <w:tblHeader/>
        </w:trPr>
        <w:tc>
          <w:tcPr>
            <w:tcW w:type="dxa" w:w="2600"/>
            <w:shd w:fill="E8EDF3" w:color="auto" w:val="clear"/>
            <w:tcMar>
              <w:top w:type="dxa" w:w="24"/>
              <w:left w:type="dxa" w:w="70"/>
              <w:bottom w:type="dxa" w:w="24"/>
              <w:right w:type="dxa" w:w="40"/>
            </w:tcMar>
          </w:tcPr>
          <w:p>
            <w:r>
              <w:rPr>
                <w:b/>
                <w:bCs/>
                <w:color w:val="1F3A5F"/>
                <w:sz w:val="12"/>
                <w:szCs w:val="12"/>
              </w:rPr>
              <w:t xml:space="preserve">2026 / 2027</w:t>
            </w:r>
          </w:p>
        </w:tc>
        <w:tc>
          <w:tcPr>
            <w:gridSpan w:val="5"/>
            <w:shd w:fill="E8EDF3" w:color="auto" w:val="clear"/>
            <w:tcMar>
              <w:top w:type="dxa" w:w="24"/>
              <w:left w:type="dxa" w:w="20"/>
              <w:bottom w:type="dxa" w:w="24"/>
              <w:right w:type="dxa" w:w="20"/>
            </w:tcMar>
          </w:tcPr>
          <w:p>
            <w:pPr>
              <w:jc w:val="center"/>
            </w:pPr>
            <w:r>
              <w:rPr>
                <w:b/>
                <w:bCs/>
                <w:color w:val="1F3A5F"/>
                <w:sz w:val="12"/>
                <w:szCs w:val="12"/>
              </w:rPr>
              <w:t xml:space="preserve">Sep</w:t>
            </w:r>
          </w:p>
        </w:tc>
        <w:tc>
          <w:tcPr>
            <w:gridSpan w:val="4"/>
            <w:shd w:fill="E8EDF3" w:color="auto" w:val="clear"/>
            <w:tcMar>
              <w:top w:type="dxa" w:w="24"/>
              <w:left w:type="dxa" w:w="20"/>
              <w:bottom w:type="dxa" w:w="24"/>
              <w:right w:type="dxa" w:w="20"/>
            </w:tcMar>
          </w:tcPr>
          <w:p>
            <w:pPr>
              <w:jc w:val="center"/>
            </w:pPr>
            <w:r>
              <w:rPr>
                <w:b/>
                <w:bCs/>
                <w:color w:val="1F3A5F"/>
                <w:sz w:val="12"/>
                <w:szCs w:val="12"/>
              </w:rPr>
              <w:t xml:space="preserve">Oct</w:t>
            </w:r>
          </w:p>
        </w:tc>
        <w:tc>
          <w:tcPr>
            <w:gridSpan w:val="4"/>
            <w:shd w:fill="E8EDF3" w:color="auto" w:val="clear"/>
            <w:tcMar>
              <w:top w:type="dxa" w:w="24"/>
              <w:left w:type="dxa" w:w="20"/>
              <w:bottom w:type="dxa" w:w="24"/>
              <w:right w:type="dxa" w:w="20"/>
            </w:tcMar>
          </w:tcPr>
          <w:p>
            <w:pPr>
              <w:jc w:val="center"/>
            </w:pPr>
            <w:r>
              <w:rPr>
                <w:b/>
                <w:bCs/>
                <w:color w:val="1F3A5F"/>
                <w:sz w:val="12"/>
                <w:szCs w:val="12"/>
              </w:rPr>
              <w:t xml:space="preserve">Nov</w:t>
            </w:r>
          </w:p>
        </w:tc>
        <w:tc>
          <w:tcPr>
            <w:gridSpan w:val="5"/>
            <w:shd w:fill="E8EDF3" w:color="auto" w:val="clear"/>
            <w:tcMar>
              <w:top w:type="dxa" w:w="24"/>
              <w:left w:type="dxa" w:w="20"/>
              <w:bottom w:type="dxa" w:w="24"/>
              <w:right w:type="dxa" w:w="20"/>
            </w:tcMar>
          </w:tcPr>
          <w:p>
            <w:pPr>
              <w:jc w:val="center"/>
            </w:pPr>
            <w:r>
              <w:rPr>
                <w:b/>
                <w:bCs/>
                <w:color w:val="1F3A5F"/>
                <w:sz w:val="12"/>
                <w:szCs w:val="12"/>
              </w:rPr>
              <w:t xml:space="preserve">Dec</w:t>
            </w:r>
          </w:p>
        </w:tc>
        <w:tc>
          <w:tcPr>
            <w:gridSpan w:val="4"/>
            <w:shd w:fill="E8EDF3" w:color="auto" w:val="clear"/>
            <w:tcMar>
              <w:top w:type="dxa" w:w="24"/>
              <w:left w:type="dxa" w:w="20"/>
              <w:bottom w:type="dxa" w:w="24"/>
              <w:right w:type="dxa" w:w="20"/>
            </w:tcMar>
          </w:tcPr>
          <w:p>
            <w:pPr>
              <w:jc w:val="center"/>
            </w:pPr>
            <w:r>
              <w:rPr>
                <w:b/>
                <w:bCs/>
                <w:color w:val="1F3A5F"/>
                <w:sz w:val="12"/>
                <w:szCs w:val="12"/>
              </w:rPr>
              <w:t xml:space="preserve">Jan</w:t>
            </w:r>
          </w:p>
        </w:tc>
        <w:tc>
          <w:tcPr>
            <w:gridSpan w:val="1"/>
            <w:shd w:fill="E8EDF3" w:color="auto" w:val="clear"/>
            <w:tcMar>
              <w:top w:type="dxa" w:w="24"/>
              <w:left w:type="dxa" w:w="20"/>
              <w:bottom w:type="dxa" w:w="24"/>
              <w:right w:type="dxa" w:w="20"/>
            </w:tcMar>
          </w:tcPr>
          <w:p>
            <w:pPr>
              <w:jc w:val="center"/>
            </w:pPr>
            <w:r>
              <w:rPr>
                <w:b/>
                <w:bCs/>
                <w:color w:val="1F3A5F"/>
                <w:sz w:val="12"/>
                <w:szCs w:val="12"/>
              </w:rPr>
              <w:t xml:space="preserve">Feb</w:t>
            </w:r>
          </w:p>
        </w:tc>
      </w:tr>
      <w:tr>
        <w:trPr>
          <w:tblHeader/>
        </w:trPr>
        <w:tc>
          <w:tcPr>
            <w:tcW w:type="dxa" w:w="2600"/>
            <w:shd w:fill="E8EDF3" w:color="auto" w:val="clear"/>
            <w:tcMar>
              <w:top w:type="dxa" w:w="40"/>
              <w:left w:type="dxa" w:w="80"/>
              <w:bottom w:type="dxa" w:w="40"/>
              <w:right w:type="dxa" w:w="80"/>
            </w:tcMar>
          </w:tcPr>
          <w:p>
            <w:r>
              <w:rPr>
                <w:b/>
                <w:bCs/>
                <w:color w:val="1F3A5F"/>
                <w:sz w:val="15"/>
                <w:szCs w:val="15"/>
              </w:rPr>
              <w:t xml:space="preserve">Workstream / week</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8</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15</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22</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29</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6</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13</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20</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27</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3</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10</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17</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24</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8</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15</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22</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29</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5</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12</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19</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26</w:t>
            </w:r>
          </w:p>
        </w:tc>
        <w:tc>
          <w:tcPr>
            <w:tcW w:type="dxa" w:w="313"/>
            <w:shd w:fill="E8EDF3" w:color="auto" w:val="clear"/>
            <w:tcMar>
              <w:top w:type="dxa" w:w="24"/>
              <w:left w:type="dxa" w:w="20"/>
              <w:bottom w:type="dxa" w:w="24"/>
              <w:right w:type="dxa" w:w="20"/>
            </w:tcMar>
          </w:tcPr>
          <w:p>
            <w:pPr>
              <w:jc w:val="center"/>
            </w:pPr>
            <w:r>
              <w:rPr>
                <w:b/>
                <w:bCs/>
                <w:color w:val="1F3A5F"/>
                <w:sz w:val="12"/>
                <w:szCs w:val="12"/>
              </w:rPr>
              <w:t xml:space="preserve">2</w:t>
            </w:r>
          </w:p>
        </w:tc>
      </w:tr>
      <w:tr>
        <w:tc>
          <w:tcPr>
            <w:tcW w:type="dxa" w:w="2600"/>
            <w:tcMar>
              <w:top w:type="dxa" w:w="24"/>
              <w:left w:type="dxa" w:w="70"/>
              <w:bottom w:type="dxa" w:w="24"/>
              <w:right w:type="dxa" w:w="40"/>
            </w:tcMar>
          </w:tcPr>
          <w:p>
            <w:r>
              <w:rPr>
                <w:color w:val="222222"/>
                <w:sz w:val="12"/>
                <w:szCs w:val="12"/>
              </w:rPr>
              <w:t xml:space="preserve">Capability instrument 能力测量工具</w:t>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Prototype rig + logger 原型机与日志</w:t>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Ethics + pre-registration 伦理与预注册</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Partner engagement 合作方接洽</w:t>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Student mechanism study 学生机制研究</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Agency case (WorkBuddy) 机构案例</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Faculty + community 教师与社群</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Data pipeline + analysis 数据管道与分析</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First paper drafts 首批论文初稿</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Phase review + next plan 阶段回顾与规划</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AEC3DA" w:color="auto" w:val="clear"/>
            <w:tcMar>
              <w:top w:type="dxa" w:w="24"/>
              <w:left w:type="dxa" w:w="20"/>
              <w:bottom w:type="dxa" w:w="24"/>
              <w:right w:type="dxa" w:w="20"/>
            </w:tcMar>
          </w:tcPr>
          <w:p>
            <w:pPr>
              <w:jc w:val="center"/>
            </w:pPr>
            <w:r>
              <w:rPr>
                <w:b w:val="false"/>
                <w:bCs w:val="false"/>
                <w:color w:val="1F3A5F"/>
                <w:sz w:val="12"/>
                <w:szCs w:val="12"/>
              </w:rPr>
              <w:t xml:space="preserve"/>
            </w:r>
          </w:p>
        </w:tc>
      </w:tr>
      <w:tr>
        <w:tc>
          <w:tcPr>
            <w:tcW w:type="dxa" w:w="2600"/>
            <w:tcMar>
              <w:top w:type="dxa" w:w="24"/>
              <w:left w:type="dxa" w:w="70"/>
              <w:bottom w:type="dxa" w:w="24"/>
              <w:right w:type="dxa" w:w="40"/>
            </w:tcMar>
          </w:tcPr>
          <w:p>
            <w:r>
              <w:rPr>
                <w:color w:val="222222"/>
                <w:sz w:val="12"/>
                <w:szCs w:val="12"/>
              </w:rPr>
              <w:t xml:space="preserve">Milestones 里程碑</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1F3A5F" w:color="auto" w:val="clear"/>
            <w:tcMar>
              <w:top w:type="dxa" w:w="24"/>
              <w:left w:type="dxa" w:w="20"/>
              <w:bottom w:type="dxa" w:w="24"/>
              <w:right w:type="dxa" w:w="20"/>
            </w:tcMar>
          </w:tcPr>
          <w:p>
            <w:pPr>
              <w:jc w:val="center"/>
            </w:pPr>
            <w:r>
              <w:rPr>
                <w:b w:val="false"/>
                <w:bCs w:val="false"/>
                <w:color w:val="FFFFFF"/>
                <w:sz w:val="12"/>
                <w:szCs w:val="12"/>
              </w:rPr>
              <w:t xml:space="preserve">◆</w:t>
            </w:r>
          </w:p>
        </w:tc>
        <w:tc>
          <w:tcPr>
            <w:tcW w:type="dxa" w:w="313"/>
            <w:shd w:fill="1F3A5F" w:color="auto" w:val="clear"/>
            <w:tcMar>
              <w:top w:type="dxa" w:w="24"/>
              <w:left w:type="dxa" w:w="20"/>
              <w:bottom w:type="dxa" w:w="24"/>
              <w:right w:type="dxa" w:w="20"/>
            </w:tcMar>
          </w:tcPr>
          <w:p>
            <w:pPr>
              <w:jc w:val="center"/>
            </w:pPr>
            <w:r>
              <w:rPr>
                <w:b w:val="false"/>
                <w:bCs w:val="false"/>
                <w:color w:val="FFFFFF"/>
                <w:sz w:val="12"/>
                <w:szCs w:val="12"/>
              </w:rPr>
              <w:t xml:space="preserve">◆</w:t>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FFFFFF" w:color="auto" w:val="clear"/>
            <w:tcMar>
              <w:top w:type="dxa" w:w="24"/>
              <w:left w:type="dxa" w:w="20"/>
              <w:bottom w:type="dxa" w:w="24"/>
              <w:right w:type="dxa" w:w="20"/>
            </w:tcMar>
          </w:tcPr>
          <w:p>
            <w:pPr>
              <w:jc w:val="center"/>
            </w:pPr>
            <w:r>
              <w:rPr>
                <w:b w:val="false"/>
                <w:bCs w:val="false"/>
                <w:color w:val="1F3A5F"/>
                <w:sz w:val="12"/>
                <w:szCs w:val="12"/>
              </w:rPr>
              <w:t xml:space="preserve"/>
            </w:r>
          </w:p>
        </w:tc>
        <w:tc>
          <w:tcPr>
            <w:tcW w:type="dxa" w:w="313"/>
            <w:shd w:fill="1F3A5F" w:color="auto" w:val="clear"/>
            <w:tcMar>
              <w:top w:type="dxa" w:w="24"/>
              <w:left w:type="dxa" w:w="20"/>
              <w:bottom w:type="dxa" w:w="24"/>
              <w:right w:type="dxa" w:w="20"/>
            </w:tcMar>
          </w:tcPr>
          <w:p>
            <w:pPr>
              <w:jc w:val="center"/>
            </w:pPr>
            <w:r>
              <w:rPr>
                <w:b w:val="false"/>
                <w:bCs w:val="false"/>
                <w:color w:val="FFFFFF"/>
                <w:sz w:val="12"/>
                <w:szCs w:val="12"/>
              </w:rPr>
              <w:t xml:space="preserve">◆</w:t>
            </w:r>
          </w:p>
        </w:tc>
      </w:tr>
    </w:tbl>
    <w:p>
      <w:pPr>
        <w:spacing w:before="120"/>
      </w:pPr>
      <w:r>
        <w:rPr>
          <w:b/>
          <w:bCs/>
          <w:color w:val="1F3A5F"/>
          <w:sz w:val="15"/>
          <w:szCs w:val="15"/>
        </w:rPr>
        <w:t xml:space="preserve">Milestones 里程碑: </w:t>
      </w:r>
      <w:r>
        <w:rPr>
          <w:color w:val="222222"/>
          <w:sz w:val="15"/>
          <w:szCs w:val="15"/>
        </w:rPr>
        <w:t xml:space="preserve">campus launch 19-20 Dec  ·  ACI book publication 22 Dec  ·  Chinese New Year 6 Feb 2027 (plan horizon).   </w:t>
      </w:r>
      <w:r>
        <w:rPr>
          <w:color w:val="222222"/>
          <w:sz w:val="15"/>
          <w:szCs w:val="15"/>
        </w:rPr>
        <w:t xml:space="preserve">校内发布 12月19-20日  ·  ACI 书出版 12月22日  ·  春节 2027年2月6日（计划地平线）。</w:t>
      </w:r>
    </w:p>
    <w:sectPr>
      <w:pgSz w:w="11906" w:h="16838" w:orient="portrait"/>
      <w:pgMar w:top="1000" w:right="1050" w:bottom="9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2026-08-26T09:55:29.692Z</dcterms:created>
  <dcterms:modified xsi:type="dcterms:W3CDTF">2026-08-26T09:55:29.707Z</dcterms:modified>
</cp:coreProperties>
</file>

<file path=docProps/custom.xml><?xml version="1.0" encoding="utf-8"?>
<Properties xmlns="http://schemas.openxmlformats.org/officeDocument/2006/custom-properties" xmlns:vt="http://schemas.openxmlformats.org/officeDocument/2006/docPropsVTypes"/>
</file>