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48B" w:rsidRPr="00E90F92" w:rsidRDefault="004C248B" w:rsidP="004C248B">
      <w:pPr>
        <w:jc w:val="center"/>
        <w:rPr>
          <w:szCs w:val="24"/>
        </w:rPr>
      </w:pPr>
      <w:r w:rsidRPr="00E90F92">
        <w:rPr>
          <w:b/>
          <w:szCs w:val="24"/>
        </w:rPr>
        <w:t>A Self-report Measure for Familiarity with Mental Silence</w:t>
      </w:r>
    </w:p>
    <w:p w:rsidR="004C248B" w:rsidRPr="00E90F92" w:rsidRDefault="004C248B" w:rsidP="004C248B">
      <w:pPr>
        <w:jc w:val="center"/>
        <w:rPr>
          <w:szCs w:val="24"/>
        </w:rPr>
      </w:pPr>
    </w:p>
    <w:p w:rsidR="004C248B" w:rsidRPr="00E90F92" w:rsidRDefault="004C248B" w:rsidP="004C248B">
      <w:pPr>
        <w:jc w:val="center"/>
        <w:rPr>
          <w:szCs w:val="24"/>
        </w:rPr>
      </w:pPr>
      <w:r w:rsidRPr="00E90F92">
        <w:rPr>
          <w:i/>
          <w:szCs w:val="24"/>
        </w:rPr>
        <w:t xml:space="preserve">Joshua N. </w:t>
      </w:r>
      <w:proofErr w:type="spellStart"/>
      <w:r w:rsidRPr="00E90F92">
        <w:rPr>
          <w:i/>
          <w:szCs w:val="24"/>
        </w:rPr>
        <w:t>Pritikin</w:t>
      </w:r>
      <w:proofErr w:type="spellEnd"/>
      <w:r w:rsidRPr="00E90F92">
        <w:rPr>
          <w:i/>
          <w:szCs w:val="24"/>
        </w:rPr>
        <w:t xml:space="preserve"> and Karen Schmidt</w:t>
      </w:r>
    </w:p>
    <w:p w:rsidR="004C248B" w:rsidRPr="00E90F92" w:rsidRDefault="004C248B" w:rsidP="004C248B">
      <w:pPr>
        <w:jc w:val="center"/>
        <w:rPr>
          <w:szCs w:val="24"/>
        </w:rPr>
      </w:pPr>
    </w:p>
    <w:p w:rsidR="004C248B" w:rsidRPr="00E90F92" w:rsidRDefault="004C248B" w:rsidP="004C248B">
      <w:pPr>
        <w:jc w:val="both"/>
        <w:rPr>
          <w:sz w:val="20"/>
        </w:rPr>
      </w:pPr>
      <w:r w:rsidRPr="00E90F92">
        <w:rPr>
          <w:b/>
          <w:sz w:val="20"/>
        </w:rPr>
        <w:t>Abstract</w:t>
      </w:r>
    </w:p>
    <w:p w:rsidR="004C248B" w:rsidRPr="00E90F92" w:rsidRDefault="004C248B" w:rsidP="004C248B">
      <w:pPr>
        <w:jc w:val="both"/>
        <w:rPr>
          <w:color w:val="000000"/>
          <w:sz w:val="20"/>
        </w:rPr>
      </w:pPr>
      <w:r w:rsidRPr="00E90F92">
        <w:rPr>
          <w:color w:val="000000"/>
          <w:sz w:val="20"/>
        </w:rPr>
        <w:t>The psychological state of complete mental silence is introduced. Although mental silence is an elusive state that may not yield to direct investigation, people commonly report that an episode of mental silence is a memorable experience. A new 10</w:t>
      </w:r>
      <w:r>
        <w:rPr>
          <w:color w:val="000000"/>
          <w:sz w:val="20"/>
        </w:rPr>
        <w:t>-</w:t>
      </w:r>
      <w:r w:rsidRPr="00E90F92">
        <w:rPr>
          <w:color w:val="000000"/>
          <w:sz w:val="20"/>
        </w:rPr>
        <w:t xml:space="preserve">item measure of familiarity with mental silence is proposed. 570 students from the local human </w:t>
      </w:r>
      <w:proofErr w:type="gramStart"/>
      <w:r w:rsidRPr="00E90F92">
        <w:rPr>
          <w:color w:val="000000"/>
          <w:sz w:val="20"/>
        </w:rPr>
        <w:t>subjects</w:t>
      </w:r>
      <w:proofErr w:type="gramEnd"/>
      <w:r w:rsidRPr="00E90F92">
        <w:rPr>
          <w:color w:val="000000"/>
          <w:sz w:val="20"/>
        </w:rPr>
        <w:t xml:space="preserve"> pool and 362 web surfers completed the measure. Data were analysed using Item Response Theory. Two items are explored in depth by comparing model predictions to </w:t>
      </w:r>
      <w:r w:rsidR="009F5807">
        <w:rPr>
          <w:color w:val="000000"/>
          <w:sz w:val="20"/>
        </w:rPr>
        <w:t>actual</w:t>
      </w:r>
      <w:r w:rsidR="009F5807" w:rsidRPr="00E90F92">
        <w:rPr>
          <w:color w:val="000000"/>
          <w:sz w:val="20"/>
        </w:rPr>
        <w:t xml:space="preserve"> </w:t>
      </w:r>
      <w:r w:rsidRPr="00E90F92">
        <w:rPr>
          <w:color w:val="000000"/>
          <w:sz w:val="20"/>
        </w:rPr>
        <w:t>data. Additional data collection and revision to the items are planned.</w:t>
      </w:r>
    </w:p>
    <w:p w:rsidR="004C248B" w:rsidRPr="00E90F92" w:rsidRDefault="004C248B" w:rsidP="004C248B">
      <w:pPr>
        <w:jc w:val="both"/>
        <w:rPr>
          <w:b/>
          <w:sz w:val="20"/>
        </w:rPr>
      </w:pPr>
    </w:p>
    <w:p w:rsidR="004C248B" w:rsidRPr="00E90F92" w:rsidRDefault="004C248B" w:rsidP="004C248B">
      <w:pPr>
        <w:jc w:val="both"/>
        <w:rPr>
          <w:sz w:val="20"/>
        </w:rPr>
      </w:pPr>
      <w:r w:rsidRPr="00E90F92">
        <w:rPr>
          <w:b/>
          <w:sz w:val="20"/>
        </w:rPr>
        <w:t xml:space="preserve">Key Words: </w:t>
      </w:r>
      <w:r w:rsidRPr="00E90F92">
        <w:rPr>
          <w:sz w:val="20"/>
        </w:rPr>
        <w:t>Mental silence, self-report, Item Response Theory</w:t>
      </w:r>
    </w:p>
    <w:p w:rsidR="004C248B" w:rsidRPr="00E90F92" w:rsidRDefault="004C248B" w:rsidP="004C248B">
      <w:pPr>
        <w:jc w:val="both"/>
        <w:rPr>
          <w:sz w:val="20"/>
        </w:rPr>
      </w:pPr>
    </w:p>
    <w:p w:rsidR="004C248B" w:rsidRPr="00E90F92" w:rsidRDefault="004C248B" w:rsidP="004C248B">
      <w:pPr>
        <w:jc w:val="center"/>
        <w:rPr>
          <w:b/>
          <w:sz w:val="20"/>
        </w:rPr>
      </w:pPr>
      <w:r w:rsidRPr="00E90F92">
        <w:rPr>
          <w:b/>
          <w:sz w:val="20"/>
        </w:rPr>
        <w:t>*****</w:t>
      </w:r>
    </w:p>
    <w:p w:rsidR="004C248B" w:rsidRPr="00E90F92" w:rsidRDefault="004C248B" w:rsidP="004C248B">
      <w:pPr>
        <w:jc w:val="both"/>
        <w:rPr>
          <w:sz w:val="20"/>
        </w:rPr>
      </w:pPr>
    </w:p>
    <w:p w:rsidR="004C248B" w:rsidRPr="00E90F92" w:rsidRDefault="004C248B" w:rsidP="004C248B">
      <w:pPr>
        <w:tabs>
          <w:tab w:val="left" w:pos="284"/>
          <w:tab w:val="left" w:pos="360"/>
        </w:tabs>
        <w:jc w:val="both"/>
        <w:rPr>
          <w:sz w:val="20"/>
        </w:rPr>
      </w:pPr>
      <w:r w:rsidRPr="00E90F92">
        <w:rPr>
          <w:b/>
          <w:sz w:val="20"/>
        </w:rPr>
        <w:t xml:space="preserve">1. </w:t>
      </w:r>
      <w:r w:rsidRPr="00E90F92">
        <w:rPr>
          <w:b/>
          <w:sz w:val="20"/>
        </w:rPr>
        <w:tab/>
        <w:t>Introduction</w:t>
      </w:r>
      <w:r w:rsidRPr="00E90F92">
        <w:rPr>
          <w:sz w:val="20"/>
        </w:rPr>
        <w:t xml:space="preserve"> </w:t>
      </w:r>
    </w:p>
    <w:p w:rsidR="004C248B" w:rsidRPr="00E90F92" w:rsidRDefault="004C248B" w:rsidP="004C248B">
      <w:pPr>
        <w:pStyle w:val="BodyTextIndent"/>
        <w:ind w:firstLine="284"/>
        <w:rPr>
          <w:iCs/>
        </w:rPr>
      </w:pPr>
      <w:r w:rsidRPr="00E90F92">
        <w:t xml:space="preserve">Is there a wakeful mental state during which there is a temporary cessation of thought? To approach mental silence is to reduce mental content including re-presentations of sensory input, such as imagination. Mental silence is an experience in which one is no longer thinking and no longer feels the urge to continuously engage in thought. The experience occurs in a normal, lucid waking state. Mental silence is not sleep or unconsciousness. Complete mental silence subsumes other prescriptions imposing limitations on permissible thought. For example, the notion of </w:t>
      </w:r>
      <w:proofErr w:type="spellStart"/>
      <w:r w:rsidRPr="00E90F92">
        <w:t>choiceless</w:t>
      </w:r>
      <w:proofErr w:type="spellEnd"/>
      <w:r w:rsidRPr="00E90F92">
        <w:t xml:space="preserve"> awareness considers the presence and action of choice as indicating confusion and, potentially, bias.</w:t>
      </w:r>
      <w:r w:rsidRPr="00E90F92">
        <w:rPr>
          <w:rStyle w:val="EndnoteReference"/>
        </w:rPr>
        <w:endnoteReference w:id="1"/>
      </w:r>
      <w:r w:rsidRPr="00E90F92">
        <w:t xml:space="preserve"> If there are no thoughts then there are no choices. Another example is mindfulness meditation's emphasis on non-judgemental awareness. If there are no thoughts, and consequentially no judgements, then the remaining awareness is non-judgemental. Complete mental silence is the most stringent limitation on permissible types of thought.</w:t>
      </w:r>
    </w:p>
    <w:p w:rsidR="005E6ADB" w:rsidRDefault="004C248B" w:rsidP="004C248B">
      <w:pPr>
        <w:pStyle w:val="BodyTextIndent"/>
        <w:ind w:firstLine="284"/>
      </w:pPr>
      <w:r w:rsidRPr="00E90F92">
        <w:t xml:space="preserve">The notion of mental silence can be found in Hindu, Buddhist, German </w:t>
      </w:r>
      <w:proofErr w:type="gramStart"/>
      <w:r w:rsidRPr="00E90F92">
        <w:t>mystical,</w:t>
      </w:r>
      <w:proofErr w:type="gramEnd"/>
      <w:r w:rsidRPr="00E90F92">
        <w:t xml:space="preserve"> and Jewish mystical traditions.</w:t>
      </w:r>
      <w:r w:rsidRPr="00E90F92">
        <w:rPr>
          <w:rStyle w:val="EndnoteReference"/>
        </w:rPr>
        <w:endnoteReference w:id="2"/>
      </w:r>
      <w:r w:rsidRPr="00E90F92">
        <w:t xml:space="preserve"> Mental silence is said to be a gateway to self-knowledge. However, it is difficult to answer sceptics. It is not obvious how to cause oneself to experience complete mental silence. A naïve thought suppression approach fails.</w:t>
      </w:r>
      <w:r w:rsidRPr="00E90F92">
        <w:rPr>
          <w:rStyle w:val="EndnoteReference"/>
        </w:rPr>
        <w:endnoteReference w:id="3"/>
      </w:r>
      <w:r w:rsidRPr="00E90F92">
        <w:t xml:space="preserve"> </w:t>
      </w:r>
    </w:p>
    <w:p w:rsidR="005E6ADB" w:rsidRDefault="004C248B" w:rsidP="004C248B">
      <w:pPr>
        <w:pStyle w:val="BodyTextIndent"/>
        <w:ind w:firstLine="284"/>
      </w:pPr>
      <w:r w:rsidRPr="00E90F92">
        <w:t>Moreover, it is not clear what evidence could conclusively prove that mental silence is a tenable state. If I claim to know arithmetic then you can test me by giving</w:t>
      </w:r>
      <w:r>
        <w:t xml:space="preserve"> me</w:t>
      </w:r>
      <w:r w:rsidRPr="00E90F92">
        <w:t xml:space="preserve"> some problems to solve. For mental silence, thought</w:t>
      </w:r>
      <w:r>
        <w:t xml:space="preserve"> – </w:t>
      </w:r>
      <w:r w:rsidRPr="00E90F92">
        <w:t>the medium of self-report</w:t>
      </w:r>
      <w:r>
        <w:t xml:space="preserve"> – </w:t>
      </w:r>
      <w:r w:rsidRPr="00E90F92">
        <w:t>is itself excluded from the experience. Self-reports concerning the content of mental silence</w:t>
      </w:r>
      <w:r w:rsidRPr="00E90F92">
        <w:rPr>
          <w:rStyle w:val="EndnoteReference"/>
        </w:rPr>
        <w:endnoteReference w:id="4"/>
      </w:r>
      <w:r w:rsidRPr="00E90F92">
        <w:t xml:space="preserve"> must be considered, at best, analogical and only accurate to some limit. Curiously, there is a comparable situation in the hardest of the hard </w:t>
      </w:r>
      <w:r w:rsidRPr="00E90F92">
        <w:lastRenderedPageBreak/>
        <w:t>sciences: mathematics, physics, and information theory. Certain fundamental axioms of these fields cannot be measured or proven with absolute certainty. That is, a certain facet of physical reality is provably unknowable.</w:t>
      </w:r>
      <w:r w:rsidRPr="00E90F92">
        <w:rPr>
          <w:rStyle w:val="EndnoteReference"/>
        </w:rPr>
        <w:endnoteReference w:id="5"/>
      </w:r>
      <w:r w:rsidRPr="00E90F92">
        <w:t xml:space="preserve"> Therefore, we should not despair but make the best of the situation. </w:t>
      </w:r>
    </w:p>
    <w:p w:rsidR="004C248B" w:rsidRPr="00E90F92" w:rsidRDefault="004C248B" w:rsidP="004C248B">
      <w:pPr>
        <w:pStyle w:val="BodyTextIndent"/>
        <w:ind w:firstLine="284"/>
      </w:pPr>
      <w:r w:rsidRPr="00E90F92">
        <w:t>As a topic, mental silence is particularly fascinating because people ostensibly venture into a mental state that is not only unknown but, in some sense, unknowable. The hard limits of physics an</w:t>
      </w:r>
      <w:r w:rsidR="005E6ADB">
        <w:t>d mathematics cannot be crossed</w:t>
      </w:r>
      <w:r w:rsidRPr="00E90F92">
        <w:t xml:space="preserve"> but</w:t>
      </w:r>
      <w:r w:rsidR="005E6ADB">
        <w:t>,</w:t>
      </w:r>
      <w:r w:rsidRPr="00E90F92">
        <w:t xml:space="preserve"> in this case, there is the opportunity to develop </w:t>
      </w:r>
      <w:r w:rsidR="005E6ADB" w:rsidRPr="00E90F92">
        <w:t xml:space="preserve">personally </w:t>
      </w:r>
      <w:r w:rsidRPr="00E90F92">
        <w:t>a first-hand familiarity with this great mystery. To research the content of the experience of mental silence may not be feasible, but people do report that an episode of mental silence is memorable. Therefore, it should be possible to create a scale to assess familiarity with complete mental silence. No pre-existing scale could be found so we set out to create a new one.</w:t>
      </w:r>
    </w:p>
    <w:p w:rsidR="004C248B" w:rsidRPr="00E90F92" w:rsidRDefault="006B2ED8" w:rsidP="004C248B">
      <w:pPr>
        <w:pStyle w:val="BodyTextIndent"/>
        <w:ind w:firstLine="284"/>
      </w:pPr>
      <w:r>
        <w:rPr>
          <w:noProof/>
          <w:lang w:val="en-US"/>
        </w:rPr>
        <w:drawing>
          <wp:anchor distT="0" distB="91440" distL="114300" distR="114300" simplePos="0" relativeHeight="251660288" behindDoc="0" locked="0" layoutInCell="0" allowOverlap="0" wp14:anchorId="49EAFFE4" wp14:editId="5767A99D">
            <wp:simplePos x="0" y="0"/>
            <wp:positionH relativeFrom="column">
              <wp:posOffset>1210945</wp:posOffset>
            </wp:positionH>
            <wp:positionV relativeFrom="line">
              <wp:posOffset>123825</wp:posOffset>
            </wp:positionV>
            <wp:extent cx="1600200" cy="228600"/>
            <wp:effectExtent l="0" t="0" r="0" b="0"/>
            <wp:wrapTopAndBottom/>
            <wp:docPr id="2" name="Picture 2" descr="li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kert"/>
                    <pic:cNvPicPr>
                      <a:picLocks noChangeAspect="1" noChangeArrowheads="1"/>
                    </pic:cNvPicPr>
                  </pic:nvPicPr>
                  <pic:blipFill>
                    <a:blip r:embed="rId9"/>
                    <a:srcRect/>
                    <a:stretch>
                      <a:fillRect/>
                    </a:stretch>
                  </pic:blipFill>
                  <pic:spPr bwMode="auto">
                    <a:xfrm>
                      <a:off x="0" y="0"/>
                      <a:ext cx="1600200" cy="228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440EF8">
        <w:rPr>
          <w:noProof/>
        </w:rPr>
        <w:pict>
          <v:shapetype id="_x0000_t202" coordsize="21600,21600" o:spt="202" path="m,l,21600r21600,l21600,xe">
            <v:stroke joinstyle="miter"/>
            <v:path gradientshapeok="t" o:connecttype="rect"/>
          </v:shapetype>
          <v:shape id="_x0000_s1034" type="#_x0000_t202" style="position:absolute;left:0;text-align:left;margin-left:62.15pt;margin-top:35.15pt;width:211.35pt;height:18.55pt;z-index:251669504;mso-position-horizontal-relative:text;mso-position-vertical-relative:text" stroked="f">
            <v:textbox style="mso-next-textbox:#_x0000_s1034" inset="0,0,0,0">
              <w:txbxContent>
                <w:p w:rsidR="006B2ED8" w:rsidRPr="00197461" w:rsidRDefault="006B2ED8" w:rsidP="006B2ED8">
                  <w:pPr>
                    <w:pStyle w:val="Caption"/>
                    <w:jc w:val="center"/>
                    <w:rPr>
                      <w:noProof/>
                      <w:color w:val="000000"/>
                    </w:rPr>
                  </w:pPr>
                  <w:r>
                    <w:t xml:space="preserve">Figure </w:t>
                  </w:r>
                  <w:r>
                    <w:fldChar w:fldCharType="begin"/>
                  </w:r>
                  <w:r>
                    <w:instrText xml:space="preserve"> SEQ Figure \* ARABIC </w:instrText>
                  </w:r>
                  <w:r>
                    <w:fldChar w:fldCharType="separate"/>
                  </w:r>
                  <w:r w:rsidR="00C96CA2">
                    <w:rPr>
                      <w:noProof/>
                    </w:rPr>
                    <w:t>1</w:t>
                  </w:r>
                  <w:r>
                    <w:fldChar w:fldCharType="end"/>
                  </w:r>
                  <w:r>
                    <w:t xml:space="preserve">: Example of a 7-point </w:t>
                  </w:r>
                  <w:proofErr w:type="spellStart"/>
                  <w:r>
                    <w:t>Likert</w:t>
                  </w:r>
                  <w:proofErr w:type="spellEnd"/>
                  <w:r>
                    <w:t xml:space="preserve"> scale</w:t>
                  </w:r>
                </w:p>
              </w:txbxContent>
            </v:textbox>
            <w10:wrap type="topAndBottom"/>
          </v:shape>
        </w:pict>
      </w:r>
      <w:r w:rsidR="004C248B" w:rsidRPr="00E90F92">
        <w:t xml:space="preserve">Item Response Theory (IRT) is a mathematical approach to learning about the relationship between persons and items. One of the motivating factors for the development of IRT was </w:t>
      </w:r>
      <w:proofErr w:type="spellStart"/>
      <w:r w:rsidR="004C248B" w:rsidRPr="00E90F92">
        <w:t>Likert</w:t>
      </w:r>
      <w:proofErr w:type="spellEnd"/>
      <w:r w:rsidR="004C248B" w:rsidRPr="00E90F92">
        <w:t xml:space="preserve"> scales (figure 1). Suppose responses are scored from 1 (</w:t>
      </w:r>
      <w:r w:rsidR="004C248B" w:rsidRPr="00E90F92">
        <w:rPr>
          <w:i/>
        </w:rPr>
        <w:t>Agree</w:t>
      </w:r>
      <w:r w:rsidR="004C248B" w:rsidRPr="00E90F92">
        <w:t>) to 7 (</w:t>
      </w:r>
      <w:r w:rsidR="004C248B" w:rsidRPr="00E90F92">
        <w:rPr>
          <w:i/>
        </w:rPr>
        <w:t>Disagree</w:t>
      </w:r>
      <w:r w:rsidR="004C248B" w:rsidRPr="00E90F92">
        <w:t>). Although the circles are equally spaced, the psychological difference between adjacent circles in the middle is probably less than the difference between an endpoint and its adjacent circle. With a 10</w:t>
      </w:r>
      <w:r w:rsidR="004C248B">
        <w:t>-</w:t>
      </w:r>
      <w:r w:rsidR="004C248B" w:rsidRPr="00E90F92">
        <w:t xml:space="preserve"> or 15</w:t>
      </w:r>
      <w:r w:rsidR="004C248B">
        <w:t>-</w:t>
      </w:r>
      <w:r w:rsidR="004C248B" w:rsidRPr="00E90F92">
        <w:t>point scale, the equal psychological interval assumption is even less tenable. Using sophisticated mathematics, IRT translates ordinal responses back to an interval scale, making them easy to interpret. In addition, IRT can obtain unbiased parameter estimates from an unrepresentative sample, place both items and persons on the same metric, and allow a measure to evolve with new items while maintaining a stable measurement scale.</w:t>
      </w:r>
      <w:r w:rsidR="004C248B" w:rsidRPr="00E90F92">
        <w:rPr>
          <w:rStyle w:val="EndnoteReference"/>
        </w:rPr>
        <w:endnoteReference w:id="6"/>
      </w:r>
    </w:p>
    <w:p w:rsidR="004C248B" w:rsidRPr="00E90F92" w:rsidRDefault="004C248B" w:rsidP="004C248B">
      <w:pPr>
        <w:pStyle w:val="BodyTextIndent"/>
        <w:ind w:firstLine="284"/>
      </w:pPr>
      <w:r w:rsidRPr="00E90F92">
        <w:t>Many ingredients go into designing a new measure.</w:t>
      </w:r>
      <w:r w:rsidRPr="00E90F92">
        <w:rPr>
          <w:rStyle w:val="EndnoteReference"/>
        </w:rPr>
        <w:endnoteReference w:id="7"/>
      </w:r>
      <w:r w:rsidRPr="00E90F92">
        <w:t xml:space="preserve"> The items should reliably probe all relevant facets of the construct. Which experiences are closely proximate to mental silence? The factor structure needs exploration. Does familiarity with mental silence describe a single dimension or are multiple dimensions involved? How can the dimensions be characterized? Does the new measure correlate strongly with related measures and weakly with unrelated measures? Going beyond self-report, early evidence suggested that mental silence related practices have health effects.</w:t>
      </w:r>
      <w:r w:rsidRPr="00E90F92">
        <w:rPr>
          <w:rStyle w:val="EndnoteReference"/>
        </w:rPr>
        <w:endnoteReference w:id="8"/>
      </w:r>
      <w:r w:rsidRPr="00E90F92">
        <w:t xml:space="preserve"> Does the new self-report scale correlate with objective physical changes? The present report will begin to address some of these questions.</w:t>
      </w:r>
    </w:p>
    <w:p w:rsidR="004C248B" w:rsidRPr="00E90F92" w:rsidRDefault="004C248B" w:rsidP="004C248B">
      <w:pPr>
        <w:pStyle w:val="BodyTextIndent"/>
        <w:ind w:firstLine="0"/>
      </w:pPr>
    </w:p>
    <w:p w:rsidR="004C248B" w:rsidRPr="00E90F92" w:rsidRDefault="004C248B" w:rsidP="004C248B">
      <w:pPr>
        <w:pStyle w:val="BodyTextIndent"/>
        <w:ind w:firstLine="0"/>
        <w:rPr>
          <w:b/>
        </w:rPr>
      </w:pPr>
      <w:r w:rsidRPr="00E90F92">
        <w:rPr>
          <w:b/>
        </w:rPr>
        <w:t xml:space="preserve">2. </w:t>
      </w:r>
      <w:r>
        <w:rPr>
          <w:b/>
        </w:rPr>
        <w:t xml:space="preserve">  </w:t>
      </w:r>
      <w:r w:rsidRPr="00E90F92">
        <w:rPr>
          <w:b/>
        </w:rPr>
        <w:t>Method</w:t>
      </w:r>
    </w:p>
    <w:p w:rsidR="004C248B" w:rsidRPr="00E90F92" w:rsidRDefault="004C248B" w:rsidP="004C248B">
      <w:pPr>
        <w:pStyle w:val="BodyTextIndent"/>
        <w:ind w:firstLine="284"/>
      </w:pPr>
      <w:proofErr w:type="gramStart"/>
      <w:r w:rsidRPr="00E90F92">
        <w:rPr>
          <w:i/>
        </w:rPr>
        <w:lastRenderedPageBreak/>
        <w:t>Participants</w:t>
      </w:r>
      <w:r w:rsidRPr="00E90F92">
        <w:t>.</w:t>
      </w:r>
      <w:proofErr w:type="gramEnd"/>
      <w:r w:rsidRPr="00E90F92">
        <w:t xml:space="preserve"> Students were recruited through the local psychology human </w:t>
      </w:r>
      <w:proofErr w:type="gramStart"/>
      <w:r w:rsidRPr="00E90F92">
        <w:t>subjects</w:t>
      </w:r>
      <w:proofErr w:type="gramEnd"/>
      <w:r w:rsidRPr="00E90F92">
        <w:t xml:space="preserve"> pool and were compensated by partial fulfilment of a course requirement. The first author also reached out to communities with which he was familiar by email and in person.</w:t>
      </w:r>
      <w:r w:rsidRPr="00E90F92">
        <w:rPr>
          <w:rStyle w:val="EndnoteReference"/>
        </w:rPr>
        <w:endnoteReference w:id="9"/>
      </w:r>
      <w:r w:rsidRPr="00E90F92">
        <w:t xml:space="preserve"> In addition, a web link was published on various lists of psychology web studies May 2012.</w:t>
      </w:r>
      <w:r w:rsidRPr="00E90F92">
        <w:rPr>
          <w:rStyle w:val="EndnoteReference"/>
        </w:rPr>
        <w:endnoteReference w:id="10"/>
      </w:r>
      <w:r w:rsidRPr="00E90F92">
        <w:t xml:space="preserve"> The web group did not receive any compensation. Demographic data </w:t>
      </w:r>
      <w:r w:rsidR="006B2ED8" w:rsidRPr="006B2ED8">
        <w:t>are</w:t>
      </w:r>
      <w:r w:rsidRPr="00E90F92">
        <w:t xml:space="preserve"> given in </w:t>
      </w:r>
      <w:r w:rsidR="00BE7A40" w:rsidRPr="00E90F92">
        <w:fldChar w:fldCharType="begin"/>
      </w:r>
      <w:r w:rsidRPr="00E90F92">
        <w:instrText xml:space="preserve"> REF _Ref345093966 \h </w:instrText>
      </w:r>
      <w:r w:rsidR="00BE7A40" w:rsidRPr="00E90F92">
        <w:fldChar w:fldCharType="separate"/>
      </w:r>
      <w:r w:rsidRPr="00E90F92">
        <w:t xml:space="preserve">Table </w:t>
      </w:r>
      <w:r>
        <w:rPr>
          <w:noProof/>
        </w:rPr>
        <w:t>1</w:t>
      </w:r>
      <w:r w:rsidR="00BE7A40" w:rsidRPr="00E90F92">
        <w:fldChar w:fldCharType="end"/>
      </w:r>
      <w:r w:rsidRPr="00E90F92">
        <w:t xml:space="preserve">. Among the web group, 30 had 12 or fewer years of school, 69 had some college coursework, </w:t>
      </w:r>
      <w:r w:rsidR="001A1D79" w:rsidRPr="00E90F92">
        <w:t xml:space="preserve">15 had an associate degree, </w:t>
      </w:r>
      <w:r w:rsidRPr="00E90F92">
        <w:t xml:space="preserve">102 had a bachelor degree, 136 had a graduate degree, and 10 did not volunteer their educational background. </w:t>
      </w:r>
      <w:r>
        <w:t>190</w:t>
      </w:r>
      <w:r w:rsidRPr="00E90F92">
        <w:t xml:space="preserve"> browsed from USA, 59 from India, 41 from Australia, 26 from UK, 12 from Canada, and a few from each of 22 other countries. In the debriefing, participants were encouraged to recruit their friends to participate.</w:t>
      </w:r>
    </w:p>
    <w:p w:rsidR="004C248B" w:rsidRPr="00E90F92" w:rsidRDefault="004C248B" w:rsidP="004C248B">
      <w:pPr>
        <w:pStyle w:val="BodyTextIndent"/>
        <w:ind w:firstLine="284"/>
      </w:pPr>
    </w:p>
    <w:p w:rsidR="004C248B" w:rsidRPr="00E90F92" w:rsidRDefault="004C248B" w:rsidP="004C248B">
      <w:pPr>
        <w:pStyle w:val="Caption"/>
        <w:keepNext/>
      </w:pPr>
      <w:bookmarkStart w:id="0" w:name="_Ref345093966"/>
      <w:bookmarkStart w:id="1" w:name="_Ref345093943"/>
      <w:r w:rsidRPr="00E90F92">
        <w:t xml:space="preserve">Table </w:t>
      </w:r>
      <w:r w:rsidR="00BE7A40" w:rsidRPr="00E90F92">
        <w:fldChar w:fldCharType="begin"/>
      </w:r>
      <w:r w:rsidRPr="00E90F92">
        <w:instrText xml:space="preserve"> SEQ Table \* ARABIC </w:instrText>
      </w:r>
      <w:r w:rsidR="00BE7A40" w:rsidRPr="00E90F92">
        <w:fldChar w:fldCharType="separate"/>
      </w:r>
      <w:r>
        <w:rPr>
          <w:noProof/>
        </w:rPr>
        <w:t>1</w:t>
      </w:r>
      <w:r w:rsidR="00BE7A40" w:rsidRPr="00E90F92">
        <w:fldChar w:fldCharType="end"/>
      </w:r>
      <w:bookmarkEnd w:id="0"/>
      <w:r w:rsidRPr="00E90F92">
        <w:t>: Demographics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
        <w:gridCol w:w="860"/>
        <w:gridCol w:w="630"/>
        <w:gridCol w:w="1260"/>
        <w:gridCol w:w="1620"/>
        <w:gridCol w:w="1218"/>
      </w:tblGrid>
      <w:tr w:rsidR="004C248B" w:rsidRPr="00E90F92">
        <w:tc>
          <w:tcPr>
            <w:tcW w:w="1318" w:type="dxa"/>
            <w:tcBorders>
              <w:top w:val="single" w:sz="4" w:space="0" w:color="auto"/>
              <w:left w:val="nil"/>
              <w:bottom w:val="single" w:sz="4" w:space="0" w:color="auto"/>
              <w:right w:val="nil"/>
            </w:tcBorders>
            <w:shd w:val="clear" w:color="auto" w:fill="auto"/>
            <w:vAlign w:val="center"/>
          </w:tcPr>
          <w:p w:rsidR="004C248B" w:rsidRPr="00E90F92" w:rsidRDefault="004C248B" w:rsidP="00F440E2">
            <w:pPr>
              <w:pStyle w:val="BodyTextIndent"/>
              <w:ind w:firstLine="0"/>
              <w:jc w:val="center"/>
            </w:pPr>
            <w:r w:rsidRPr="00E90F92">
              <w:t>Recruitment</w:t>
            </w:r>
          </w:p>
        </w:tc>
        <w:tc>
          <w:tcPr>
            <w:tcW w:w="860" w:type="dxa"/>
            <w:tcBorders>
              <w:top w:val="single" w:sz="4" w:space="0" w:color="auto"/>
              <w:left w:val="nil"/>
              <w:bottom w:val="single" w:sz="4" w:space="0" w:color="auto"/>
              <w:right w:val="nil"/>
            </w:tcBorders>
            <w:shd w:val="clear" w:color="auto" w:fill="auto"/>
            <w:vAlign w:val="center"/>
          </w:tcPr>
          <w:p w:rsidR="004C248B" w:rsidRPr="00E90F92" w:rsidRDefault="004C248B" w:rsidP="00F440E2">
            <w:pPr>
              <w:pStyle w:val="BodyTextIndent"/>
              <w:ind w:firstLine="0"/>
              <w:jc w:val="center"/>
            </w:pPr>
            <w:r w:rsidRPr="00E90F92">
              <w:t>Women</w:t>
            </w:r>
          </w:p>
        </w:tc>
        <w:tc>
          <w:tcPr>
            <w:tcW w:w="630" w:type="dxa"/>
            <w:tcBorders>
              <w:top w:val="single" w:sz="4" w:space="0" w:color="auto"/>
              <w:left w:val="nil"/>
              <w:bottom w:val="single" w:sz="4" w:space="0" w:color="auto"/>
              <w:right w:val="nil"/>
            </w:tcBorders>
            <w:shd w:val="clear" w:color="auto" w:fill="auto"/>
            <w:vAlign w:val="center"/>
          </w:tcPr>
          <w:p w:rsidR="004C248B" w:rsidRPr="00E90F92" w:rsidRDefault="004C248B" w:rsidP="00F440E2">
            <w:pPr>
              <w:pStyle w:val="BodyTextIndent"/>
              <w:ind w:firstLine="0"/>
              <w:jc w:val="center"/>
            </w:pPr>
            <w:r w:rsidRPr="00E90F92">
              <w:t>Men</w:t>
            </w:r>
          </w:p>
        </w:tc>
        <w:tc>
          <w:tcPr>
            <w:tcW w:w="1260" w:type="dxa"/>
            <w:tcBorders>
              <w:top w:val="single" w:sz="4" w:space="0" w:color="auto"/>
              <w:left w:val="nil"/>
              <w:bottom w:val="single" w:sz="4" w:space="0" w:color="auto"/>
              <w:right w:val="nil"/>
            </w:tcBorders>
            <w:shd w:val="clear" w:color="auto" w:fill="auto"/>
            <w:vAlign w:val="center"/>
          </w:tcPr>
          <w:p w:rsidR="004C248B" w:rsidRPr="00E90F92" w:rsidRDefault="004C248B" w:rsidP="00F440E2">
            <w:pPr>
              <w:pStyle w:val="BodyTextIndent"/>
              <w:ind w:firstLine="0"/>
              <w:jc w:val="center"/>
            </w:pPr>
            <w:r w:rsidRPr="00E90F92">
              <w:t>Median Age</w:t>
            </w:r>
          </w:p>
        </w:tc>
        <w:tc>
          <w:tcPr>
            <w:tcW w:w="1620" w:type="dxa"/>
            <w:tcBorders>
              <w:top w:val="single" w:sz="4" w:space="0" w:color="auto"/>
              <w:left w:val="nil"/>
              <w:bottom w:val="single" w:sz="4" w:space="0" w:color="auto"/>
              <w:right w:val="nil"/>
            </w:tcBorders>
            <w:shd w:val="clear" w:color="auto" w:fill="auto"/>
            <w:vAlign w:val="center"/>
          </w:tcPr>
          <w:p w:rsidR="004C248B" w:rsidRPr="00E90F92" w:rsidRDefault="004C248B" w:rsidP="00F440E2">
            <w:pPr>
              <w:pStyle w:val="BodyTextIndent"/>
              <w:ind w:firstLine="0"/>
              <w:jc w:val="center"/>
            </w:pPr>
            <w:r w:rsidRPr="00E90F92">
              <w:t>50% within age</w:t>
            </w:r>
          </w:p>
        </w:tc>
        <w:tc>
          <w:tcPr>
            <w:tcW w:w="1218" w:type="dxa"/>
            <w:tcBorders>
              <w:top w:val="single" w:sz="4" w:space="0" w:color="auto"/>
              <w:left w:val="nil"/>
              <w:bottom w:val="single" w:sz="4" w:space="0" w:color="auto"/>
              <w:right w:val="nil"/>
            </w:tcBorders>
            <w:shd w:val="clear" w:color="auto" w:fill="auto"/>
            <w:vAlign w:val="center"/>
          </w:tcPr>
          <w:p w:rsidR="004C248B" w:rsidRPr="00E90F92" w:rsidRDefault="004C248B" w:rsidP="00F440E2">
            <w:pPr>
              <w:pStyle w:val="BodyTextIndent"/>
              <w:ind w:firstLine="0"/>
              <w:jc w:val="center"/>
            </w:pPr>
            <w:r w:rsidRPr="00E90F92">
              <w:t>Age range</w:t>
            </w:r>
          </w:p>
        </w:tc>
      </w:tr>
      <w:tr w:rsidR="004C248B" w:rsidRPr="00E90F92">
        <w:tc>
          <w:tcPr>
            <w:tcW w:w="1318" w:type="dxa"/>
            <w:tcBorders>
              <w:top w:val="single" w:sz="4" w:space="0" w:color="auto"/>
              <w:left w:val="nil"/>
              <w:bottom w:val="nil"/>
              <w:right w:val="nil"/>
            </w:tcBorders>
            <w:shd w:val="clear" w:color="auto" w:fill="auto"/>
          </w:tcPr>
          <w:p w:rsidR="004C248B" w:rsidRPr="00E90F92" w:rsidRDefault="004C248B" w:rsidP="00F440E2">
            <w:pPr>
              <w:pStyle w:val="BodyTextIndent"/>
              <w:ind w:firstLine="0"/>
            </w:pPr>
            <w:proofErr w:type="spellStart"/>
            <w:r w:rsidRPr="00E90F92">
              <w:t>Ss</w:t>
            </w:r>
            <w:proofErr w:type="spellEnd"/>
            <w:r w:rsidRPr="00E90F92">
              <w:t xml:space="preserve"> Pool</w:t>
            </w:r>
          </w:p>
        </w:tc>
        <w:tc>
          <w:tcPr>
            <w:tcW w:w="860" w:type="dxa"/>
            <w:tcBorders>
              <w:top w:val="single" w:sz="4" w:space="0" w:color="auto"/>
              <w:left w:val="nil"/>
              <w:bottom w:val="nil"/>
              <w:right w:val="nil"/>
            </w:tcBorders>
            <w:shd w:val="clear" w:color="auto" w:fill="auto"/>
            <w:vAlign w:val="center"/>
          </w:tcPr>
          <w:p w:rsidR="004C248B" w:rsidRPr="00E90F92" w:rsidRDefault="004C248B" w:rsidP="00F440E2">
            <w:pPr>
              <w:pStyle w:val="BodyTextIndent"/>
              <w:ind w:firstLine="0"/>
              <w:jc w:val="right"/>
            </w:pPr>
            <w:r w:rsidRPr="00E90F92">
              <w:t>395</w:t>
            </w:r>
          </w:p>
        </w:tc>
        <w:tc>
          <w:tcPr>
            <w:tcW w:w="630" w:type="dxa"/>
            <w:tcBorders>
              <w:top w:val="single" w:sz="4" w:space="0" w:color="auto"/>
              <w:left w:val="nil"/>
              <w:bottom w:val="nil"/>
              <w:right w:val="nil"/>
            </w:tcBorders>
            <w:shd w:val="clear" w:color="auto" w:fill="auto"/>
            <w:vAlign w:val="center"/>
          </w:tcPr>
          <w:p w:rsidR="004C248B" w:rsidRPr="00E90F92" w:rsidRDefault="004C248B" w:rsidP="00F440E2">
            <w:pPr>
              <w:pStyle w:val="BodyTextIndent"/>
              <w:ind w:firstLine="0"/>
              <w:jc w:val="right"/>
            </w:pPr>
            <w:r w:rsidRPr="00E90F92">
              <w:t>173</w:t>
            </w:r>
          </w:p>
        </w:tc>
        <w:tc>
          <w:tcPr>
            <w:tcW w:w="1260" w:type="dxa"/>
            <w:tcBorders>
              <w:top w:val="single" w:sz="4" w:space="0" w:color="auto"/>
              <w:left w:val="nil"/>
              <w:bottom w:val="nil"/>
              <w:right w:val="nil"/>
            </w:tcBorders>
            <w:shd w:val="clear" w:color="auto" w:fill="auto"/>
            <w:vAlign w:val="center"/>
          </w:tcPr>
          <w:p w:rsidR="004C248B" w:rsidRPr="00E90F92" w:rsidRDefault="004C248B" w:rsidP="00F440E2">
            <w:pPr>
              <w:pStyle w:val="BodyTextIndent"/>
              <w:ind w:firstLine="0"/>
              <w:jc w:val="right"/>
            </w:pPr>
            <w:r w:rsidRPr="00E90F92">
              <w:t>19</w:t>
            </w:r>
          </w:p>
        </w:tc>
        <w:tc>
          <w:tcPr>
            <w:tcW w:w="1620" w:type="dxa"/>
            <w:tcBorders>
              <w:top w:val="single" w:sz="4" w:space="0" w:color="auto"/>
              <w:left w:val="nil"/>
              <w:bottom w:val="nil"/>
              <w:right w:val="nil"/>
            </w:tcBorders>
            <w:shd w:val="clear" w:color="auto" w:fill="auto"/>
            <w:vAlign w:val="center"/>
          </w:tcPr>
          <w:p w:rsidR="004C248B" w:rsidRPr="00E90F92" w:rsidRDefault="004C248B" w:rsidP="00F440E2">
            <w:pPr>
              <w:pStyle w:val="BodyTextIndent"/>
              <w:ind w:firstLine="0"/>
              <w:jc w:val="right"/>
            </w:pPr>
            <w:r w:rsidRPr="00E90F92">
              <w:t>18-19</w:t>
            </w:r>
          </w:p>
        </w:tc>
        <w:tc>
          <w:tcPr>
            <w:tcW w:w="1218" w:type="dxa"/>
            <w:tcBorders>
              <w:top w:val="single" w:sz="4" w:space="0" w:color="auto"/>
              <w:left w:val="nil"/>
              <w:bottom w:val="nil"/>
              <w:right w:val="nil"/>
            </w:tcBorders>
            <w:shd w:val="clear" w:color="auto" w:fill="auto"/>
            <w:vAlign w:val="center"/>
          </w:tcPr>
          <w:p w:rsidR="004C248B" w:rsidRPr="00E90F92" w:rsidRDefault="004C248B" w:rsidP="00F440E2">
            <w:pPr>
              <w:pStyle w:val="BodyTextIndent"/>
              <w:ind w:firstLine="0"/>
              <w:jc w:val="right"/>
            </w:pPr>
            <w:r w:rsidRPr="00E90F92">
              <w:t>17-29</w:t>
            </w:r>
          </w:p>
        </w:tc>
      </w:tr>
      <w:tr w:rsidR="004C248B" w:rsidRPr="00E90F92">
        <w:tc>
          <w:tcPr>
            <w:tcW w:w="1318" w:type="dxa"/>
            <w:tcBorders>
              <w:top w:val="nil"/>
              <w:left w:val="nil"/>
              <w:bottom w:val="single" w:sz="4" w:space="0" w:color="auto"/>
              <w:right w:val="nil"/>
            </w:tcBorders>
            <w:shd w:val="clear" w:color="auto" w:fill="auto"/>
          </w:tcPr>
          <w:p w:rsidR="004C248B" w:rsidRPr="00E90F92" w:rsidRDefault="004C248B" w:rsidP="00F440E2">
            <w:pPr>
              <w:pStyle w:val="BodyTextIndent"/>
              <w:ind w:firstLine="0"/>
            </w:pPr>
            <w:r w:rsidRPr="00E90F92">
              <w:t>Web link</w:t>
            </w:r>
          </w:p>
        </w:tc>
        <w:tc>
          <w:tcPr>
            <w:tcW w:w="860" w:type="dxa"/>
            <w:tcBorders>
              <w:top w:val="nil"/>
              <w:left w:val="nil"/>
              <w:bottom w:val="single" w:sz="4" w:space="0" w:color="auto"/>
              <w:right w:val="nil"/>
            </w:tcBorders>
            <w:shd w:val="clear" w:color="auto" w:fill="auto"/>
            <w:vAlign w:val="center"/>
          </w:tcPr>
          <w:p w:rsidR="004C248B" w:rsidRPr="00E90F92" w:rsidRDefault="004C248B" w:rsidP="00F440E2">
            <w:pPr>
              <w:pStyle w:val="BodyTextIndent"/>
              <w:ind w:firstLine="0"/>
              <w:jc w:val="right"/>
            </w:pPr>
            <w:r w:rsidRPr="00E90F92">
              <w:t>203</w:t>
            </w:r>
          </w:p>
        </w:tc>
        <w:tc>
          <w:tcPr>
            <w:tcW w:w="630" w:type="dxa"/>
            <w:tcBorders>
              <w:top w:val="nil"/>
              <w:left w:val="nil"/>
              <w:bottom w:val="single" w:sz="4" w:space="0" w:color="auto"/>
              <w:right w:val="nil"/>
            </w:tcBorders>
            <w:shd w:val="clear" w:color="auto" w:fill="auto"/>
            <w:vAlign w:val="center"/>
          </w:tcPr>
          <w:p w:rsidR="004C248B" w:rsidRPr="00E90F92" w:rsidRDefault="004C248B" w:rsidP="00F440E2">
            <w:pPr>
              <w:pStyle w:val="BodyTextIndent"/>
              <w:ind w:firstLine="0"/>
              <w:jc w:val="right"/>
            </w:pPr>
            <w:r w:rsidRPr="00E90F92">
              <w:t>151</w:t>
            </w:r>
          </w:p>
        </w:tc>
        <w:tc>
          <w:tcPr>
            <w:tcW w:w="1260" w:type="dxa"/>
            <w:tcBorders>
              <w:top w:val="nil"/>
              <w:left w:val="nil"/>
              <w:bottom w:val="single" w:sz="4" w:space="0" w:color="auto"/>
              <w:right w:val="nil"/>
            </w:tcBorders>
            <w:shd w:val="clear" w:color="auto" w:fill="auto"/>
            <w:vAlign w:val="center"/>
          </w:tcPr>
          <w:p w:rsidR="004C248B" w:rsidRPr="00E90F92" w:rsidRDefault="004C248B" w:rsidP="00F440E2">
            <w:pPr>
              <w:pStyle w:val="BodyTextIndent"/>
              <w:ind w:firstLine="0"/>
              <w:jc w:val="right"/>
            </w:pPr>
            <w:r w:rsidRPr="00E90F92">
              <w:t>37</w:t>
            </w:r>
          </w:p>
        </w:tc>
        <w:tc>
          <w:tcPr>
            <w:tcW w:w="1620" w:type="dxa"/>
            <w:tcBorders>
              <w:top w:val="nil"/>
              <w:left w:val="nil"/>
              <w:bottom w:val="single" w:sz="4" w:space="0" w:color="auto"/>
              <w:right w:val="nil"/>
            </w:tcBorders>
            <w:shd w:val="clear" w:color="auto" w:fill="auto"/>
            <w:vAlign w:val="center"/>
          </w:tcPr>
          <w:p w:rsidR="004C248B" w:rsidRPr="00E90F92" w:rsidRDefault="004C248B" w:rsidP="00F440E2">
            <w:pPr>
              <w:pStyle w:val="BodyTextIndent"/>
              <w:ind w:firstLine="0"/>
              <w:jc w:val="right"/>
            </w:pPr>
            <w:r w:rsidRPr="00E90F92">
              <w:t>26-51</w:t>
            </w:r>
          </w:p>
        </w:tc>
        <w:tc>
          <w:tcPr>
            <w:tcW w:w="1218" w:type="dxa"/>
            <w:tcBorders>
              <w:top w:val="nil"/>
              <w:left w:val="nil"/>
              <w:bottom w:val="single" w:sz="4" w:space="0" w:color="auto"/>
              <w:right w:val="nil"/>
            </w:tcBorders>
            <w:shd w:val="clear" w:color="auto" w:fill="auto"/>
            <w:vAlign w:val="center"/>
          </w:tcPr>
          <w:p w:rsidR="004C248B" w:rsidRPr="00E90F92" w:rsidRDefault="004C248B" w:rsidP="00F440E2">
            <w:pPr>
              <w:pStyle w:val="BodyTextIndent"/>
              <w:ind w:firstLine="0"/>
              <w:jc w:val="right"/>
            </w:pPr>
            <w:r w:rsidRPr="00E90F92">
              <w:t>13-83</w:t>
            </w:r>
          </w:p>
        </w:tc>
      </w:tr>
      <w:tr w:rsidR="004C248B" w:rsidRPr="00E90F92">
        <w:tc>
          <w:tcPr>
            <w:tcW w:w="6906" w:type="dxa"/>
            <w:gridSpan w:val="6"/>
            <w:tcBorders>
              <w:top w:val="single" w:sz="4" w:space="0" w:color="auto"/>
              <w:left w:val="nil"/>
              <w:bottom w:val="nil"/>
              <w:right w:val="nil"/>
            </w:tcBorders>
            <w:shd w:val="clear" w:color="auto" w:fill="auto"/>
          </w:tcPr>
          <w:p w:rsidR="004C248B" w:rsidRPr="00E90F92" w:rsidRDefault="004C248B" w:rsidP="00F440E2">
            <w:pPr>
              <w:pStyle w:val="BodyTextIndent"/>
              <w:ind w:firstLine="0"/>
              <w:rPr>
                <w:sz w:val="16"/>
                <w:szCs w:val="16"/>
              </w:rPr>
            </w:pPr>
            <w:r w:rsidRPr="00E90F92">
              <w:rPr>
                <w:sz w:val="16"/>
                <w:szCs w:val="16"/>
              </w:rPr>
              <w:t>Note. Ten subjects did not disclose their sex.</w:t>
            </w:r>
          </w:p>
        </w:tc>
      </w:tr>
    </w:tbl>
    <w:p w:rsidR="004C248B" w:rsidRPr="00E90F92" w:rsidRDefault="004C248B" w:rsidP="004C248B">
      <w:pPr>
        <w:pStyle w:val="BodyTextIndent"/>
        <w:ind w:firstLine="284"/>
        <w:rPr>
          <w:i/>
        </w:rPr>
      </w:pPr>
    </w:p>
    <w:p w:rsidR="004C248B" w:rsidRPr="00E90F92" w:rsidRDefault="004C248B" w:rsidP="004C248B">
      <w:pPr>
        <w:pStyle w:val="BodyTextIndent"/>
        <w:ind w:firstLine="284"/>
      </w:pPr>
      <w:proofErr w:type="gramStart"/>
      <w:r w:rsidRPr="00E90F92">
        <w:rPr>
          <w:i/>
        </w:rPr>
        <w:t>Questionnaire</w:t>
      </w:r>
      <w:r w:rsidRPr="00E90F92">
        <w:t>.</w:t>
      </w:r>
      <w:proofErr w:type="gramEnd"/>
      <w:r w:rsidRPr="00E90F92">
        <w:t xml:space="preserve"> The first author developed the items in consultation with colleagues (see </w:t>
      </w:r>
      <w:r w:rsidR="00BE7A40" w:rsidRPr="00E90F92">
        <w:fldChar w:fldCharType="begin"/>
      </w:r>
      <w:r w:rsidRPr="00E90F92">
        <w:instrText xml:space="preserve"> REF _Ref345094323 \h </w:instrText>
      </w:r>
      <w:r w:rsidR="00BE7A40" w:rsidRPr="00E90F92">
        <w:fldChar w:fldCharType="separate"/>
      </w:r>
      <w:r w:rsidRPr="00E90F92">
        <w:t xml:space="preserve">Table </w:t>
      </w:r>
      <w:r>
        <w:rPr>
          <w:noProof/>
        </w:rPr>
        <w:t>2</w:t>
      </w:r>
      <w:r w:rsidR="00BE7A40" w:rsidRPr="00E90F92">
        <w:fldChar w:fldCharType="end"/>
      </w:r>
      <w:r w:rsidRPr="00E90F92">
        <w:t xml:space="preserve">). Respondents rated each item on a 5-point </w:t>
      </w:r>
      <w:proofErr w:type="spellStart"/>
      <w:r w:rsidRPr="00E90F92">
        <w:t>Likert</w:t>
      </w:r>
      <w:proofErr w:type="spellEnd"/>
      <w:r w:rsidRPr="00E90F92">
        <w:t xml:space="preserve"> scale (</w:t>
      </w:r>
      <w:r w:rsidRPr="00E90F92">
        <w:rPr>
          <w:i/>
        </w:rPr>
        <w:t>Agree</w:t>
      </w:r>
      <w:r w:rsidRPr="00E90F92">
        <w:t xml:space="preserve">, </w:t>
      </w:r>
      <w:r w:rsidRPr="00E90F92">
        <w:rPr>
          <w:i/>
        </w:rPr>
        <w:t>Agree somewhat</w:t>
      </w:r>
      <w:r w:rsidRPr="00E90F92">
        <w:t xml:space="preserve">, </w:t>
      </w:r>
      <w:r w:rsidRPr="00E90F92">
        <w:rPr>
          <w:i/>
        </w:rPr>
        <w:t>Not sure</w:t>
      </w:r>
      <w:r w:rsidRPr="00E90F92">
        <w:t xml:space="preserve">, </w:t>
      </w:r>
      <w:r w:rsidRPr="00E90F92">
        <w:rPr>
          <w:i/>
        </w:rPr>
        <w:t>Disagree somewhat</w:t>
      </w:r>
      <w:r w:rsidRPr="00E90F92">
        <w:t xml:space="preserve">, </w:t>
      </w:r>
      <w:r w:rsidRPr="00E90F92">
        <w:rPr>
          <w:i/>
        </w:rPr>
        <w:t>Disagree</w:t>
      </w:r>
      <w:r w:rsidRPr="00E90F92">
        <w:t>).</w:t>
      </w:r>
      <w:r w:rsidR="00A7450C">
        <w:t xml:space="preserve"> A number of pilot studies were conducted to test and refine the questionnaire.</w:t>
      </w:r>
      <w:r w:rsidRPr="00E90F92">
        <w:t xml:space="preserve"> Some participants did not have a clear idea of what was meant by mental silence. To address this problem, an </w:t>
      </w:r>
      <w:r w:rsidR="00F440E2" w:rsidRPr="00E90F92">
        <w:t>80-word</w:t>
      </w:r>
      <w:r w:rsidRPr="00E90F92">
        <w:t xml:space="preserve"> description of mental silence was developed with an accompanying animated illustration. There was a suspicion that some participants would find it socially desirable to exaggerate their familiarity with mental silence. To reduce demand characteristics, the items were embedded in a larger questionnaire investigating the extremes of the subjective passage of time. Boredom was presented as an opposite to mental silence. </w:t>
      </w:r>
      <w:r w:rsidR="00F440E2" w:rsidRPr="00E90F92">
        <w:t>Participants were</w:t>
      </w:r>
      <w:r w:rsidRPr="00E90F92">
        <w:t xml:space="preserve"> asked to rate the frequency of their experience of mental silence and boredom in various contexts.</w:t>
      </w:r>
    </w:p>
    <w:p w:rsidR="004C248B" w:rsidRPr="00E90F92" w:rsidRDefault="004C248B" w:rsidP="004C248B">
      <w:pPr>
        <w:pStyle w:val="BodyTextIndent"/>
        <w:ind w:firstLine="284"/>
      </w:pPr>
    </w:p>
    <w:p w:rsidR="004C248B" w:rsidRPr="00E90F92" w:rsidRDefault="004C248B" w:rsidP="004C248B">
      <w:pPr>
        <w:pStyle w:val="Caption"/>
        <w:keepNext/>
      </w:pPr>
      <w:bookmarkStart w:id="2" w:name="_Ref345094323"/>
      <w:r w:rsidRPr="00E90F92">
        <w:t xml:space="preserve">Table </w:t>
      </w:r>
      <w:r w:rsidR="00BE7A40" w:rsidRPr="00E90F92">
        <w:fldChar w:fldCharType="begin"/>
      </w:r>
      <w:r w:rsidRPr="00E90F92">
        <w:instrText xml:space="preserve"> SEQ Table \* ARABIC </w:instrText>
      </w:r>
      <w:r w:rsidR="00BE7A40" w:rsidRPr="00E90F92">
        <w:fldChar w:fldCharType="separate"/>
      </w:r>
      <w:r>
        <w:rPr>
          <w:noProof/>
        </w:rPr>
        <w:t>2</w:t>
      </w:r>
      <w:r w:rsidR="00BE7A40" w:rsidRPr="00E90F92">
        <w:fldChar w:fldCharType="end"/>
      </w:r>
      <w:bookmarkEnd w:id="2"/>
      <w:r w:rsidRPr="00E90F92">
        <w:t>: Scale items</w:t>
      </w:r>
    </w:p>
    <w:tbl>
      <w:tblPr>
        <w:tblW w:w="0" w:type="auto"/>
        <w:tblLook w:val="04A0" w:firstRow="1" w:lastRow="0" w:firstColumn="1" w:lastColumn="0" w:noHBand="0" w:noVBand="1"/>
      </w:tblPr>
      <w:tblGrid>
        <w:gridCol w:w="918"/>
        <w:gridCol w:w="5988"/>
      </w:tblGrid>
      <w:tr w:rsidR="004C248B" w:rsidRPr="00E90F92">
        <w:tc>
          <w:tcPr>
            <w:tcW w:w="918" w:type="dxa"/>
            <w:tcBorders>
              <w:top w:val="single" w:sz="4" w:space="0" w:color="auto"/>
              <w:bottom w:val="single" w:sz="4" w:space="0" w:color="auto"/>
            </w:tcBorders>
            <w:shd w:val="clear" w:color="auto" w:fill="auto"/>
          </w:tcPr>
          <w:p w:rsidR="004C248B" w:rsidRPr="00E90F92" w:rsidRDefault="004C248B" w:rsidP="00F440E2">
            <w:pPr>
              <w:pStyle w:val="BodyTextIndent"/>
              <w:ind w:firstLine="0"/>
            </w:pPr>
            <w:r w:rsidRPr="00E90F92">
              <w:t>ID</w:t>
            </w:r>
          </w:p>
        </w:tc>
        <w:tc>
          <w:tcPr>
            <w:tcW w:w="5988" w:type="dxa"/>
            <w:tcBorders>
              <w:top w:val="single" w:sz="4" w:space="0" w:color="auto"/>
              <w:bottom w:val="single" w:sz="4" w:space="0" w:color="auto"/>
            </w:tcBorders>
            <w:shd w:val="clear" w:color="auto" w:fill="auto"/>
          </w:tcPr>
          <w:p w:rsidR="004C248B" w:rsidRPr="00E90F92" w:rsidRDefault="004C248B" w:rsidP="00F440E2">
            <w:pPr>
              <w:pStyle w:val="BodyTextIndent"/>
              <w:ind w:firstLine="0"/>
            </w:pPr>
            <w:r w:rsidRPr="00E90F92">
              <w:t>Item</w:t>
            </w:r>
          </w:p>
        </w:tc>
      </w:tr>
      <w:tr w:rsidR="004C248B" w:rsidRPr="00E90F92">
        <w:tc>
          <w:tcPr>
            <w:tcW w:w="918" w:type="dxa"/>
            <w:tcBorders>
              <w:top w:val="single" w:sz="4" w:space="0" w:color="auto"/>
            </w:tcBorders>
            <w:shd w:val="clear" w:color="auto" w:fill="auto"/>
          </w:tcPr>
          <w:p w:rsidR="004C248B" w:rsidRPr="00E90F92" w:rsidRDefault="004C248B" w:rsidP="00F440E2">
            <w:pPr>
              <w:pStyle w:val="BodyTextIndent"/>
              <w:ind w:firstLine="0"/>
            </w:pPr>
            <w:r w:rsidRPr="00E90F92">
              <w:t>NOTA</w:t>
            </w:r>
          </w:p>
        </w:tc>
        <w:tc>
          <w:tcPr>
            <w:tcW w:w="5988" w:type="dxa"/>
            <w:tcBorders>
              <w:top w:val="single" w:sz="4" w:space="0" w:color="auto"/>
            </w:tcBorders>
            <w:shd w:val="clear" w:color="auto" w:fill="auto"/>
          </w:tcPr>
          <w:p w:rsidR="004C248B" w:rsidRPr="00E90F92" w:rsidRDefault="004C248B" w:rsidP="00F440E2">
            <w:pPr>
              <w:pStyle w:val="BodyTextIndent"/>
              <w:ind w:firstLine="0"/>
            </w:pPr>
            <w:r w:rsidRPr="00E90F92">
              <w:t>Complete mental silence is not possible for anybody.</w:t>
            </w:r>
          </w:p>
        </w:tc>
      </w:tr>
      <w:tr w:rsidR="004C248B" w:rsidRPr="00E90F92">
        <w:tc>
          <w:tcPr>
            <w:tcW w:w="918" w:type="dxa"/>
            <w:shd w:val="clear" w:color="auto" w:fill="auto"/>
          </w:tcPr>
          <w:p w:rsidR="004C248B" w:rsidRPr="00E90F92" w:rsidRDefault="004C248B" w:rsidP="00F440E2">
            <w:pPr>
              <w:pStyle w:val="BodyTextIndent"/>
              <w:ind w:firstLine="0"/>
            </w:pPr>
            <w:r w:rsidRPr="00E90F92">
              <w:t>NOTS</w:t>
            </w:r>
          </w:p>
        </w:tc>
        <w:tc>
          <w:tcPr>
            <w:tcW w:w="5988" w:type="dxa"/>
            <w:shd w:val="clear" w:color="auto" w:fill="auto"/>
          </w:tcPr>
          <w:p w:rsidR="004C248B" w:rsidRPr="00E90F92" w:rsidRDefault="004C248B" w:rsidP="00F440E2">
            <w:pPr>
              <w:pStyle w:val="BodyTextIndent"/>
              <w:ind w:firstLine="0"/>
            </w:pPr>
            <w:r w:rsidRPr="00E90F92">
              <w:t xml:space="preserve">Complete mental silence is not possible for </w:t>
            </w:r>
            <w:proofErr w:type="gramStart"/>
            <w:r w:rsidRPr="00E90F92">
              <w:t>myself</w:t>
            </w:r>
            <w:proofErr w:type="gramEnd"/>
            <w:r w:rsidRPr="00E90F92">
              <w:t>.</w:t>
            </w:r>
          </w:p>
        </w:tc>
      </w:tr>
      <w:tr w:rsidR="004C248B" w:rsidRPr="00E90F92">
        <w:tc>
          <w:tcPr>
            <w:tcW w:w="918" w:type="dxa"/>
            <w:shd w:val="clear" w:color="auto" w:fill="auto"/>
          </w:tcPr>
          <w:p w:rsidR="004C248B" w:rsidRPr="00E90F92" w:rsidRDefault="004C248B" w:rsidP="00F440E2">
            <w:pPr>
              <w:pStyle w:val="BodyTextIndent"/>
              <w:ind w:firstLine="0"/>
            </w:pPr>
            <w:r w:rsidRPr="00E90F92">
              <w:t>MET</w:t>
            </w:r>
          </w:p>
        </w:tc>
        <w:tc>
          <w:tcPr>
            <w:tcW w:w="5988" w:type="dxa"/>
            <w:shd w:val="clear" w:color="auto" w:fill="auto"/>
          </w:tcPr>
          <w:p w:rsidR="004C248B" w:rsidRPr="00E90F92" w:rsidRDefault="004C248B" w:rsidP="00F440E2">
            <w:pPr>
              <w:pStyle w:val="BodyTextIndent"/>
              <w:ind w:firstLine="0"/>
            </w:pPr>
            <w:r w:rsidRPr="00E90F92">
              <w:t>I have met, in person, someone who is convincingly familiar with complete mental silence.</w:t>
            </w:r>
          </w:p>
        </w:tc>
      </w:tr>
      <w:tr w:rsidR="004C248B" w:rsidRPr="00E90F92">
        <w:tc>
          <w:tcPr>
            <w:tcW w:w="918" w:type="dxa"/>
            <w:shd w:val="clear" w:color="auto" w:fill="auto"/>
          </w:tcPr>
          <w:p w:rsidR="004C248B" w:rsidRPr="00E90F92" w:rsidRDefault="004C248B" w:rsidP="00F440E2">
            <w:pPr>
              <w:pStyle w:val="BodyTextIndent"/>
              <w:ind w:firstLine="0"/>
            </w:pPr>
            <w:r w:rsidRPr="00E90F92">
              <w:t>ACCI</w:t>
            </w:r>
          </w:p>
        </w:tc>
        <w:tc>
          <w:tcPr>
            <w:tcW w:w="5988" w:type="dxa"/>
            <w:shd w:val="clear" w:color="auto" w:fill="auto"/>
          </w:tcPr>
          <w:p w:rsidR="004C248B" w:rsidRPr="00E90F92" w:rsidRDefault="004C248B" w:rsidP="00F440E2">
            <w:pPr>
              <w:pStyle w:val="BodyTextIndent"/>
              <w:ind w:firstLine="0"/>
            </w:pPr>
            <w:r w:rsidRPr="00E90F92">
              <w:t>I have experienced complete mental silence accidentally.</w:t>
            </w:r>
          </w:p>
        </w:tc>
      </w:tr>
      <w:tr w:rsidR="004C248B" w:rsidRPr="00E90F92">
        <w:tc>
          <w:tcPr>
            <w:tcW w:w="918" w:type="dxa"/>
            <w:shd w:val="clear" w:color="auto" w:fill="auto"/>
          </w:tcPr>
          <w:p w:rsidR="004C248B" w:rsidRPr="00E90F92" w:rsidRDefault="004C248B" w:rsidP="00F440E2">
            <w:pPr>
              <w:pStyle w:val="BodyTextIndent"/>
              <w:ind w:firstLine="0"/>
            </w:pPr>
            <w:r w:rsidRPr="00E90F92">
              <w:t>SHAR</w:t>
            </w:r>
          </w:p>
        </w:tc>
        <w:tc>
          <w:tcPr>
            <w:tcW w:w="5988" w:type="dxa"/>
            <w:shd w:val="clear" w:color="auto" w:fill="auto"/>
          </w:tcPr>
          <w:p w:rsidR="004C248B" w:rsidRPr="00E90F92" w:rsidRDefault="004C248B" w:rsidP="00F440E2">
            <w:pPr>
              <w:pStyle w:val="BodyTextIndent"/>
              <w:ind w:firstLine="0"/>
            </w:pPr>
            <w:r w:rsidRPr="00E90F92">
              <w:t>I have experienced complete mental silence with others in a shared context.</w:t>
            </w:r>
          </w:p>
        </w:tc>
      </w:tr>
      <w:tr w:rsidR="004C248B" w:rsidRPr="00E90F92">
        <w:tc>
          <w:tcPr>
            <w:tcW w:w="918" w:type="dxa"/>
            <w:shd w:val="clear" w:color="auto" w:fill="auto"/>
          </w:tcPr>
          <w:p w:rsidR="004C248B" w:rsidRPr="00E90F92" w:rsidRDefault="004C248B" w:rsidP="00F440E2">
            <w:pPr>
              <w:pStyle w:val="BodyTextIndent"/>
              <w:ind w:firstLine="0"/>
            </w:pPr>
            <w:r w:rsidRPr="00E90F92">
              <w:lastRenderedPageBreak/>
              <w:t>CAUS</w:t>
            </w:r>
          </w:p>
        </w:tc>
        <w:tc>
          <w:tcPr>
            <w:tcW w:w="5988" w:type="dxa"/>
            <w:shd w:val="clear" w:color="auto" w:fill="auto"/>
          </w:tcPr>
          <w:p w:rsidR="004C248B" w:rsidRPr="00E90F92" w:rsidRDefault="004C248B" w:rsidP="00F440E2">
            <w:pPr>
              <w:pStyle w:val="BodyTextIndent"/>
              <w:ind w:firstLine="0"/>
            </w:pPr>
            <w:r w:rsidRPr="00E90F92">
              <w:t>I can intentionally cause myself to experience complete mental silence.</w:t>
            </w:r>
          </w:p>
        </w:tc>
      </w:tr>
      <w:tr w:rsidR="004C248B" w:rsidRPr="00E90F92">
        <w:tc>
          <w:tcPr>
            <w:tcW w:w="918" w:type="dxa"/>
            <w:shd w:val="clear" w:color="auto" w:fill="auto"/>
          </w:tcPr>
          <w:p w:rsidR="004C248B" w:rsidRPr="00E90F92" w:rsidRDefault="004C248B" w:rsidP="00F440E2">
            <w:pPr>
              <w:pStyle w:val="BodyTextIndent"/>
              <w:ind w:firstLine="0"/>
            </w:pPr>
            <w:r w:rsidRPr="00E90F92">
              <w:t>TEAC</w:t>
            </w:r>
          </w:p>
        </w:tc>
        <w:tc>
          <w:tcPr>
            <w:tcW w:w="5988" w:type="dxa"/>
            <w:shd w:val="clear" w:color="auto" w:fill="auto"/>
          </w:tcPr>
          <w:p w:rsidR="004C248B" w:rsidRPr="00E90F92" w:rsidRDefault="004C248B" w:rsidP="00F440E2">
            <w:pPr>
              <w:pStyle w:val="BodyTextIndent"/>
              <w:ind w:firstLine="0"/>
            </w:pPr>
            <w:r w:rsidRPr="00E90F92">
              <w:t>I am able to teach other people how to experience complete mental silence.</w:t>
            </w:r>
          </w:p>
        </w:tc>
      </w:tr>
      <w:tr w:rsidR="004C248B" w:rsidRPr="00E90F92">
        <w:tc>
          <w:tcPr>
            <w:tcW w:w="918" w:type="dxa"/>
            <w:shd w:val="clear" w:color="auto" w:fill="auto"/>
          </w:tcPr>
          <w:p w:rsidR="004C248B" w:rsidRPr="00E90F92" w:rsidRDefault="004C248B" w:rsidP="00F440E2">
            <w:pPr>
              <w:pStyle w:val="BodyTextIndent"/>
              <w:ind w:firstLine="0"/>
            </w:pPr>
            <w:r w:rsidRPr="00E90F92">
              <w:t>EVER</w:t>
            </w:r>
          </w:p>
        </w:tc>
        <w:tc>
          <w:tcPr>
            <w:tcW w:w="5988" w:type="dxa"/>
            <w:shd w:val="clear" w:color="auto" w:fill="auto"/>
          </w:tcPr>
          <w:p w:rsidR="004C248B" w:rsidRPr="00E90F92" w:rsidRDefault="004C248B" w:rsidP="00F440E2">
            <w:pPr>
              <w:pStyle w:val="BodyTextIndent"/>
              <w:ind w:firstLine="0"/>
            </w:pPr>
            <w:r w:rsidRPr="00E90F92">
              <w:t>I believe that complete mental silence is possible for everybody.</w:t>
            </w:r>
          </w:p>
        </w:tc>
      </w:tr>
      <w:tr w:rsidR="004C248B" w:rsidRPr="00E90F92">
        <w:tc>
          <w:tcPr>
            <w:tcW w:w="918" w:type="dxa"/>
            <w:shd w:val="clear" w:color="auto" w:fill="auto"/>
          </w:tcPr>
          <w:p w:rsidR="004C248B" w:rsidRPr="00E90F92" w:rsidRDefault="004C248B" w:rsidP="00F440E2">
            <w:pPr>
              <w:pStyle w:val="BodyTextIndent"/>
              <w:ind w:firstLine="0"/>
            </w:pPr>
            <w:r w:rsidRPr="00E90F92">
              <w:t>PAY</w:t>
            </w:r>
          </w:p>
        </w:tc>
        <w:tc>
          <w:tcPr>
            <w:tcW w:w="5988" w:type="dxa"/>
            <w:shd w:val="clear" w:color="auto" w:fill="auto"/>
          </w:tcPr>
          <w:p w:rsidR="004C248B" w:rsidRPr="00E90F92" w:rsidRDefault="004C248B" w:rsidP="00F440E2">
            <w:pPr>
              <w:pStyle w:val="BodyTextIndent"/>
              <w:ind w:firstLine="0"/>
            </w:pPr>
            <w:r w:rsidRPr="00E90F92">
              <w:t>It is ethical to pay money in exchange for learning how to cause myself to experience complete mental silence.</w:t>
            </w:r>
          </w:p>
        </w:tc>
      </w:tr>
      <w:tr w:rsidR="004C248B" w:rsidRPr="00E90F92">
        <w:tc>
          <w:tcPr>
            <w:tcW w:w="918" w:type="dxa"/>
            <w:tcBorders>
              <w:bottom w:val="single" w:sz="4" w:space="0" w:color="auto"/>
            </w:tcBorders>
            <w:shd w:val="clear" w:color="auto" w:fill="auto"/>
          </w:tcPr>
          <w:p w:rsidR="004C248B" w:rsidRPr="00E90F92" w:rsidRDefault="004C248B" w:rsidP="00F440E2">
            <w:pPr>
              <w:pStyle w:val="BodyTextIndent"/>
              <w:ind w:firstLine="0"/>
            </w:pPr>
            <w:r w:rsidRPr="00E90F92">
              <w:t>TT</w:t>
            </w:r>
          </w:p>
        </w:tc>
        <w:tc>
          <w:tcPr>
            <w:tcW w:w="5988" w:type="dxa"/>
            <w:tcBorders>
              <w:bottom w:val="single" w:sz="4" w:space="0" w:color="auto"/>
            </w:tcBorders>
            <w:shd w:val="clear" w:color="auto" w:fill="auto"/>
          </w:tcPr>
          <w:p w:rsidR="004C248B" w:rsidRPr="00E90F92" w:rsidRDefault="004C248B" w:rsidP="00F440E2">
            <w:pPr>
              <w:pStyle w:val="BodyTextIndent"/>
              <w:ind w:firstLine="0"/>
            </w:pPr>
            <w:r w:rsidRPr="00E90F92">
              <w:t>I know how to train teachers who can teach people how to experience complete mental silence.</w:t>
            </w:r>
          </w:p>
        </w:tc>
      </w:tr>
    </w:tbl>
    <w:p w:rsidR="004C248B" w:rsidRPr="00E90F92" w:rsidRDefault="004C248B" w:rsidP="004C248B">
      <w:pPr>
        <w:pStyle w:val="BodyTextIndent"/>
        <w:ind w:firstLine="284"/>
      </w:pPr>
    </w:p>
    <w:p w:rsidR="004C248B" w:rsidRPr="00E90F92" w:rsidRDefault="004C248B" w:rsidP="004C248B">
      <w:pPr>
        <w:pStyle w:val="BodyTextIndent"/>
        <w:ind w:firstLine="0"/>
        <w:rPr>
          <w:b/>
        </w:rPr>
      </w:pPr>
      <w:r w:rsidRPr="00E90F92">
        <w:rPr>
          <w:b/>
        </w:rPr>
        <w:t>3. Results and Discussion</w:t>
      </w:r>
    </w:p>
    <w:p w:rsidR="004C248B" w:rsidRPr="00E90F92" w:rsidRDefault="004C248B" w:rsidP="004C248B">
      <w:pPr>
        <w:ind w:firstLine="284"/>
        <w:jc w:val="both"/>
        <w:rPr>
          <w:color w:val="000000"/>
          <w:sz w:val="20"/>
        </w:rPr>
      </w:pPr>
      <w:r w:rsidRPr="00E90F92">
        <w:rPr>
          <w:color w:val="000000"/>
          <w:sz w:val="20"/>
        </w:rPr>
        <w:t>O</w:t>
      </w:r>
      <w:r w:rsidR="00F440E2">
        <w:rPr>
          <w:color w:val="000000"/>
          <w:sz w:val="20"/>
        </w:rPr>
        <w:t>f the 932 participants, 126 (14 per cent</w:t>
      </w:r>
      <w:r w:rsidRPr="00E90F92">
        <w:rPr>
          <w:color w:val="000000"/>
          <w:sz w:val="20"/>
        </w:rPr>
        <w:t>) were excluded due to missing data. All items were fit to the Generalized Partial Credit Model (GPCM) with standard Gauss-</w:t>
      </w:r>
      <w:proofErr w:type="spellStart"/>
      <w:r w:rsidRPr="00E90F92">
        <w:rPr>
          <w:color w:val="000000"/>
          <w:sz w:val="20"/>
        </w:rPr>
        <w:t>Hermite</w:t>
      </w:r>
      <w:proofErr w:type="spellEnd"/>
      <w:r w:rsidRPr="00E90F92">
        <w:rPr>
          <w:color w:val="000000"/>
          <w:sz w:val="20"/>
        </w:rPr>
        <w:t xml:space="preserve"> quadrature of 30 points and a lognormal prior for the discrimination parameters using </w:t>
      </w:r>
      <w:proofErr w:type="spellStart"/>
      <w:r w:rsidRPr="00E90F92">
        <w:rPr>
          <w:color w:val="000000"/>
          <w:sz w:val="20"/>
        </w:rPr>
        <w:t>Parscale</w:t>
      </w:r>
      <w:proofErr w:type="spellEnd"/>
      <w:r w:rsidRPr="00E90F92">
        <w:rPr>
          <w:color w:val="000000"/>
          <w:sz w:val="20"/>
        </w:rPr>
        <w:t xml:space="preserve"> 4.1.2328.4 (an implementation of the marginal maximum likelihood estimation method),</w:t>
      </w:r>
      <w:r w:rsidRPr="00E90F92">
        <w:rPr>
          <w:rStyle w:val="EndnoteReference"/>
          <w:color w:val="000000"/>
          <w:sz w:val="20"/>
        </w:rPr>
        <w:endnoteReference w:id="11"/>
      </w:r>
      <w:r w:rsidRPr="00E90F92">
        <w:rPr>
          <w:color w:val="000000"/>
          <w:sz w:val="20"/>
        </w:rPr>
        <w:t xml:space="preserve"> -2 log likelihood = 20816.14, </w:t>
      </w:r>
      <w:r w:rsidRPr="00E90F92">
        <w:rPr>
          <w:i/>
          <w:color w:val="000000"/>
          <w:sz w:val="20"/>
        </w:rPr>
        <w:t>Χ</w:t>
      </w:r>
      <w:r w:rsidRPr="00E90F92">
        <w:rPr>
          <w:i/>
          <w:color w:val="000000"/>
          <w:sz w:val="20"/>
          <w:vertAlign w:val="superscript"/>
        </w:rPr>
        <w:t>2</w:t>
      </w:r>
      <w:r w:rsidRPr="00E90F92">
        <w:rPr>
          <w:color w:val="000000"/>
          <w:sz w:val="20"/>
        </w:rPr>
        <w:t xml:space="preserve">(223) = 681.6, </w:t>
      </w:r>
      <w:r w:rsidRPr="00E90F92">
        <w:rPr>
          <w:i/>
          <w:color w:val="000000"/>
          <w:sz w:val="20"/>
        </w:rPr>
        <w:t>p</w:t>
      </w:r>
      <w:r w:rsidRPr="00E90F92">
        <w:rPr>
          <w:color w:val="000000"/>
          <w:sz w:val="20"/>
        </w:rPr>
        <w:t xml:space="preserve"> ≈ 0. In this context, a significant </w:t>
      </w:r>
      <w:r w:rsidR="00F440E2" w:rsidRPr="00E90F92">
        <w:rPr>
          <w:i/>
          <w:color w:val="000000"/>
          <w:sz w:val="20"/>
        </w:rPr>
        <w:t>Χ</w:t>
      </w:r>
      <w:r w:rsidR="00F440E2" w:rsidRPr="00E90F92">
        <w:rPr>
          <w:i/>
          <w:color w:val="000000"/>
          <w:sz w:val="20"/>
          <w:vertAlign w:val="superscript"/>
        </w:rPr>
        <w:t>2</w:t>
      </w:r>
      <w:r w:rsidR="00F440E2" w:rsidRPr="00E90F92">
        <w:rPr>
          <w:color w:val="000000"/>
          <w:sz w:val="20"/>
        </w:rPr>
        <w:t xml:space="preserve"> test</w:t>
      </w:r>
      <w:r w:rsidRPr="00E90F92">
        <w:rPr>
          <w:color w:val="000000"/>
          <w:sz w:val="20"/>
        </w:rPr>
        <w:t xml:space="preserve"> indicates that the model fit the data poorly. All items were statistically significant at the .05 level except for SHAR, </w:t>
      </w:r>
      <w:proofErr w:type="gramStart"/>
      <w:r w:rsidRPr="00E90F92">
        <w:rPr>
          <w:i/>
          <w:color w:val="000000"/>
          <w:sz w:val="20"/>
        </w:rPr>
        <w:t>Χ</w:t>
      </w:r>
      <w:r w:rsidRPr="00E90F92">
        <w:rPr>
          <w:i/>
          <w:color w:val="000000"/>
          <w:sz w:val="20"/>
          <w:vertAlign w:val="superscript"/>
        </w:rPr>
        <w:t>2</w:t>
      </w:r>
      <w:r w:rsidRPr="00E90F92">
        <w:rPr>
          <w:color w:val="000000"/>
          <w:sz w:val="20"/>
        </w:rPr>
        <w:t>(</w:t>
      </w:r>
      <w:proofErr w:type="gramEnd"/>
      <w:r w:rsidRPr="00E90F92">
        <w:rPr>
          <w:color w:val="000000"/>
          <w:sz w:val="20"/>
        </w:rPr>
        <w:t xml:space="preserve">18), p = .092. Item </w:t>
      </w:r>
      <w:r w:rsidR="00F440E2" w:rsidRPr="00E90F92">
        <w:rPr>
          <w:i/>
          <w:color w:val="000000"/>
          <w:sz w:val="20"/>
        </w:rPr>
        <w:t>Χ</w:t>
      </w:r>
      <w:r w:rsidR="00F440E2" w:rsidRPr="00E90F92">
        <w:rPr>
          <w:i/>
          <w:color w:val="000000"/>
          <w:sz w:val="20"/>
          <w:vertAlign w:val="superscript"/>
        </w:rPr>
        <w:t>2</w:t>
      </w:r>
      <w:r w:rsidR="00F440E2" w:rsidRPr="00E90F92">
        <w:rPr>
          <w:color w:val="000000"/>
          <w:sz w:val="20"/>
        </w:rPr>
        <w:t xml:space="preserve"> statistics</w:t>
      </w:r>
      <w:r w:rsidRPr="00E90F92">
        <w:rPr>
          <w:color w:val="000000"/>
          <w:sz w:val="20"/>
        </w:rPr>
        <w:t xml:space="preserve"> ranged from</w:t>
      </w:r>
      <w:r w:rsidR="00F440E2">
        <w:rPr>
          <w:color w:val="000000"/>
          <w:sz w:val="20"/>
        </w:rPr>
        <w:t xml:space="preserve"> 26 (SHAR) to 167 (PAY) with 50 per cent</w:t>
      </w:r>
      <w:r w:rsidRPr="00E90F92">
        <w:rPr>
          <w:color w:val="000000"/>
          <w:sz w:val="20"/>
        </w:rPr>
        <w:t xml:space="preserve"> of the statistics between 44 (TT) and 76 (NOTA). Item locati</w:t>
      </w:r>
      <w:r w:rsidRPr="00A7450C">
        <w:rPr>
          <w:color w:val="000000"/>
          <w:sz w:val="20"/>
        </w:rPr>
        <w:t xml:space="preserve">on </w:t>
      </w:r>
      <w:r w:rsidR="00A7450C" w:rsidRPr="00A7450C">
        <w:rPr>
          <w:color w:val="000000"/>
          <w:sz w:val="20"/>
        </w:rPr>
        <w:t>standard errors</w:t>
      </w:r>
      <w:r w:rsidRPr="00A7450C">
        <w:rPr>
          <w:color w:val="000000"/>
          <w:sz w:val="20"/>
        </w:rPr>
        <w:t xml:space="preserve"> </w:t>
      </w:r>
      <w:r w:rsidR="00A7450C">
        <w:rPr>
          <w:color w:val="000000"/>
          <w:sz w:val="20"/>
        </w:rPr>
        <w:t>(</w:t>
      </w:r>
      <w:r w:rsidR="00A7450C" w:rsidRPr="00A7450C">
        <w:rPr>
          <w:i/>
          <w:color w:val="000000"/>
          <w:sz w:val="20"/>
        </w:rPr>
        <w:t>SE</w:t>
      </w:r>
      <w:r w:rsidR="00A7450C">
        <w:rPr>
          <w:color w:val="000000"/>
          <w:sz w:val="20"/>
        </w:rPr>
        <w:t xml:space="preserve">s) </w:t>
      </w:r>
      <w:r w:rsidRPr="00E90F92">
        <w:rPr>
          <w:color w:val="000000"/>
          <w:sz w:val="20"/>
        </w:rPr>
        <w:t>ranged from 0.039 to 1.134 with 50</w:t>
      </w:r>
      <w:r w:rsidR="00F440E2">
        <w:rPr>
          <w:color w:val="000000"/>
          <w:sz w:val="20"/>
        </w:rPr>
        <w:t xml:space="preserve"> per cent</w:t>
      </w:r>
      <w:r w:rsidRPr="00E90F92">
        <w:rPr>
          <w:color w:val="000000"/>
          <w:sz w:val="20"/>
        </w:rPr>
        <w:t xml:space="preserve"> between 0.059 and 0.175 and the median at 0.116. Item discrimination </w:t>
      </w:r>
      <w:r w:rsidRPr="00E90F92">
        <w:rPr>
          <w:i/>
          <w:color w:val="000000"/>
          <w:sz w:val="20"/>
        </w:rPr>
        <w:t>SE</w:t>
      </w:r>
      <w:r w:rsidRPr="00E90F92">
        <w:rPr>
          <w:color w:val="000000"/>
          <w:sz w:val="20"/>
        </w:rPr>
        <w:t>s ranged from 0.007 to 0.127 with 50</w:t>
      </w:r>
      <w:r w:rsidR="00F440E2">
        <w:rPr>
          <w:color w:val="000000"/>
          <w:sz w:val="20"/>
        </w:rPr>
        <w:t xml:space="preserve"> per cent</w:t>
      </w:r>
      <w:r w:rsidRPr="00E90F92">
        <w:rPr>
          <w:color w:val="000000"/>
          <w:sz w:val="20"/>
        </w:rPr>
        <w:t xml:space="preserve"> between 0.021 and 0.054 and the median at 0.038</w:t>
      </w:r>
      <w:r w:rsidR="008B1476">
        <w:rPr>
          <w:color w:val="000000"/>
          <w:sz w:val="20"/>
        </w:rPr>
        <w:t>.</w:t>
      </w:r>
    </w:p>
    <w:p w:rsidR="004C248B" w:rsidRPr="00E90F92" w:rsidRDefault="00440EF8" w:rsidP="004C248B">
      <w:pPr>
        <w:keepNext/>
        <w:ind w:firstLine="284"/>
        <w:jc w:val="both"/>
      </w:pPr>
      <w:r>
        <w:rPr>
          <w:noProof/>
        </w:rPr>
        <w:pict>
          <v:shape id="_x0000_s1037" type="#_x0000_t202" style="position:absolute;left:0;text-align:left;margin-left:1.1pt;margin-top:119.4pt;width:334.3pt;height:46pt;z-index:251671552;mso-position-horizontal-relative:text;mso-position-vertical-relative:text" stroked="f">
            <v:textbox style="mso-fit-shape-to-text:t" inset="0,0,0,0">
              <w:txbxContent>
                <w:p w:rsidR="00C96CA2" w:rsidRPr="00AD1C9A" w:rsidRDefault="00C96CA2" w:rsidP="00C96CA2">
                  <w:pPr>
                    <w:pStyle w:val="Caption"/>
                    <w:rPr>
                      <w:noProof/>
                      <w:sz w:val="24"/>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68391D">
                    <w:t xml:space="preserve">Item and total </w:t>
                  </w:r>
                  <w:r>
                    <w:t xml:space="preserve">Fisher information are given on the left. The highest curve is the sum of the shorter per-item curves. Information is the precision of measurement. On the right, exhibited are </w:t>
                  </w:r>
                  <w:r w:rsidRPr="0068391D">
                    <w:t>participant scores by recruitment method.</w:t>
                  </w:r>
                </w:p>
              </w:txbxContent>
            </v:textbox>
            <w10:wrap type="square"/>
          </v:shape>
        </w:pict>
      </w:r>
      <w:r w:rsidR="004C248B">
        <w:rPr>
          <w:noProof/>
          <w:lang w:val="en-US"/>
        </w:rPr>
        <w:drawing>
          <wp:anchor distT="0" distB="0" distL="114300" distR="114300" simplePos="0" relativeHeight="251662336" behindDoc="0" locked="0" layoutInCell="1" allowOverlap="1" wp14:anchorId="3EE2D96E" wp14:editId="1FBC324C">
            <wp:simplePos x="0" y="0"/>
            <wp:positionH relativeFrom="column">
              <wp:align>center</wp:align>
            </wp:positionH>
            <wp:positionV relativeFrom="paragraph">
              <wp:posOffset>0</wp:posOffset>
            </wp:positionV>
            <wp:extent cx="4245610" cy="1484630"/>
            <wp:effectExtent l="25400" t="0" r="0" b="0"/>
            <wp:wrapSquare wrapText="bothSides"/>
            <wp:docPr id="4" name="Picture 4" descr="summary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mmaryplot"/>
                    <pic:cNvPicPr>
                      <a:picLocks noChangeAspect="1" noChangeArrowheads="1"/>
                    </pic:cNvPicPr>
                  </pic:nvPicPr>
                  <pic:blipFill>
                    <a:blip r:embed="rId10"/>
                    <a:srcRect/>
                    <a:stretch>
                      <a:fillRect/>
                    </a:stretch>
                  </pic:blipFill>
                  <pic:spPr bwMode="auto">
                    <a:xfrm>
                      <a:off x="0" y="0"/>
                      <a:ext cx="4245610" cy="1484630"/>
                    </a:xfrm>
                    <a:prstGeom prst="rect">
                      <a:avLst/>
                    </a:prstGeom>
                    <a:noFill/>
                    <a:ln w="9525">
                      <a:noFill/>
                      <a:miter lim="800000"/>
                      <a:headEnd/>
                      <a:tailEnd/>
                    </a:ln>
                  </pic:spPr>
                </pic:pic>
              </a:graphicData>
            </a:graphic>
          </wp:anchor>
        </w:drawing>
      </w:r>
    </w:p>
    <w:p w:rsidR="004C248B" w:rsidRPr="008B1476" w:rsidRDefault="00440EF8" w:rsidP="008B1476">
      <w:pPr>
        <w:ind w:firstLine="284"/>
        <w:jc w:val="both"/>
        <w:rPr>
          <w:color w:val="000000"/>
          <w:sz w:val="20"/>
        </w:rPr>
      </w:pPr>
      <w:r>
        <w:rPr>
          <w:noProof/>
        </w:rPr>
        <w:lastRenderedPageBreak/>
        <w:pict>
          <v:shape id="_x0000_s1032" type="#_x0000_t202" style="position:absolute;left:0;text-align:left;margin-left:-1.9pt;margin-top:347.15pt;width:334.3pt;height:25.75pt;z-index:251666432;mso-position-horizontal-relative:text;mso-position-vertical-relative:text" stroked="f">
            <v:textbox style="mso-next-textbox:#_x0000_s1032" inset="0,0,0,7.2pt">
              <w:txbxContent>
                <w:p w:rsidR="00355338" w:rsidRPr="00C94C98" w:rsidRDefault="00355338" w:rsidP="004C248B">
                  <w:pPr>
                    <w:pStyle w:val="Caption"/>
                    <w:rPr>
                      <w:noProof/>
                      <w:sz w:val="24"/>
                    </w:rPr>
                  </w:pPr>
                  <w:bookmarkStart w:id="3" w:name="_Ref365807081"/>
                  <w:r>
                    <w:t xml:space="preserve">Figure </w:t>
                  </w:r>
                  <w:r w:rsidR="00320483">
                    <w:fldChar w:fldCharType="begin"/>
                  </w:r>
                  <w:r w:rsidR="00320483">
                    <w:instrText xml:space="preserve"> SEQ Figure \* ARABIC </w:instrText>
                  </w:r>
                  <w:r w:rsidR="00320483">
                    <w:fldChar w:fldCharType="separate"/>
                  </w:r>
                  <w:r w:rsidR="00C96CA2">
                    <w:rPr>
                      <w:noProof/>
                    </w:rPr>
                    <w:t>4</w:t>
                  </w:r>
                  <w:r w:rsidR="00320483">
                    <w:rPr>
                      <w:noProof/>
                    </w:rPr>
                    <w:fldChar w:fldCharType="end"/>
                  </w:r>
                  <w:bookmarkEnd w:id="3"/>
                  <w:r>
                    <w:t xml:space="preserve">: </w:t>
                  </w:r>
                  <w:r w:rsidR="009F5807">
                    <w:t>Actual</w:t>
                  </w:r>
                  <w:r w:rsidR="009F5807" w:rsidRPr="000D29C8">
                    <w:t xml:space="preserve"> </w:t>
                  </w:r>
                  <w:r w:rsidRPr="000D29C8">
                    <w:t>(left) vs. model predicted (right) response curves for PAY.</w:t>
                  </w:r>
                </w:p>
              </w:txbxContent>
            </v:textbox>
            <w10:wrap type="square"/>
          </v:shape>
        </w:pict>
      </w:r>
      <w:r w:rsidR="00A67427">
        <w:rPr>
          <w:noProof/>
          <w:lang w:val="en-US"/>
        </w:rPr>
        <w:drawing>
          <wp:anchor distT="0" distB="0" distL="114300" distR="114300" simplePos="0" relativeHeight="251667456" behindDoc="0" locked="0" layoutInCell="1" allowOverlap="1" wp14:anchorId="11E23F37" wp14:editId="2F9FDDE6">
            <wp:simplePos x="0" y="0"/>
            <wp:positionH relativeFrom="column">
              <wp:posOffset>-71755</wp:posOffset>
            </wp:positionH>
            <wp:positionV relativeFrom="paragraph">
              <wp:posOffset>2869565</wp:posOffset>
            </wp:positionV>
            <wp:extent cx="4244975" cy="1501775"/>
            <wp:effectExtent l="0" t="0" r="0" b="0"/>
            <wp:wrapSquare wrapText="bothSides"/>
            <wp:docPr id="9" name="Picture 9" descr="pay-d-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y-d-v-m"/>
                    <pic:cNvPicPr>
                      <a:picLocks noChangeAspect="1" noChangeArrowheads="1"/>
                    </pic:cNvPicPr>
                  </pic:nvPicPr>
                  <pic:blipFill>
                    <a:blip r:embed="rId11"/>
                    <a:srcRect/>
                    <a:stretch>
                      <a:fillRect/>
                    </a:stretch>
                  </pic:blipFill>
                  <pic:spPr bwMode="auto">
                    <a:xfrm>
                      <a:off x="0" y="0"/>
                      <a:ext cx="4244975" cy="1501775"/>
                    </a:xfrm>
                    <a:prstGeom prst="rect">
                      <a:avLst/>
                    </a:prstGeom>
                    <a:noFill/>
                    <a:ln w="9525">
                      <a:noFill/>
                      <a:miter lim="800000"/>
                      <a:headEnd/>
                      <a:tailEnd/>
                    </a:ln>
                  </pic:spPr>
                </pic:pic>
              </a:graphicData>
            </a:graphic>
            <wp14:sizeRelV relativeFrom="margin">
              <wp14:pctHeight>0</wp14:pctHeight>
            </wp14:sizeRelV>
          </wp:anchor>
        </w:drawing>
      </w:r>
      <w:r w:rsidR="008B1476" w:rsidRPr="00E90F92">
        <w:rPr>
          <w:sz w:val="20"/>
        </w:rPr>
        <w:t xml:space="preserve">For model identification, participant scores were scaled to the standard normal. </w:t>
      </w:r>
      <w:r w:rsidR="009F5807">
        <w:rPr>
          <w:sz w:val="20"/>
        </w:rPr>
        <w:t>Fisher information describes measurement precision</w:t>
      </w:r>
      <w:r w:rsidR="00A67427">
        <w:rPr>
          <w:sz w:val="20"/>
        </w:rPr>
        <w:t xml:space="preserve"> and </w:t>
      </w:r>
      <w:r w:rsidR="004F2599">
        <w:rPr>
          <w:sz w:val="20"/>
        </w:rPr>
        <w:t>higher</w:t>
      </w:r>
      <w:r w:rsidR="00A67427">
        <w:rPr>
          <w:sz w:val="20"/>
        </w:rPr>
        <w:t xml:space="preserve"> is better</w:t>
      </w:r>
      <w:r w:rsidR="009F5807">
        <w:rPr>
          <w:sz w:val="20"/>
        </w:rPr>
        <w:t xml:space="preserve">. </w:t>
      </w:r>
      <w:r w:rsidR="004C248B" w:rsidRPr="00E90F92">
        <w:rPr>
          <w:sz w:val="20"/>
        </w:rPr>
        <w:t xml:space="preserve">Maximum total </w:t>
      </w:r>
      <w:r w:rsidR="008B1476">
        <w:rPr>
          <w:sz w:val="20"/>
        </w:rPr>
        <w:t xml:space="preserve">Fisher </w:t>
      </w:r>
      <w:r w:rsidR="004C248B" w:rsidRPr="00E90F92">
        <w:rPr>
          <w:sz w:val="20"/>
        </w:rPr>
        <w:t>in</w:t>
      </w:r>
      <w:r w:rsidR="008B1476">
        <w:rPr>
          <w:sz w:val="20"/>
        </w:rPr>
        <w:t xml:space="preserve">formation was located near </w:t>
      </w:r>
      <w:r w:rsidR="007C6D14">
        <w:rPr>
          <w:sz w:val="20"/>
        </w:rPr>
        <w:t xml:space="preserve">a score of </w:t>
      </w:r>
      <w:r w:rsidR="008B1476">
        <w:rPr>
          <w:sz w:val="20"/>
        </w:rPr>
        <w:t>0.4</w:t>
      </w:r>
      <w:r w:rsidR="00C96CA2">
        <w:rPr>
          <w:sz w:val="20"/>
        </w:rPr>
        <w:t xml:space="preserve"> </w:t>
      </w:r>
      <w:r w:rsidR="00C96CA2" w:rsidRPr="00E90F92">
        <w:rPr>
          <w:sz w:val="20"/>
        </w:rPr>
        <w:t>(</w:t>
      </w:r>
      <w:r w:rsidR="00C96CA2">
        <w:fldChar w:fldCharType="begin"/>
      </w:r>
      <w:r w:rsidR="00C96CA2">
        <w:instrText xml:space="preserve"> REF _Ref345095538 \h  \* MERGEFORMAT </w:instrText>
      </w:r>
      <w:r w:rsidR="00C96CA2">
        <w:fldChar w:fldCharType="separate"/>
      </w:r>
      <w:r w:rsidR="00C96CA2" w:rsidRPr="004C248B">
        <w:rPr>
          <w:sz w:val="20"/>
        </w:rPr>
        <w:t>Figure 2</w:t>
      </w:r>
      <w:r w:rsidR="00C96CA2">
        <w:fldChar w:fldCharType="end"/>
      </w:r>
      <w:r w:rsidR="00C96CA2">
        <w:t xml:space="preserve">, </w:t>
      </w:r>
      <w:r w:rsidR="00C96CA2">
        <w:rPr>
          <w:sz w:val="20"/>
        </w:rPr>
        <w:t>left</w:t>
      </w:r>
      <w:r w:rsidR="00C96CA2" w:rsidRPr="00E90F92">
        <w:rPr>
          <w:sz w:val="20"/>
        </w:rPr>
        <w:t>)</w:t>
      </w:r>
      <w:r w:rsidR="008B1476">
        <w:rPr>
          <w:sz w:val="20"/>
        </w:rPr>
        <w:t>.</w:t>
      </w:r>
      <w:r w:rsidR="00A67427">
        <w:rPr>
          <w:sz w:val="20"/>
        </w:rPr>
        <w:t xml:space="preserve"> A potential refinement is to add items to improve measurement of scores less than 0</w:t>
      </w:r>
      <w:r w:rsidR="007C6D14">
        <w:rPr>
          <w:sz w:val="20"/>
        </w:rPr>
        <w:t xml:space="preserve"> (people unfamiliar with mental silence)</w:t>
      </w:r>
      <w:r w:rsidR="00A67427">
        <w:rPr>
          <w:sz w:val="20"/>
        </w:rPr>
        <w:t>.</w:t>
      </w:r>
      <w:r w:rsidR="008B1476" w:rsidRPr="00E90F92">
        <w:rPr>
          <w:color w:val="000000"/>
          <w:sz w:val="20"/>
        </w:rPr>
        <w:t xml:space="preserve"> Person score </w:t>
      </w:r>
      <w:r w:rsidR="008B1476" w:rsidRPr="00E90F92">
        <w:rPr>
          <w:i/>
          <w:color w:val="000000"/>
          <w:sz w:val="20"/>
        </w:rPr>
        <w:t>SE</w:t>
      </w:r>
      <w:r w:rsidR="008B1476" w:rsidRPr="00E90F92">
        <w:rPr>
          <w:color w:val="000000"/>
          <w:sz w:val="20"/>
        </w:rPr>
        <w:t>s ranged from 0.237 to 0.641 with 50</w:t>
      </w:r>
      <w:r w:rsidR="008B1476">
        <w:rPr>
          <w:color w:val="000000"/>
          <w:sz w:val="20"/>
        </w:rPr>
        <w:t xml:space="preserve"> per cent</w:t>
      </w:r>
      <w:r w:rsidR="008B1476" w:rsidRPr="00E90F92">
        <w:rPr>
          <w:color w:val="000000"/>
          <w:sz w:val="20"/>
        </w:rPr>
        <w:t xml:space="preserve"> between 0.243 and 0.356 and the median at 0.276.</w:t>
      </w:r>
      <w:r w:rsidR="008B1476">
        <w:rPr>
          <w:color w:val="000000"/>
          <w:sz w:val="20"/>
        </w:rPr>
        <w:t xml:space="preserve"> </w:t>
      </w:r>
      <w:r w:rsidR="004C248B" w:rsidRPr="00E90F92">
        <w:rPr>
          <w:sz w:val="20"/>
        </w:rPr>
        <w:t>The web group was more familiar with mental silence than were students (</w:t>
      </w:r>
      <w:r w:rsidR="00320483">
        <w:fldChar w:fldCharType="begin"/>
      </w:r>
      <w:r w:rsidR="00320483">
        <w:instrText xml:space="preserve"> REF _Ref345095538 \h  \* MERGEFORMAT </w:instrText>
      </w:r>
      <w:r w:rsidR="00320483">
        <w:fldChar w:fldCharType="separate"/>
      </w:r>
      <w:r w:rsidR="004C248B" w:rsidRPr="004C248B">
        <w:rPr>
          <w:sz w:val="20"/>
        </w:rPr>
        <w:t>Figure 2</w:t>
      </w:r>
      <w:r w:rsidR="00320483">
        <w:fldChar w:fldCharType="end"/>
      </w:r>
      <w:r w:rsidR="00C96CA2">
        <w:t xml:space="preserve">, </w:t>
      </w:r>
      <w:r w:rsidR="00C96CA2" w:rsidRPr="00C96CA2">
        <w:rPr>
          <w:sz w:val="20"/>
        </w:rPr>
        <w:t>right</w:t>
      </w:r>
      <w:r w:rsidR="004C248B" w:rsidRPr="00E90F92">
        <w:rPr>
          <w:sz w:val="20"/>
        </w:rPr>
        <w:t>). However, it should not be inferred that internet users are more familiar with mental silence than college students in general. The web group was not a random sample. The first author set out to recruit people he expected to have higher than average scores. For IRT, it is important to sample the full range of the trait under study.</w:t>
      </w:r>
    </w:p>
    <w:p w:rsidR="004C248B" w:rsidRPr="00E90F92" w:rsidRDefault="00440EF8" w:rsidP="004C248B">
      <w:pPr>
        <w:ind w:firstLine="284"/>
        <w:jc w:val="both"/>
        <w:rPr>
          <w:sz w:val="20"/>
        </w:rPr>
      </w:pPr>
      <w:r>
        <w:rPr>
          <w:noProof/>
        </w:rPr>
        <w:pict>
          <v:shape id="_x0000_s1031" type="#_x0000_t202" style="position:absolute;left:0;text-align:left;margin-left:2.8pt;margin-top:78.4pt;width:334.3pt;height:23pt;z-index:251665408;mso-position-horizontal-relative:text;mso-position-vertical-relative:text" stroked="f">
            <v:textbox style="mso-next-textbox:#_x0000_s1031;mso-fit-shape-to-text:t" inset="0,0,0,0">
              <w:txbxContent>
                <w:p w:rsidR="00355338" w:rsidRPr="001D1F9B" w:rsidRDefault="00355338" w:rsidP="004C248B">
                  <w:pPr>
                    <w:pStyle w:val="Caption"/>
                    <w:rPr>
                      <w:noProof/>
                      <w:sz w:val="24"/>
                    </w:rPr>
                  </w:pPr>
                  <w:bookmarkStart w:id="4" w:name="_Ref345095856"/>
                  <w:r>
                    <w:t xml:space="preserve">Figure </w:t>
                  </w:r>
                  <w:r w:rsidR="00320483">
                    <w:fldChar w:fldCharType="begin"/>
                  </w:r>
                  <w:r w:rsidR="00320483">
                    <w:instrText xml:space="preserve"> SEQ Figure \* ARABIC </w:instrText>
                  </w:r>
                  <w:r w:rsidR="00320483">
                    <w:fldChar w:fldCharType="separate"/>
                  </w:r>
                  <w:r w:rsidR="00C96CA2">
                    <w:rPr>
                      <w:noProof/>
                    </w:rPr>
                    <w:t>3</w:t>
                  </w:r>
                  <w:r w:rsidR="00320483">
                    <w:rPr>
                      <w:noProof/>
                    </w:rPr>
                    <w:fldChar w:fldCharType="end"/>
                  </w:r>
                  <w:bookmarkEnd w:id="4"/>
                  <w:r>
                    <w:t xml:space="preserve">: </w:t>
                  </w:r>
                  <w:r w:rsidR="009F5807">
                    <w:t>Actual</w:t>
                  </w:r>
                  <w:r w:rsidR="009F5807" w:rsidRPr="00B20C8E">
                    <w:t xml:space="preserve"> </w:t>
                  </w:r>
                  <w:r w:rsidRPr="00B20C8E">
                    <w:t>(left) vs. model predicted (right) response curves for SHAR.</w:t>
                  </w:r>
                </w:p>
              </w:txbxContent>
            </v:textbox>
            <w10:wrap type="square"/>
          </v:shape>
        </w:pict>
      </w:r>
      <w:r w:rsidR="004C248B">
        <w:rPr>
          <w:noProof/>
          <w:lang w:val="en-US"/>
        </w:rPr>
        <w:drawing>
          <wp:anchor distT="0" distB="0" distL="114300" distR="114300" simplePos="0" relativeHeight="251664384" behindDoc="0" locked="0" layoutInCell="1" allowOverlap="1" wp14:anchorId="74EEA816" wp14:editId="02B33ACC">
            <wp:simplePos x="0" y="0"/>
            <wp:positionH relativeFrom="column">
              <wp:posOffset>0</wp:posOffset>
            </wp:positionH>
            <wp:positionV relativeFrom="paragraph">
              <wp:posOffset>-596265</wp:posOffset>
            </wp:positionV>
            <wp:extent cx="4245610" cy="1484630"/>
            <wp:effectExtent l="25400" t="0" r="0" b="0"/>
            <wp:wrapSquare wrapText="bothSides"/>
            <wp:docPr id="6" name="Picture 6" descr="shar-d-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ar-d-v-m"/>
                    <pic:cNvPicPr>
                      <a:picLocks noChangeAspect="1" noChangeArrowheads="1"/>
                    </pic:cNvPicPr>
                  </pic:nvPicPr>
                  <pic:blipFill>
                    <a:blip r:embed="rId12"/>
                    <a:srcRect/>
                    <a:stretch>
                      <a:fillRect/>
                    </a:stretch>
                  </pic:blipFill>
                  <pic:spPr bwMode="auto">
                    <a:xfrm>
                      <a:off x="0" y="0"/>
                      <a:ext cx="4245610" cy="1484630"/>
                    </a:xfrm>
                    <a:prstGeom prst="rect">
                      <a:avLst/>
                    </a:prstGeom>
                    <a:noFill/>
                    <a:ln w="9525">
                      <a:noFill/>
                      <a:miter lim="800000"/>
                      <a:headEnd/>
                      <a:tailEnd/>
                    </a:ln>
                  </pic:spPr>
                </pic:pic>
              </a:graphicData>
            </a:graphic>
          </wp:anchor>
        </w:drawing>
      </w:r>
      <w:r w:rsidR="004C248B" w:rsidRPr="00E90F92">
        <w:rPr>
          <w:sz w:val="20"/>
        </w:rPr>
        <w:t xml:space="preserve">One way to gain insight into an IRT model is to compare the predicted model curves to </w:t>
      </w:r>
      <w:r w:rsidR="009F5807">
        <w:rPr>
          <w:sz w:val="20"/>
        </w:rPr>
        <w:t>actual</w:t>
      </w:r>
      <w:r w:rsidR="009F5807" w:rsidRPr="00E90F92">
        <w:rPr>
          <w:sz w:val="20"/>
        </w:rPr>
        <w:t xml:space="preserve"> </w:t>
      </w:r>
      <w:r w:rsidR="004C248B" w:rsidRPr="00E90F92">
        <w:rPr>
          <w:sz w:val="20"/>
        </w:rPr>
        <w:t xml:space="preserve">responses. </w:t>
      </w:r>
      <w:r w:rsidR="0009071F" w:rsidRPr="00E90F92">
        <w:rPr>
          <w:sz w:val="20"/>
        </w:rPr>
        <w:t xml:space="preserve">In </w:t>
      </w:r>
      <w:r w:rsidR="0009071F">
        <w:fldChar w:fldCharType="begin"/>
      </w:r>
      <w:r w:rsidR="0009071F">
        <w:instrText xml:space="preserve"> REF _Ref345095856 \h  \* MERGEFORMAT </w:instrText>
      </w:r>
      <w:r w:rsidR="0009071F">
        <w:fldChar w:fldCharType="separate"/>
      </w:r>
      <w:r w:rsidR="0009071F" w:rsidRPr="004C248B">
        <w:rPr>
          <w:sz w:val="20"/>
        </w:rPr>
        <w:t>Figure 3</w:t>
      </w:r>
      <w:r w:rsidR="0009071F">
        <w:fldChar w:fldCharType="end"/>
      </w:r>
      <w:r w:rsidR="0009071F" w:rsidRPr="00E90F92">
        <w:rPr>
          <w:sz w:val="20"/>
        </w:rPr>
        <w:t>, the model curves</w:t>
      </w:r>
      <w:r w:rsidR="0009071F">
        <w:rPr>
          <w:sz w:val="20"/>
        </w:rPr>
        <w:t xml:space="preserve"> on the right indicate the predicted proportion of responses for each response category conditional on the examinee’s score</w:t>
      </w:r>
      <w:r w:rsidR="0009071F" w:rsidRPr="00E90F92">
        <w:rPr>
          <w:sz w:val="20"/>
        </w:rPr>
        <w:t>.</w:t>
      </w:r>
      <w:r w:rsidR="00B96760">
        <w:rPr>
          <w:sz w:val="20"/>
        </w:rPr>
        <w:t xml:space="preserve"> </w:t>
      </w:r>
      <w:r w:rsidR="00D26A3E">
        <w:rPr>
          <w:sz w:val="20"/>
        </w:rPr>
        <w:t>Observed responses proportions are given on the left.</w:t>
      </w:r>
      <w:r w:rsidR="00D26A3E" w:rsidRPr="00E90F92">
        <w:rPr>
          <w:sz w:val="20"/>
        </w:rPr>
        <w:t xml:space="preserve"> </w:t>
      </w:r>
      <w:r w:rsidR="00B96760">
        <w:rPr>
          <w:sz w:val="20"/>
        </w:rPr>
        <w:t xml:space="preserve">For </w:t>
      </w:r>
      <w:r w:rsidR="00B96760">
        <w:rPr>
          <w:sz w:val="20"/>
        </w:rPr>
        <w:lastRenderedPageBreak/>
        <w:t>example, near score 0, the observed proportion of category 3 (</w:t>
      </w:r>
      <w:r w:rsidR="00B96760" w:rsidRPr="00440EF8">
        <w:rPr>
          <w:i/>
          <w:sz w:val="20"/>
        </w:rPr>
        <w:t>Not sure</w:t>
      </w:r>
      <w:r w:rsidR="00B96760">
        <w:rPr>
          <w:sz w:val="20"/>
        </w:rPr>
        <w:t>) is about .4.</w:t>
      </w:r>
      <w:r w:rsidR="0009071F">
        <w:rPr>
          <w:sz w:val="20"/>
        </w:rPr>
        <w:t xml:space="preserve"> </w:t>
      </w:r>
      <w:r w:rsidR="004C248B" w:rsidRPr="00E90F92">
        <w:rPr>
          <w:sz w:val="20"/>
        </w:rPr>
        <w:t xml:space="preserve">SHAR was the best fitting item </w:t>
      </w:r>
      <w:r w:rsidR="00D26A3E">
        <w:rPr>
          <w:sz w:val="20"/>
        </w:rPr>
        <w:t>of</w:t>
      </w:r>
      <w:r w:rsidR="00D26A3E" w:rsidRPr="00E90F92">
        <w:rPr>
          <w:sz w:val="20"/>
        </w:rPr>
        <w:t xml:space="preserve"> </w:t>
      </w:r>
      <w:r w:rsidR="004C248B" w:rsidRPr="00E90F92">
        <w:rPr>
          <w:sz w:val="20"/>
        </w:rPr>
        <w:t xml:space="preserve">the scale. </w:t>
      </w:r>
      <w:r w:rsidR="00D26A6B">
        <w:rPr>
          <w:sz w:val="20"/>
        </w:rPr>
        <w:t>The observed proportion for</w:t>
      </w:r>
      <w:r w:rsidR="004C248B" w:rsidRPr="00E90F92">
        <w:rPr>
          <w:sz w:val="20"/>
        </w:rPr>
        <w:t xml:space="preserve"> category 3 (</w:t>
      </w:r>
      <w:r w:rsidR="004C248B" w:rsidRPr="00E90F92">
        <w:rPr>
          <w:i/>
          <w:sz w:val="20"/>
        </w:rPr>
        <w:t>Not sure</w:t>
      </w:r>
      <w:r w:rsidR="004C248B" w:rsidRPr="00E90F92">
        <w:rPr>
          <w:sz w:val="20"/>
        </w:rPr>
        <w:t xml:space="preserve">) </w:t>
      </w:r>
      <w:r w:rsidR="00D26A6B">
        <w:rPr>
          <w:sz w:val="20"/>
        </w:rPr>
        <w:t xml:space="preserve">is higher than model prediction </w:t>
      </w:r>
      <w:r w:rsidR="004C248B" w:rsidRPr="00E90F92">
        <w:rPr>
          <w:sz w:val="20"/>
        </w:rPr>
        <w:t xml:space="preserve">near a score of </w:t>
      </w:r>
      <w:r w:rsidR="00D26A6B">
        <w:rPr>
          <w:sz w:val="20"/>
        </w:rPr>
        <w:t>0</w:t>
      </w:r>
      <w:r w:rsidR="004C248B" w:rsidRPr="00E90F92">
        <w:rPr>
          <w:sz w:val="20"/>
        </w:rPr>
        <w:t xml:space="preserve">. </w:t>
      </w:r>
      <w:r w:rsidR="00D26A6B">
        <w:rPr>
          <w:sz w:val="20"/>
        </w:rPr>
        <w:t>This means that p</w:t>
      </w:r>
      <w:r w:rsidR="004C248B" w:rsidRPr="00E90F92">
        <w:rPr>
          <w:sz w:val="20"/>
        </w:rPr>
        <w:t xml:space="preserve">eople </w:t>
      </w:r>
      <w:r w:rsidR="00D26A6B">
        <w:rPr>
          <w:sz w:val="20"/>
        </w:rPr>
        <w:t>with average familiarity with mental silence</w:t>
      </w:r>
      <w:r w:rsidR="004C248B" w:rsidRPr="00E90F92">
        <w:rPr>
          <w:sz w:val="20"/>
        </w:rPr>
        <w:t xml:space="preserve"> are more likely to endorse </w:t>
      </w:r>
      <w:proofErr w:type="gramStart"/>
      <w:r w:rsidR="004C248B" w:rsidRPr="00E90F92">
        <w:rPr>
          <w:i/>
          <w:sz w:val="20"/>
        </w:rPr>
        <w:t>Not</w:t>
      </w:r>
      <w:proofErr w:type="gramEnd"/>
      <w:r w:rsidR="004C248B" w:rsidRPr="00E90F92">
        <w:rPr>
          <w:i/>
          <w:sz w:val="20"/>
        </w:rPr>
        <w:t xml:space="preserve"> sure</w:t>
      </w:r>
      <w:r w:rsidR="004C248B" w:rsidRPr="00E90F92">
        <w:rPr>
          <w:sz w:val="20"/>
        </w:rPr>
        <w:t xml:space="preserve"> than is predicted by the model. Notice that categories 2 (</w:t>
      </w:r>
      <w:r w:rsidR="004C248B" w:rsidRPr="00E90F92">
        <w:rPr>
          <w:i/>
          <w:sz w:val="20"/>
        </w:rPr>
        <w:t>Agree somewhat</w:t>
      </w:r>
      <w:r w:rsidR="004C248B" w:rsidRPr="00E90F92">
        <w:rPr>
          <w:sz w:val="20"/>
        </w:rPr>
        <w:t>) and 4 (</w:t>
      </w:r>
      <w:r w:rsidR="004C248B" w:rsidRPr="00E90F92">
        <w:rPr>
          <w:i/>
          <w:sz w:val="20"/>
        </w:rPr>
        <w:t>Disagree somewhat</w:t>
      </w:r>
      <w:r w:rsidR="004C248B" w:rsidRPr="00E90F92">
        <w:rPr>
          <w:sz w:val="20"/>
        </w:rPr>
        <w:t xml:space="preserve">) in the model are never the most likely category for people to endorse. This can be seen visually by verifying that </w:t>
      </w:r>
      <w:r w:rsidR="00D26A6B">
        <w:rPr>
          <w:sz w:val="20"/>
        </w:rPr>
        <w:t>the blue and dark green</w:t>
      </w:r>
      <w:r w:rsidR="004C248B" w:rsidRPr="00E90F92">
        <w:rPr>
          <w:sz w:val="20"/>
        </w:rPr>
        <w:t xml:space="preserve"> curves </w:t>
      </w:r>
      <w:r w:rsidR="00D26A6B">
        <w:rPr>
          <w:sz w:val="20"/>
        </w:rPr>
        <w:t>are always below</w:t>
      </w:r>
      <w:r w:rsidR="004C248B" w:rsidRPr="00E90F92">
        <w:rPr>
          <w:sz w:val="20"/>
        </w:rPr>
        <w:t xml:space="preserve"> some other category curve. This suggests that people are fairly certain about whether they have experienced mental silence with others in a shared context. </w:t>
      </w:r>
      <w:r w:rsidR="00D26A6B">
        <w:rPr>
          <w:sz w:val="20"/>
        </w:rPr>
        <w:t>The</w:t>
      </w:r>
      <w:r w:rsidR="00D26A6B" w:rsidRPr="00E90F92">
        <w:rPr>
          <w:sz w:val="20"/>
        </w:rPr>
        <w:t xml:space="preserve"> </w:t>
      </w:r>
      <w:r w:rsidR="004C248B" w:rsidRPr="00E90F92">
        <w:rPr>
          <w:sz w:val="20"/>
        </w:rPr>
        <w:t xml:space="preserve">two </w:t>
      </w:r>
      <w:r w:rsidR="004C248B" w:rsidRPr="00E90F92">
        <w:rPr>
          <w:i/>
          <w:sz w:val="20"/>
        </w:rPr>
        <w:t>somewhat</w:t>
      </w:r>
      <w:r w:rsidR="004C248B" w:rsidRPr="00E90F92">
        <w:rPr>
          <w:sz w:val="20"/>
        </w:rPr>
        <w:t xml:space="preserve"> categories may not improve the </w:t>
      </w:r>
      <w:r w:rsidR="00D26A6B">
        <w:rPr>
          <w:sz w:val="20"/>
        </w:rPr>
        <w:t>precision</w:t>
      </w:r>
      <w:r w:rsidR="00D26A6B" w:rsidRPr="00E90F92">
        <w:rPr>
          <w:sz w:val="20"/>
        </w:rPr>
        <w:t xml:space="preserve"> </w:t>
      </w:r>
      <w:r w:rsidR="004C248B" w:rsidRPr="00E90F92">
        <w:rPr>
          <w:sz w:val="20"/>
        </w:rPr>
        <w:t>of measurement</w:t>
      </w:r>
      <w:r w:rsidR="00D26A6B">
        <w:rPr>
          <w:sz w:val="20"/>
        </w:rPr>
        <w:t xml:space="preserve">. </w:t>
      </w:r>
      <w:r w:rsidR="00EB0F04">
        <w:rPr>
          <w:sz w:val="20"/>
        </w:rPr>
        <w:t>Reducing the item to</w:t>
      </w:r>
      <w:r w:rsidR="004C248B" w:rsidRPr="00E90F92">
        <w:rPr>
          <w:sz w:val="20"/>
        </w:rPr>
        <w:t xml:space="preserve"> 3 categories</w:t>
      </w:r>
      <w:r w:rsidR="00D26A6B">
        <w:rPr>
          <w:sz w:val="20"/>
        </w:rPr>
        <w:t xml:space="preserve"> (</w:t>
      </w:r>
      <w:r w:rsidR="00D26A6B" w:rsidRPr="00440EF8">
        <w:rPr>
          <w:i/>
          <w:sz w:val="20"/>
        </w:rPr>
        <w:t>Agre</w:t>
      </w:r>
      <w:r w:rsidR="00EB0F04" w:rsidRPr="00440EF8">
        <w:rPr>
          <w:i/>
          <w:sz w:val="20"/>
        </w:rPr>
        <w:t>e, Not sure, Disagree</w:t>
      </w:r>
      <w:r w:rsidR="00EB0F04">
        <w:rPr>
          <w:sz w:val="20"/>
        </w:rPr>
        <w:t>) might make the item easier to digest.</w:t>
      </w:r>
    </w:p>
    <w:p w:rsidR="004C248B" w:rsidRPr="00E90F92" w:rsidRDefault="004C248B" w:rsidP="004C248B">
      <w:pPr>
        <w:ind w:firstLine="284"/>
        <w:jc w:val="both"/>
        <w:rPr>
          <w:sz w:val="20"/>
        </w:rPr>
      </w:pPr>
      <w:r w:rsidRPr="00E90F92">
        <w:rPr>
          <w:sz w:val="20"/>
        </w:rPr>
        <w:t>PAY was the item with the poorest fit</w:t>
      </w:r>
      <w:r w:rsidR="00750040">
        <w:rPr>
          <w:sz w:val="20"/>
        </w:rPr>
        <w:t xml:space="preserve"> (</w:t>
      </w:r>
      <w:r w:rsidR="00750040" w:rsidRPr="00750040">
        <w:rPr>
          <w:sz w:val="20"/>
        </w:rPr>
        <w:fldChar w:fldCharType="begin"/>
      </w:r>
      <w:r w:rsidR="00750040" w:rsidRPr="00750040">
        <w:rPr>
          <w:sz w:val="20"/>
        </w:rPr>
        <w:instrText xml:space="preserve"> REF _Ref365807081 \h </w:instrText>
      </w:r>
      <w:r w:rsidR="00750040">
        <w:rPr>
          <w:sz w:val="20"/>
        </w:rPr>
        <w:instrText xml:space="preserve"> \* MERGEFORMAT </w:instrText>
      </w:r>
      <w:r w:rsidR="00750040" w:rsidRPr="00750040">
        <w:rPr>
          <w:sz w:val="20"/>
        </w:rPr>
      </w:r>
      <w:r w:rsidR="00750040" w:rsidRPr="00750040">
        <w:rPr>
          <w:sz w:val="20"/>
        </w:rPr>
        <w:fldChar w:fldCharType="separate"/>
      </w:r>
      <w:r w:rsidR="00750040" w:rsidRPr="00750040">
        <w:rPr>
          <w:sz w:val="20"/>
        </w:rPr>
        <w:t xml:space="preserve">Figure </w:t>
      </w:r>
      <w:r w:rsidR="00750040" w:rsidRPr="00750040">
        <w:rPr>
          <w:noProof/>
          <w:sz w:val="20"/>
        </w:rPr>
        <w:t>4</w:t>
      </w:r>
      <w:r w:rsidR="00750040" w:rsidRPr="00750040">
        <w:rPr>
          <w:sz w:val="20"/>
        </w:rPr>
        <w:fldChar w:fldCharType="end"/>
      </w:r>
      <w:r w:rsidR="00750040">
        <w:rPr>
          <w:sz w:val="20"/>
        </w:rPr>
        <w:t>)</w:t>
      </w:r>
      <w:r w:rsidRPr="00E90F92">
        <w:rPr>
          <w:sz w:val="20"/>
        </w:rPr>
        <w:t xml:space="preserve">. The </w:t>
      </w:r>
      <w:r w:rsidR="009F5807">
        <w:rPr>
          <w:sz w:val="20"/>
        </w:rPr>
        <w:t>actual</w:t>
      </w:r>
      <w:r w:rsidR="009F5807" w:rsidRPr="00E90F92">
        <w:rPr>
          <w:sz w:val="20"/>
        </w:rPr>
        <w:t xml:space="preserve"> </w:t>
      </w:r>
      <w:r w:rsidRPr="00E90F92">
        <w:rPr>
          <w:sz w:val="20"/>
        </w:rPr>
        <w:t>category curves suggest that people with high and low familiarity with mental silence</w:t>
      </w:r>
      <w:r w:rsidR="00750040">
        <w:rPr>
          <w:sz w:val="20"/>
        </w:rPr>
        <w:t xml:space="preserve"> (left and right sides)</w:t>
      </w:r>
      <w:r w:rsidRPr="00E90F92">
        <w:rPr>
          <w:sz w:val="20"/>
        </w:rPr>
        <w:t xml:space="preserve"> believe it is unethical to pay money in exchange for learning how to experience mental silence </w:t>
      </w:r>
      <w:r w:rsidR="00750040">
        <w:rPr>
          <w:sz w:val="20"/>
        </w:rPr>
        <w:t>because of</w:t>
      </w:r>
      <w:r w:rsidR="00750040" w:rsidRPr="00E90F92">
        <w:rPr>
          <w:sz w:val="20"/>
        </w:rPr>
        <w:t xml:space="preserve"> the U-shaped curve seen for category 5 (</w:t>
      </w:r>
      <w:r w:rsidR="00750040" w:rsidRPr="00E90F92">
        <w:rPr>
          <w:i/>
          <w:sz w:val="20"/>
        </w:rPr>
        <w:t>Disagree</w:t>
      </w:r>
      <w:r w:rsidR="00750040">
        <w:rPr>
          <w:sz w:val="20"/>
        </w:rPr>
        <w:t>). However,</w:t>
      </w:r>
      <w:r w:rsidRPr="00E90F92">
        <w:rPr>
          <w:sz w:val="20"/>
        </w:rPr>
        <w:t xml:space="preserve"> people with a medium familiarity </w:t>
      </w:r>
      <w:r w:rsidR="00750040">
        <w:rPr>
          <w:sz w:val="20"/>
        </w:rPr>
        <w:t>(middle)</w:t>
      </w:r>
      <w:r w:rsidR="001127E3">
        <w:rPr>
          <w:sz w:val="20"/>
        </w:rPr>
        <w:t xml:space="preserve"> do not have a consensus opinion (</w:t>
      </w:r>
      <w:r w:rsidR="001127E3" w:rsidRPr="00440EF8">
        <w:rPr>
          <w:i/>
          <w:sz w:val="20"/>
        </w:rPr>
        <w:t>Not sure</w:t>
      </w:r>
      <w:r w:rsidR="001127E3">
        <w:rPr>
          <w:sz w:val="20"/>
        </w:rPr>
        <w:t xml:space="preserve"> is the most likely response)</w:t>
      </w:r>
      <w:r w:rsidR="00750040">
        <w:rPr>
          <w:sz w:val="20"/>
        </w:rPr>
        <w:t>.</w:t>
      </w:r>
      <w:r w:rsidRPr="00E90F92">
        <w:rPr>
          <w:sz w:val="20"/>
        </w:rPr>
        <w:t xml:space="preserve"> </w:t>
      </w:r>
      <w:r w:rsidR="007C6D14">
        <w:rPr>
          <w:sz w:val="20"/>
        </w:rPr>
        <w:t>An item’s</w:t>
      </w:r>
      <w:r w:rsidR="007C6D14" w:rsidRPr="00E90F92">
        <w:rPr>
          <w:sz w:val="20"/>
        </w:rPr>
        <w:t xml:space="preserve"> </w:t>
      </w:r>
      <w:r w:rsidR="007C6D14">
        <w:rPr>
          <w:sz w:val="20"/>
        </w:rPr>
        <w:t xml:space="preserve">discrimination or </w:t>
      </w:r>
      <w:r w:rsidR="007C6D14" w:rsidRPr="00E90F92">
        <w:rPr>
          <w:sz w:val="20"/>
        </w:rPr>
        <w:t>slope is positively correlated with item information</w:t>
      </w:r>
      <w:r w:rsidR="007C6D14">
        <w:rPr>
          <w:sz w:val="20"/>
        </w:rPr>
        <w:t>.</w:t>
      </w:r>
      <w:r w:rsidR="007C6D14" w:rsidRPr="00E90F92">
        <w:rPr>
          <w:sz w:val="20"/>
        </w:rPr>
        <w:t xml:space="preserve"> </w:t>
      </w:r>
      <w:r w:rsidR="00750040">
        <w:rPr>
          <w:sz w:val="20"/>
        </w:rPr>
        <w:t>The model cannot reproduce</w:t>
      </w:r>
      <w:r w:rsidR="00EB0F04">
        <w:rPr>
          <w:sz w:val="20"/>
        </w:rPr>
        <w:t xml:space="preserve"> the U-shape of category 5</w:t>
      </w:r>
      <w:r w:rsidR="00750040">
        <w:rPr>
          <w:sz w:val="20"/>
        </w:rPr>
        <w:t xml:space="preserve">, </w:t>
      </w:r>
      <w:r w:rsidRPr="00E90F92">
        <w:rPr>
          <w:sz w:val="20"/>
        </w:rPr>
        <w:t>resulting in a slope</w:t>
      </w:r>
      <w:r>
        <w:rPr>
          <w:sz w:val="20"/>
        </w:rPr>
        <w:t xml:space="preserve"> – and information – </w:t>
      </w:r>
      <w:r w:rsidRPr="00E90F92">
        <w:rPr>
          <w:sz w:val="20"/>
        </w:rPr>
        <w:t>close to zero.</w:t>
      </w:r>
      <w:r w:rsidR="00EB0F04">
        <w:rPr>
          <w:sz w:val="20"/>
        </w:rPr>
        <w:t xml:space="preserve"> </w:t>
      </w:r>
      <w:r w:rsidR="00440EF8">
        <w:rPr>
          <w:sz w:val="20"/>
        </w:rPr>
        <w:t xml:space="preserve">The GPCM assumes an S-shaped </w:t>
      </w:r>
      <w:r w:rsidR="00785215">
        <w:rPr>
          <w:sz w:val="20"/>
        </w:rPr>
        <w:t xml:space="preserve">or difference of </w:t>
      </w:r>
      <w:r w:rsidR="00440EF8">
        <w:rPr>
          <w:sz w:val="20"/>
        </w:rPr>
        <w:t>S-</w:t>
      </w:r>
      <w:r w:rsidR="00785215">
        <w:rPr>
          <w:sz w:val="20"/>
        </w:rPr>
        <w:t>shape</w:t>
      </w:r>
      <w:r w:rsidR="00440EF8">
        <w:rPr>
          <w:sz w:val="20"/>
        </w:rPr>
        <w:t>d</w:t>
      </w:r>
      <w:r w:rsidR="00785215">
        <w:rPr>
          <w:sz w:val="20"/>
        </w:rPr>
        <w:t xml:space="preserve"> </w:t>
      </w:r>
      <w:r w:rsidR="00440EF8">
        <w:rPr>
          <w:sz w:val="20"/>
        </w:rPr>
        <w:t xml:space="preserve">curve </w:t>
      </w:r>
      <w:r w:rsidR="00785215">
        <w:rPr>
          <w:sz w:val="20"/>
        </w:rPr>
        <w:t>which is not a</w:t>
      </w:r>
      <w:bookmarkStart w:id="5" w:name="_GoBack"/>
      <w:bookmarkEnd w:id="5"/>
      <w:r w:rsidR="00785215">
        <w:rPr>
          <w:sz w:val="20"/>
        </w:rPr>
        <w:t xml:space="preserve"> good fit for the observed category proportions.</w:t>
      </w:r>
      <w:r w:rsidR="00EB0F04">
        <w:rPr>
          <w:sz w:val="20"/>
        </w:rPr>
        <w:t xml:space="preserve"> </w:t>
      </w:r>
      <w:r w:rsidRPr="00E90F92">
        <w:rPr>
          <w:sz w:val="20"/>
        </w:rPr>
        <w:t>Although this item did not work well, the shape of the data may shed light on an interesting dynamic. It is well known that a few spiritual teachers have amassed extraordinary wealth at the expense of their disciples. Other teachers have harshly criticized this practice and insisted that mental silence must be taught gratis or near gratis.</w:t>
      </w:r>
      <w:r w:rsidRPr="00E90F92">
        <w:rPr>
          <w:rStyle w:val="EndnoteReference"/>
          <w:sz w:val="20"/>
        </w:rPr>
        <w:endnoteReference w:id="12"/>
      </w:r>
      <w:r w:rsidRPr="00E90F92">
        <w:rPr>
          <w:sz w:val="20"/>
        </w:rPr>
        <w:t xml:space="preserve"> </w:t>
      </w:r>
      <w:r w:rsidR="0044018E">
        <w:rPr>
          <w:sz w:val="20"/>
        </w:rPr>
        <w:t xml:space="preserve">However, the ethical status of charging money for mental silence instruction appears fairly unrelated </w:t>
      </w:r>
      <w:r w:rsidR="0074737A">
        <w:rPr>
          <w:sz w:val="20"/>
        </w:rPr>
        <w:t xml:space="preserve">to </w:t>
      </w:r>
      <w:r w:rsidR="0044018E">
        <w:rPr>
          <w:sz w:val="20"/>
        </w:rPr>
        <w:t>familiar</w:t>
      </w:r>
      <w:r w:rsidR="00785215">
        <w:rPr>
          <w:sz w:val="20"/>
        </w:rPr>
        <w:t>ity</w:t>
      </w:r>
      <w:r w:rsidR="0044018E">
        <w:rPr>
          <w:sz w:val="20"/>
        </w:rPr>
        <w:t xml:space="preserve"> with mental silence</w:t>
      </w:r>
      <w:r w:rsidRPr="00E90F92">
        <w:rPr>
          <w:sz w:val="20"/>
        </w:rPr>
        <w:t>.</w:t>
      </w:r>
      <w:r w:rsidR="0044018E">
        <w:rPr>
          <w:sz w:val="20"/>
        </w:rPr>
        <w:t xml:space="preserve"> Perhaps the question of ethics </w:t>
      </w:r>
      <w:r w:rsidR="00FE0520">
        <w:rPr>
          <w:sz w:val="20"/>
        </w:rPr>
        <w:t>is</w:t>
      </w:r>
      <w:r w:rsidR="0044018E">
        <w:rPr>
          <w:sz w:val="20"/>
        </w:rPr>
        <w:t xml:space="preserve"> best addressed in a separate questionnaire.</w:t>
      </w:r>
    </w:p>
    <w:p w:rsidR="004C248B" w:rsidRPr="00E90F92" w:rsidRDefault="004C248B" w:rsidP="004C248B">
      <w:pPr>
        <w:ind w:firstLine="284"/>
        <w:jc w:val="both"/>
        <w:rPr>
          <w:sz w:val="20"/>
        </w:rPr>
      </w:pPr>
      <w:r w:rsidRPr="00E90F92">
        <w:rPr>
          <w:sz w:val="20"/>
        </w:rPr>
        <w:t>In our judgment, the CAUS and TEAC items performed well. Both of these items had a slope near 1.5, efficiently providing information</w:t>
      </w:r>
      <w:r w:rsidR="00320483">
        <w:rPr>
          <w:sz w:val="20"/>
        </w:rPr>
        <w:t xml:space="preserve"> about whether examinees are familiar with mental silence</w:t>
      </w:r>
      <w:r w:rsidRPr="00E90F92">
        <w:rPr>
          <w:sz w:val="20"/>
        </w:rPr>
        <w:t xml:space="preserve">. Only the </w:t>
      </w:r>
      <w:r w:rsidRPr="00E90F92">
        <w:rPr>
          <w:i/>
          <w:sz w:val="20"/>
        </w:rPr>
        <w:t>Disagree somewhat</w:t>
      </w:r>
      <w:r w:rsidRPr="00E90F92">
        <w:rPr>
          <w:sz w:val="20"/>
        </w:rPr>
        <w:t xml:space="preserve"> category was under used. Space does not allow for a reproduction of the category curves, but visual inspection suggested the model well predicted the data.</w:t>
      </w:r>
    </w:p>
    <w:p w:rsidR="004C248B" w:rsidRPr="00E90F92" w:rsidRDefault="004C248B" w:rsidP="004C248B">
      <w:pPr>
        <w:ind w:firstLine="284"/>
        <w:jc w:val="both"/>
        <w:rPr>
          <w:sz w:val="20"/>
        </w:rPr>
      </w:pPr>
      <w:r w:rsidRPr="00E90F92">
        <w:rPr>
          <w:sz w:val="20"/>
        </w:rPr>
        <w:t>We have taken firm steps towards establishing a new scale for assessing familiarity with mental silence. A few of our items work well and a close inspection of poorly performing items suggest</w:t>
      </w:r>
      <w:r>
        <w:rPr>
          <w:sz w:val="20"/>
        </w:rPr>
        <w:t>s</w:t>
      </w:r>
      <w:r w:rsidRPr="00E90F92">
        <w:rPr>
          <w:sz w:val="20"/>
        </w:rPr>
        <w:t xml:space="preserve"> opportunities for improvement. During the </w:t>
      </w:r>
      <w:r>
        <w:rPr>
          <w:sz w:val="20"/>
        </w:rPr>
        <w:t>spring</w:t>
      </w:r>
      <w:r w:rsidRPr="00E90F92">
        <w:rPr>
          <w:sz w:val="20"/>
        </w:rPr>
        <w:t>, a new course on contemplative studies will be taught. Students enrolled in the course will be instructed in secular versions of meditation and spiritual practices and will be asked to practice at home. In our collaboration with the course instructors, we will have an opportunity to collect longitudinal data and examine correlation with a diverse range of measures of constructs such as well-</w:t>
      </w:r>
      <w:r w:rsidRPr="00E90F92">
        <w:rPr>
          <w:sz w:val="20"/>
        </w:rPr>
        <w:lastRenderedPageBreak/>
        <w:t>being, mindfulness, compassion, cognitive emotion regulation, self-efficacy, stress, and flow.</w:t>
      </w:r>
    </w:p>
    <w:p w:rsidR="004C248B" w:rsidRPr="00E90F92" w:rsidRDefault="004C248B" w:rsidP="004C248B">
      <w:pPr>
        <w:ind w:firstLine="284"/>
        <w:jc w:val="both"/>
        <w:rPr>
          <w:sz w:val="20"/>
        </w:rPr>
      </w:pPr>
      <w:r w:rsidRPr="00E90F92">
        <w:rPr>
          <w:sz w:val="20"/>
        </w:rPr>
        <w:t xml:space="preserve">Many spiritual leaders over </w:t>
      </w:r>
      <w:r w:rsidR="00355338">
        <w:rPr>
          <w:sz w:val="20"/>
        </w:rPr>
        <w:t>the years have exhorted us to ‘</w:t>
      </w:r>
      <w:r w:rsidRPr="00E90F92">
        <w:rPr>
          <w:sz w:val="20"/>
        </w:rPr>
        <w:t xml:space="preserve">Know </w:t>
      </w:r>
      <w:proofErr w:type="gramStart"/>
      <w:r w:rsidRPr="00E90F92">
        <w:rPr>
          <w:sz w:val="20"/>
        </w:rPr>
        <w:t>thyself</w:t>
      </w:r>
      <w:proofErr w:type="gramEnd"/>
      <w:r w:rsidR="00CE0FA5">
        <w:rPr>
          <w:sz w:val="20"/>
        </w:rPr>
        <w:t>’.</w:t>
      </w:r>
      <w:r w:rsidRPr="00E90F92">
        <w:rPr>
          <w:sz w:val="20"/>
        </w:rPr>
        <w:t xml:space="preserve"> But what does this mean? Where can self-knowledge be obtained and what is its content? Is self-knowledge the awareness of one's mundane talents, qualities, and aspirations, as some scholars seem to believe?</w:t>
      </w:r>
      <w:r w:rsidRPr="00E90F92">
        <w:rPr>
          <w:rStyle w:val="EndnoteReference"/>
          <w:iCs/>
          <w:sz w:val="20"/>
        </w:rPr>
        <w:endnoteReference w:id="13"/>
      </w:r>
      <w:r w:rsidRPr="00E90F92">
        <w:rPr>
          <w:sz w:val="20"/>
        </w:rPr>
        <w:t xml:space="preserve"> Or is self-knowledge something we ought to seek beyond thought in a place we cannot know mentally but can experience viscerally? With a simple self-report measure for familiarity with complete mental silence, we hope to advance consideration of the latter alternative.</w:t>
      </w:r>
    </w:p>
    <w:p w:rsidR="004C248B" w:rsidRPr="00E90F92" w:rsidRDefault="004C248B" w:rsidP="004C248B">
      <w:pPr>
        <w:ind w:firstLine="284"/>
        <w:jc w:val="both"/>
        <w:rPr>
          <w:sz w:val="20"/>
        </w:rPr>
      </w:pPr>
    </w:p>
    <w:p w:rsidR="004C248B" w:rsidRPr="00E90F92" w:rsidRDefault="004C248B" w:rsidP="004C248B">
      <w:pPr>
        <w:jc w:val="center"/>
        <w:rPr>
          <w:b/>
          <w:szCs w:val="24"/>
        </w:rPr>
      </w:pPr>
      <w:r w:rsidRPr="00E90F92">
        <w:rPr>
          <w:b/>
          <w:szCs w:val="24"/>
        </w:rPr>
        <w:t>Notes</w:t>
      </w:r>
    </w:p>
    <w:p w:rsidR="00F440E2" w:rsidRDefault="00F440E2"/>
    <w:sectPr w:rsidR="00F440E2" w:rsidSect="00BE7A40">
      <w:headerReference w:type="even" r:id="rId13"/>
      <w:headerReference w:type="default" r:id="rId14"/>
      <w:endnotePr>
        <w:numFmt w:val="decimal"/>
        <w:numRestart w:val="eachSect"/>
      </w:endnotePr>
      <w:pgSz w:w="8392" w:h="11907" w:code="11"/>
      <w:pgMar w:top="851" w:right="851" w:bottom="851" w:left="851" w:header="567"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B67" w:rsidRDefault="00320483">
      <w:r>
        <w:separator/>
      </w:r>
    </w:p>
  </w:endnote>
  <w:endnote w:type="continuationSeparator" w:id="0">
    <w:p w:rsidR="00BC3B67" w:rsidRDefault="00320483">
      <w:r>
        <w:continuationSeparator/>
      </w:r>
    </w:p>
  </w:endnote>
  <w:endnote w:id="1">
    <w:p w:rsidR="00355338" w:rsidRDefault="00355338" w:rsidP="004C248B">
      <w:r>
        <w:rPr>
          <w:rStyle w:val="EndnoteReference"/>
          <w:sz w:val="20"/>
        </w:rPr>
        <w:endnoteRef/>
      </w:r>
      <w:r>
        <w:t xml:space="preserve"> </w:t>
      </w:r>
      <w:proofErr w:type="spellStart"/>
      <w:r w:rsidRPr="00BF1A99">
        <w:rPr>
          <w:sz w:val="20"/>
        </w:rPr>
        <w:t>Jiddu</w:t>
      </w:r>
      <w:proofErr w:type="spellEnd"/>
      <w:r w:rsidRPr="00BF1A99">
        <w:rPr>
          <w:sz w:val="20"/>
        </w:rPr>
        <w:t xml:space="preserve"> </w:t>
      </w:r>
      <w:proofErr w:type="spellStart"/>
      <w:r w:rsidRPr="00BF1A99">
        <w:rPr>
          <w:sz w:val="20"/>
        </w:rPr>
        <w:t>Krishnamurti</w:t>
      </w:r>
      <w:proofErr w:type="spellEnd"/>
      <w:r w:rsidRPr="00BF1A99">
        <w:rPr>
          <w:sz w:val="20"/>
        </w:rPr>
        <w:t xml:space="preserve">, </w:t>
      </w:r>
      <w:r w:rsidRPr="00BF1A99">
        <w:rPr>
          <w:i/>
          <w:iCs/>
          <w:sz w:val="20"/>
        </w:rPr>
        <w:t xml:space="preserve">Freedom </w:t>
      </w:r>
      <w:proofErr w:type="gramStart"/>
      <w:r w:rsidRPr="00BF1A99">
        <w:rPr>
          <w:i/>
          <w:iCs/>
          <w:sz w:val="20"/>
        </w:rPr>
        <w:t>From</w:t>
      </w:r>
      <w:proofErr w:type="gramEnd"/>
      <w:r w:rsidRPr="00BF1A99">
        <w:rPr>
          <w:i/>
          <w:iCs/>
          <w:sz w:val="20"/>
        </w:rPr>
        <w:t xml:space="preserve"> the Known</w:t>
      </w:r>
      <w:r w:rsidRPr="00BF1A99">
        <w:rPr>
          <w:sz w:val="20"/>
        </w:rPr>
        <w:t xml:space="preserve">, ed. Mary </w:t>
      </w:r>
      <w:proofErr w:type="spellStart"/>
      <w:r w:rsidRPr="00BF1A99">
        <w:rPr>
          <w:sz w:val="20"/>
        </w:rPr>
        <w:t>Lutyens</w:t>
      </w:r>
      <w:proofErr w:type="spellEnd"/>
      <w:r w:rsidRPr="00BF1A99">
        <w:rPr>
          <w:sz w:val="20"/>
        </w:rPr>
        <w:t xml:space="preserve"> (Harper, 1975), 105-110.</w:t>
      </w:r>
    </w:p>
  </w:endnote>
  <w:endnote w:id="2">
    <w:p w:rsidR="00355338" w:rsidRPr="000E7E11" w:rsidRDefault="00355338" w:rsidP="004C248B">
      <w:pPr>
        <w:pStyle w:val="EndnoteText"/>
        <w:rPr>
          <w:lang w:val="en-US"/>
        </w:rPr>
      </w:pPr>
      <w:r>
        <w:rPr>
          <w:rStyle w:val="EndnoteReference"/>
        </w:rPr>
        <w:endnoteRef/>
      </w:r>
      <w:r>
        <w:t xml:space="preserve"> </w:t>
      </w:r>
      <w:r w:rsidRPr="000E7E11">
        <w:t xml:space="preserve">Robert K. C. Forman, </w:t>
      </w:r>
      <w:r w:rsidRPr="000E7E11">
        <w:rPr>
          <w:i/>
        </w:rPr>
        <w:t>The Problem of Pure Consciousness: Mysticism and Philosophy</w:t>
      </w:r>
      <w:r w:rsidRPr="000E7E11">
        <w:t xml:space="preserve">, (Oxford University Press, 1997); Ramesh </w:t>
      </w:r>
      <w:proofErr w:type="spellStart"/>
      <w:r w:rsidRPr="000E7E11">
        <w:t>Manocha</w:t>
      </w:r>
      <w:proofErr w:type="spellEnd"/>
      <w:r w:rsidRPr="000E7E11">
        <w:t xml:space="preserve">, 'Scientific Evaluation of Mental Silence', (PhD diss., University of New South Wales, Australia, </w:t>
      </w:r>
      <w:r>
        <w:t>(</w:t>
      </w:r>
      <w:r w:rsidRPr="000E7E11">
        <w:t>2009), 93-102.</w:t>
      </w:r>
    </w:p>
  </w:endnote>
  <w:endnote w:id="3">
    <w:p w:rsidR="00355338" w:rsidRPr="000E7E11" w:rsidRDefault="00355338" w:rsidP="004C248B">
      <w:pPr>
        <w:pStyle w:val="EndnoteText"/>
        <w:rPr>
          <w:lang w:val="en-US"/>
        </w:rPr>
      </w:pPr>
      <w:r>
        <w:rPr>
          <w:rStyle w:val="EndnoteReference"/>
        </w:rPr>
        <w:endnoteRef/>
      </w:r>
      <w:r>
        <w:t xml:space="preserve"> Daniel M. Wegner, 'Thought Suppression and Mental Control', in </w:t>
      </w:r>
      <w:proofErr w:type="spellStart"/>
      <w:r w:rsidRPr="000E7E11">
        <w:rPr>
          <w:i/>
        </w:rPr>
        <w:t>Encyclopedia</w:t>
      </w:r>
      <w:proofErr w:type="spellEnd"/>
      <w:r w:rsidRPr="000E7E11">
        <w:rPr>
          <w:i/>
        </w:rPr>
        <w:t xml:space="preserve"> of Cognitive Science</w:t>
      </w:r>
      <w:r>
        <w:t xml:space="preserve"> (London: Macmillan, 2003), 395-397.</w:t>
      </w:r>
    </w:p>
  </w:endnote>
  <w:endnote w:id="4">
    <w:p w:rsidR="00355338" w:rsidRPr="000E7E11" w:rsidRDefault="00355338" w:rsidP="004C248B">
      <w:pPr>
        <w:pStyle w:val="EndnoteText"/>
        <w:rPr>
          <w:lang w:val="en-US"/>
        </w:rPr>
      </w:pPr>
      <w:r>
        <w:rPr>
          <w:rStyle w:val="EndnoteReference"/>
        </w:rPr>
        <w:endnoteRef/>
      </w:r>
      <w:r>
        <w:t xml:space="preserve"> </w:t>
      </w:r>
      <w:r w:rsidRPr="000E7E11">
        <w:t xml:space="preserve">William </w:t>
      </w:r>
      <w:proofErr w:type="spellStart"/>
      <w:r w:rsidRPr="000E7E11">
        <w:t>Franke</w:t>
      </w:r>
      <w:proofErr w:type="spellEnd"/>
      <w:r w:rsidRPr="000E7E11">
        <w:t xml:space="preserve">, </w:t>
      </w:r>
      <w:r w:rsidRPr="000E7E11">
        <w:rPr>
          <w:i/>
        </w:rPr>
        <w:t xml:space="preserve">On What Cannot </w:t>
      </w:r>
      <w:proofErr w:type="gramStart"/>
      <w:r w:rsidRPr="000E7E11">
        <w:rPr>
          <w:i/>
        </w:rPr>
        <w:t>be</w:t>
      </w:r>
      <w:proofErr w:type="gramEnd"/>
      <w:r w:rsidRPr="000E7E11">
        <w:rPr>
          <w:i/>
        </w:rPr>
        <w:t xml:space="preserve"> Said: </w:t>
      </w:r>
      <w:proofErr w:type="spellStart"/>
      <w:r w:rsidRPr="000E7E11">
        <w:rPr>
          <w:i/>
        </w:rPr>
        <w:t>Apophatic</w:t>
      </w:r>
      <w:proofErr w:type="spellEnd"/>
      <w:r w:rsidRPr="000E7E11">
        <w:rPr>
          <w:i/>
        </w:rPr>
        <w:t xml:space="preserve"> Discourses in Philosophy</w:t>
      </w:r>
      <w:r w:rsidRPr="000E7E11">
        <w:t>, (University of Notre Dame Press, 2007).</w:t>
      </w:r>
    </w:p>
  </w:endnote>
  <w:endnote w:id="5">
    <w:p w:rsidR="00355338" w:rsidRPr="000E7E11" w:rsidRDefault="00355338" w:rsidP="004C248B">
      <w:pPr>
        <w:pStyle w:val="EndnoteText"/>
        <w:rPr>
          <w:lang w:val="en-US"/>
        </w:rPr>
      </w:pPr>
      <w:r>
        <w:rPr>
          <w:rStyle w:val="EndnoteReference"/>
        </w:rPr>
        <w:endnoteRef/>
      </w:r>
      <w:r>
        <w:t xml:space="preserve"> </w:t>
      </w:r>
      <w:proofErr w:type="spellStart"/>
      <w:r w:rsidRPr="000E7E11">
        <w:t>Cristian</w:t>
      </w:r>
      <w:proofErr w:type="spellEnd"/>
      <w:r w:rsidRPr="000E7E11">
        <w:t xml:space="preserve"> S. </w:t>
      </w:r>
      <w:proofErr w:type="spellStart"/>
      <w:r w:rsidRPr="000E7E11">
        <w:t>Calude</w:t>
      </w:r>
      <w:proofErr w:type="spellEnd"/>
      <w:r w:rsidRPr="000E7E11">
        <w:t xml:space="preserve"> and Michael A. Stay, 'From Heisenberg to Gödel via </w:t>
      </w:r>
      <w:proofErr w:type="spellStart"/>
      <w:r w:rsidRPr="000E7E11">
        <w:t>Chaitin</w:t>
      </w:r>
      <w:proofErr w:type="spellEnd"/>
      <w:r w:rsidRPr="000E7E11">
        <w:t xml:space="preserve">', </w:t>
      </w:r>
      <w:r w:rsidRPr="000E7E11">
        <w:rPr>
          <w:i/>
        </w:rPr>
        <w:t xml:space="preserve">International Journal of </w:t>
      </w:r>
      <w:proofErr w:type="gramStart"/>
      <w:r w:rsidRPr="000E7E11">
        <w:rPr>
          <w:i/>
        </w:rPr>
        <w:t>Theoretical  Physics</w:t>
      </w:r>
      <w:proofErr w:type="gramEnd"/>
      <w:r w:rsidRPr="000E7E11">
        <w:t xml:space="preserve"> 44(7) (2005), 1054-1065.</w:t>
      </w:r>
    </w:p>
  </w:endnote>
  <w:endnote w:id="6">
    <w:p w:rsidR="00355338" w:rsidRPr="000E7E11" w:rsidRDefault="00355338" w:rsidP="004C248B">
      <w:pPr>
        <w:pStyle w:val="EndnoteText"/>
        <w:rPr>
          <w:lang w:val="en-US"/>
        </w:rPr>
      </w:pPr>
      <w:r>
        <w:rPr>
          <w:rStyle w:val="EndnoteReference"/>
        </w:rPr>
        <w:endnoteRef/>
      </w:r>
      <w:r>
        <w:t xml:space="preserve"> </w:t>
      </w:r>
      <w:r w:rsidRPr="000E7E11">
        <w:t xml:space="preserve">Susan E. </w:t>
      </w:r>
      <w:proofErr w:type="spellStart"/>
      <w:r w:rsidRPr="000E7E11">
        <w:t>Embretson</w:t>
      </w:r>
      <w:proofErr w:type="spellEnd"/>
      <w:r w:rsidRPr="000E7E11">
        <w:t xml:space="preserve">, 'The New Rules of Measurement', </w:t>
      </w:r>
      <w:r w:rsidRPr="000E7E11">
        <w:rPr>
          <w:i/>
        </w:rPr>
        <w:t>Psychological Assessment</w:t>
      </w:r>
      <w:r w:rsidRPr="000E7E11">
        <w:t xml:space="preserve"> 8(4), </w:t>
      </w:r>
      <w:r>
        <w:t xml:space="preserve">(1996) </w:t>
      </w:r>
      <w:r w:rsidRPr="000E7E11">
        <w:t>341-349.</w:t>
      </w:r>
    </w:p>
  </w:endnote>
  <w:endnote w:id="7">
    <w:p w:rsidR="00355338" w:rsidRPr="00E955B6" w:rsidRDefault="00355338" w:rsidP="004C248B">
      <w:pPr>
        <w:pStyle w:val="EndnoteText"/>
        <w:rPr>
          <w:lang w:val="en-US"/>
        </w:rPr>
      </w:pPr>
      <w:r>
        <w:rPr>
          <w:rStyle w:val="EndnoteReference"/>
        </w:rPr>
        <w:endnoteRef/>
      </w:r>
      <w:r>
        <w:t xml:space="preserve"> </w:t>
      </w:r>
      <w:r w:rsidRPr="00E955B6">
        <w:t xml:space="preserve">David A. Cook and Thomas J. Beckman, 'Current Concepts in Validity and Reliability for Psychometric Instruments: Theory and Application', </w:t>
      </w:r>
      <w:proofErr w:type="gramStart"/>
      <w:r w:rsidRPr="00E955B6">
        <w:rPr>
          <w:i/>
        </w:rPr>
        <w:t>The</w:t>
      </w:r>
      <w:proofErr w:type="gramEnd"/>
      <w:r w:rsidRPr="00E955B6">
        <w:rPr>
          <w:i/>
        </w:rPr>
        <w:t xml:space="preserve"> American Journal of Medicine</w:t>
      </w:r>
      <w:r w:rsidRPr="00E955B6">
        <w:t xml:space="preserve"> 119 (2006).</w:t>
      </w:r>
    </w:p>
  </w:endnote>
  <w:endnote w:id="8">
    <w:p w:rsidR="00355338" w:rsidRPr="00E955B6" w:rsidRDefault="00355338" w:rsidP="004C248B">
      <w:pPr>
        <w:pStyle w:val="EndnoteText"/>
        <w:rPr>
          <w:lang w:val="en-US"/>
        </w:rPr>
      </w:pPr>
      <w:r>
        <w:rPr>
          <w:rStyle w:val="EndnoteReference"/>
        </w:rPr>
        <w:endnoteRef/>
      </w:r>
      <w:r>
        <w:t xml:space="preserve"> </w:t>
      </w:r>
      <w:proofErr w:type="gramStart"/>
      <w:r w:rsidRPr="00E955B6">
        <w:t xml:space="preserve">Katya </w:t>
      </w:r>
      <w:proofErr w:type="spellStart"/>
      <w:r w:rsidRPr="00E955B6">
        <w:t>Rubia</w:t>
      </w:r>
      <w:proofErr w:type="spellEnd"/>
      <w:r w:rsidRPr="00E955B6">
        <w:t xml:space="preserve">, 'The neurobiology of meditation and its clinical effectiveness in psychiatric disorders', </w:t>
      </w:r>
      <w:r w:rsidRPr="00E955B6">
        <w:rPr>
          <w:i/>
        </w:rPr>
        <w:t>Biological Psychology</w:t>
      </w:r>
      <w:r w:rsidRPr="00E955B6">
        <w:t xml:space="preserve"> 82(1) (2009), 1-11.</w:t>
      </w:r>
      <w:proofErr w:type="gramEnd"/>
    </w:p>
  </w:endnote>
  <w:endnote w:id="9">
    <w:p w:rsidR="00355338" w:rsidRPr="00E955B6" w:rsidRDefault="00355338" w:rsidP="004C248B">
      <w:pPr>
        <w:pStyle w:val="EndnoteText"/>
        <w:rPr>
          <w:lang w:val="en-US"/>
        </w:rPr>
      </w:pPr>
      <w:r>
        <w:rPr>
          <w:rStyle w:val="EndnoteReference"/>
        </w:rPr>
        <w:endnoteRef/>
      </w:r>
      <w:r>
        <w:t xml:space="preserve"> </w:t>
      </w:r>
      <w:r w:rsidRPr="00E955B6">
        <w:t xml:space="preserve">Ramesh </w:t>
      </w:r>
      <w:proofErr w:type="spellStart"/>
      <w:r w:rsidRPr="00E955B6">
        <w:t>Manocha</w:t>
      </w:r>
      <w:proofErr w:type="spellEnd"/>
      <w:r w:rsidRPr="00E955B6">
        <w:t>, http://www.speakingtree.in, http://imcw.org/, and http://fredericklenzfoundation.org</w:t>
      </w:r>
    </w:p>
  </w:endnote>
  <w:endnote w:id="10">
    <w:p w:rsidR="00355338" w:rsidRPr="00E955B6" w:rsidRDefault="00355338" w:rsidP="004C248B">
      <w:pPr>
        <w:pStyle w:val="EndnoteText"/>
        <w:rPr>
          <w:lang w:val="en-US"/>
        </w:rPr>
      </w:pPr>
      <w:r>
        <w:rPr>
          <w:rStyle w:val="EndnoteReference"/>
        </w:rPr>
        <w:endnoteRef/>
      </w:r>
      <w:r>
        <w:t xml:space="preserve"> </w:t>
      </w:r>
      <w:r w:rsidRPr="00E955B6">
        <w:t xml:space="preserve">http://psych.hanover.edu/research/exponnet.html; </w:t>
      </w:r>
      <w:r>
        <w:t>h</w:t>
      </w:r>
      <w:r w:rsidRPr="00E955B6">
        <w:t>ttp://www.socialpsychology.org/expts.htm; http://iresearch.deusto.es; and http://beta.in-mind.org/online-research</w:t>
      </w:r>
    </w:p>
  </w:endnote>
  <w:endnote w:id="11">
    <w:p w:rsidR="00355338" w:rsidRPr="00E66448" w:rsidRDefault="00355338" w:rsidP="004C248B">
      <w:pPr>
        <w:pStyle w:val="EndnoteText"/>
        <w:rPr>
          <w:lang w:val="en-US"/>
        </w:rPr>
      </w:pPr>
      <w:r>
        <w:rPr>
          <w:rStyle w:val="EndnoteReference"/>
        </w:rPr>
        <w:endnoteRef/>
      </w:r>
      <w:r>
        <w:t xml:space="preserve"> </w:t>
      </w:r>
      <w:proofErr w:type="spellStart"/>
      <w:r w:rsidRPr="00E66448">
        <w:t>Eiji</w:t>
      </w:r>
      <w:proofErr w:type="spellEnd"/>
      <w:r w:rsidRPr="00E66448">
        <w:t xml:space="preserve"> </w:t>
      </w:r>
      <w:proofErr w:type="spellStart"/>
      <w:r w:rsidRPr="00E66448">
        <w:t>Muraki</w:t>
      </w:r>
      <w:proofErr w:type="spellEnd"/>
      <w:r w:rsidRPr="00E66448">
        <w:t xml:space="preserve"> and R. D. Bock, </w:t>
      </w:r>
      <w:r w:rsidRPr="00E66448">
        <w:rPr>
          <w:i/>
        </w:rPr>
        <w:t>PARSCALE 4 for Windows: IRT based test scoring and item analysis for graded items and rating scales</w:t>
      </w:r>
      <w:r w:rsidRPr="00E66448">
        <w:t xml:space="preserve"> [Computer software], (Skokie, IL: Scientific Software International, </w:t>
      </w:r>
      <w:proofErr w:type="spellStart"/>
      <w:r w:rsidRPr="00E66448">
        <w:t>Inc</w:t>
      </w:r>
      <w:proofErr w:type="spellEnd"/>
      <w:r w:rsidRPr="00E66448">
        <w:t>, 2003).</w:t>
      </w:r>
    </w:p>
  </w:endnote>
  <w:endnote w:id="12">
    <w:p w:rsidR="00355338" w:rsidRPr="00F16ED9" w:rsidRDefault="00355338" w:rsidP="004C248B">
      <w:pPr>
        <w:pStyle w:val="EndnoteText"/>
        <w:rPr>
          <w:lang w:val="en-US"/>
        </w:rPr>
      </w:pPr>
      <w:r>
        <w:rPr>
          <w:rStyle w:val="EndnoteReference"/>
        </w:rPr>
        <w:endnoteRef/>
      </w:r>
      <w:r>
        <w:t xml:space="preserve"> </w:t>
      </w:r>
      <w:r w:rsidRPr="00F16ED9">
        <w:t xml:space="preserve">“Comments from </w:t>
      </w:r>
      <w:proofErr w:type="spellStart"/>
      <w:r w:rsidRPr="00F16ED9">
        <w:t>Shri</w:t>
      </w:r>
      <w:proofErr w:type="spellEnd"/>
      <w:r w:rsidRPr="00F16ED9">
        <w:t xml:space="preserve"> </w:t>
      </w:r>
      <w:proofErr w:type="spellStart"/>
      <w:r w:rsidRPr="00F16ED9">
        <w:t>Mataji</w:t>
      </w:r>
      <w:proofErr w:type="spellEnd"/>
      <w:r w:rsidRPr="00F16ED9">
        <w:t xml:space="preserve">,” </w:t>
      </w:r>
      <w:r>
        <w:t xml:space="preserve">eds. Derek Ferguson and </w:t>
      </w:r>
      <w:r w:rsidRPr="00F16ED9">
        <w:t xml:space="preserve">John </w:t>
      </w:r>
      <w:proofErr w:type="spellStart"/>
      <w:r w:rsidRPr="00F16ED9">
        <w:t>Noyce</w:t>
      </w:r>
      <w:proofErr w:type="spellEnd"/>
      <w:r w:rsidRPr="00F16ED9">
        <w:t>, accessed January 3, 2013, http://sahaja-library.blogspot.com/p/comments-from-shri-mataji.html</w:t>
      </w:r>
    </w:p>
  </w:endnote>
  <w:endnote w:id="13">
    <w:p w:rsidR="00355338" w:rsidRDefault="00355338" w:rsidP="004C248B">
      <w:pPr>
        <w:pStyle w:val="EndnoteText"/>
        <w:ind w:left="180" w:hanging="180"/>
        <w:jc w:val="both"/>
      </w:pPr>
      <w:r>
        <w:rPr>
          <w:rStyle w:val="EndnoteReference"/>
        </w:rPr>
        <w:endnoteRef/>
      </w:r>
      <w:r>
        <w:t xml:space="preserve"> </w:t>
      </w:r>
      <w:proofErr w:type="spellStart"/>
      <w:proofErr w:type="gramStart"/>
      <w:r w:rsidRPr="00F83C41">
        <w:t>Simine</w:t>
      </w:r>
      <w:proofErr w:type="spellEnd"/>
      <w:r w:rsidRPr="00F83C41">
        <w:t xml:space="preserve"> </w:t>
      </w:r>
      <w:proofErr w:type="spellStart"/>
      <w:r w:rsidRPr="00F83C41">
        <w:t>Vazire</w:t>
      </w:r>
      <w:proofErr w:type="spellEnd"/>
      <w:r w:rsidRPr="00F83C41">
        <w:t xml:space="preserve"> and Tim D. Wilson, </w:t>
      </w:r>
      <w:r w:rsidRPr="00F83C41">
        <w:rPr>
          <w:i/>
        </w:rPr>
        <w:t>Handbook of Self-Knowledge</w:t>
      </w:r>
      <w:r w:rsidRPr="00F83C41">
        <w:t>, (Guilford Publication, 2012).</w:t>
      </w:r>
      <w:proofErr w:type="gramEnd"/>
    </w:p>
    <w:p w:rsidR="00355338" w:rsidRDefault="00355338" w:rsidP="004C248B">
      <w:pPr>
        <w:rPr>
          <w:b/>
          <w:sz w:val="20"/>
          <w:lang w:val="en-US"/>
        </w:rPr>
      </w:pPr>
    </w:p>
    <w:p w:rsidR="00355338" w:rsidRDefault="00355338" w:rsidP="004C248B">
      <w:pPr>
        <w:jc w:val="center"/>
        <w:rPr>
          <w:b/>
          <w:szCs w:val="24"/>
          <w:lang w:val="en-US"/>
        </w:rPr>
      </w:pPr>
      <w:r>
        <w:rPr>
          <w:b/>
          <w:szCs w:val="24"/>
          <w:lang w:val="en-US"/>
        </w:rPr>
        <w:t>Bibliography</w:t>
      </w:r>
    </w:p>
    <w:p w:rsidR="00355338" w:rsidRDefault="00355338" w:rsidP="004C248B">
      <w:pPr>
        <w:jc w:val="center"/>
        <w:rPr>
          <w:b/>
          <w:szCs w:val="24"/>
          <w:lang w:val="en-US"/>
        </w:rPr>
      </w:pPr>
    </w:p>
    <w:p w:rsidR="00355338" w:rsidRDefault="00355338" w:rsidP="009F5807">
      <w:pPr>
        <w:jc w:val="both"/>
        <w:rPr>
          <w:lang w:val="en-US"/>
        </w:rPr>
      </w:pPr>
    </w:p>
    <w:p w:rsidR="00355338" w:rsidRDefault="00355338" w:rsidP="004C248B">
      <w:pPr>
        <w:pStyle w:val="EndnoteText"/>
      </w:pPr>
      <w:proofErr w:type="spellStart"/>
      <w:proofErr w:type="gramStart"/>
      <w:r>
        <w:t>Calude</w:t>
      </w:r>
      <w:proofErr w:type="spellEnd"/>
      <w:r>
        <w:t xml:space="preserve">, </w:t>
      </w:r>
      <w:proofErr w:type="spellStart"/>
      <w:r w:rsidRPr="000E7E11">
        <w:t>Cristian</w:t>
      </w:r>
      <w:proofErr w:type="spellEnd"/>
      <w:r w:rsidRPr="000E7E11">
        <w:t xml:space="preserve"> S. </w:t>
      </w:r>
      <w:r>
        <w:t>and Michael A. Stay.</w:t>
      </w:r>
      <w:proofErr w:type="gramEnd"/>
      <w:r w:rsidRPr="000E7E11">
        <w:t xml:space="preserve"> </w:t>
      </w:r>
      <w:proofErr w:type="gramStart"/>
      <w:r w:rsidRPr="000E7E11">
        <w:t>'From H</w:t>
      </w:r>
      <w:r>
        <w:t xml:space="preserve">eisenberg to Gödel via </w:t>
      </w:r>
      <w:proofErr w:type="spellStart"/>
      <w:r>
        <w:t>Chaitin</w:t>
      </w:r>
      <w:proofErr w:type="spellEnd"/>
      <w:r>
        <w:t>'.</w:t>
      </w:r>
      <w:proofErr w:type="gramEnd"/>
      <w:r w:rsidRPr="000E7E11">
        <w:t xml:space="preserve"> </w:t>
      </w:r>
      <w:r w:rsidRPr="000E7E11">
        <w:rPr>
          <w:i/>
        </w:rPr>
        <w:t xml:space="preserve">International Journal of </w:t>
      </w:r>
      <w:proofErr w:type="gramStart"/>
      <w:r w:rsidRPr="000E7E11">
        <w:rPr>
          <w:i/>
        </w:rPr>
        <w:t>Theoretical  Physics</w:t>
      </w:r>
      <w:proofErr w:type="gramEnd"/>
      <w:r>
        <w:t xml:space="preserve"> 44(7) (2005):</w:t>
      </w:r>
      <w:r w:rsidRPr="000E7E11">
        <w:t xml:space="preserve"> 1054-1065.</w:t>
      </w:r>
    </w:p>
    <w:p w:rsidR="00355338" w:rsidRDefault="00355338" w:rsidP="004C248B">
      <w:pPr>
        <w:pStyle w:val="EndnoteText"/>
      </w:pPr>
    </w:p>
    <w:p w:rsidR="00355338" w:rsidRPr="00E955B6" w:rsidRDefault="00355338" w:rsidP="004C248B">
      <w:pPr>
        <w:pStyle w:val="EndnoteText"/>
        <w:rPr>
          <w:lang w:val="en-US"/>
        </w:rPr>
      </w:pPr>
      <w:r w:rsidRPr="00E955B6">
        <w:t>Cook</w:t>
      </w:r>
      <w:r>
        <w:t>,</w:t>
      </w:r>
      <w:r w:rsidRPr="00E955B6">
        <w:t xml:space="preserve"> David A. </w:t>
      </w:r>
      <w:r>
        <w:t>and Thomas J. Beckman.</w:t>
      </w:r>
      <w:r w:rsidRPr="00E955B6">
        <w:t xml:space="preserve"> 'Current Concepts in Validity and Reliability for Psychometric Instr</w:t>
      </w:r>
      <w:r>
        <w:t>uments: Theory and Application'.</w:t>
      </w:r>
      <w:r w:rsidRPr="00E955B6">
        <w:t xml:space="preserve"> </w:t>
      </w:r>
      <w:proofErr w:type="gramStart"/>
      <w:r w:rsidRPr="00E955B6">
        <w:rPr>
          <w:i/>
        </w:rPr>
        <w:t>The American Journal of Medicine</w:t>
      </w:r>
      <w:r w:rsidRPr="00E955B6">
        <w:t xml:space="preserve"> 119 (2006).</w:t>
      </w:r>
      <w:proofErr w:type="gramEnd"/>
    </w:p>
    <w:p w:rsidR="00355338" w:rsidRDefault="00355338" w:rsidP="004C248B">
      <w:pPr>
        <w:pStyle w:val="EndnoteText"/>
      </w:pPr>
    </w:p>
    <w:p w:rsidR="00355338" w:rsidRPr="000E7E11" w:rsidRDefault="00355338" w:rsidP="004C248B">
      <w:pPr>
        <w:pStyle w:val="EndnoteText"/>
        <w:rPr>
          <w:lang w:val="en-US"/>
        </w:rPr>
      </w:pPr>
      <w:proofErr w:type="spellStart"/>
      <w:r w:rsidRPr="000E7E11">
        <w:t>Embretson</w:t>
      </w:r>
      <w:proofErr w:type="spellEnd"/>
      <w:r>
        <w:t>,</w:t>
      </w:r>
      <w:r w:rsidRPr="000E7E11">
        <w:t xml:space="preserve"> Susan E.</w:t>
      </w:r>
      <w:r>
        <w:t xml:space="preserve"> 'The New Rules of Measurement'.</w:t>
      </w:r>
      <w:r w:rsidRPr="000E7E11">
        <w:t xml:space="preserve"> </w:t>
      </w:r>
      <w:r w:rsidRPr="000E7E11">
        <w:rPr>
          <w:i/>
        </w:rPr>
        <w:t>Psychological Assessment</w:t>
      </w:r>
      <w:r w:rsidRPr="000E7E11">
        <w:t xml:space="preserve"> 8(4), </w:t>
      </w:r>
      <w:r>
        <w:t xml:space="preserve">(1996): </w:t>
      </w:r>
      <w:r w:rsidRPr="000E7E11">
        <w:t>341-349.</w:t>
      </w:r>
    </w:p>
    <w:p w:rsidR="00355338" w:rsidRDefault="00355338" w:rsidP="004C248B">
      <w:pPr>
        <w:pStyle w:val="EndnoteText"/>
      </w:pPr>
    </w:p>
    <w:p w:rsidR="00355338" w:rsidRDefault="00355338" w:rsidP="004C248B">
      <w:pPr>
        <w:pStyle w:val="EndnoteText"/>
      </w:pPr>
      <w:r w:rsidRPr="000E7E11">
        <w:t>Forman</w:t>
      </w:r>
      <w:r>
        <w:t xml:space="preserve">, </w:t>
      </w:r>
      <w:r w:rsidRPr="000E7E11">
        <w:t xml:space="preserve">Robert K. C. </w:t>
      </w:r>
      <w:r w:rsidRPr="000E7E11">
        <w:rPr>
          <w:i/>
        </w:rPr>
        <w:t>The Problem of Pure Consciousness: Mysticism and Philosophy</w:t>
      </w:r>
      <w:r>
        <w:t xml:space="preserve">. </w:t>
      </w:r>
      <w:proofErr w:type="gramStart"/>
      <w:r>
        <w:t>Oxford University Press, 1997.</w:t>
      </w:r>
      <w:proofErr w:type="gramEnd"/>
    </w:p>
    <w:p w:rsidR="00355338" w:rsidRDefault="00355338" w:rsidP="004C248B">
      <w:pPr>
        <w:pStyle w:val="EndnoteText"/>
      </w:pPr>
    </w:p>
    <w:p w:rsidR="00355338" w:rsidRPr="005C4C7A" w:rsidRDefault="00355338" w:rsidP="004C248B">
      <w:pPr>
        <w:pStyle w:val="EndnoteText"/>
        <w:rPr>
          <w:lang w:val="en-US"/>
        </w:rPr>
      </w:pPr>
      <w:proofErr w:type="spellStart"/>
      <w:r w:rsidRPr="000E7E11">
        <w:t>Franke</w:t>
      </w:r>
      <w:proofErr w:type="spellEnd"/>
      <w:r>
        <w:t>,</w:t>
      </w:r>
      <w:r w:rsidRPr="000E7E11">
        <w:t xml:space="preserve"> William</w:t>
      </w:r>
      <w:r>
        <w:t>.</w:t>
      </w:r>
      <w:r w:rsidRPr="000E7E11">
        <w:t xml:space="preserve"> </w:t>
      </w:r>
      <w:r w:rsidRPr="000E7E11">
        <w:rPr>
          <w:i/>
        </w:rPr>
        <w:t xml:space="preserve">On What </w:t>
      </w:r>
      <w:proofErr w:type="gramStart"/>
      <w:r w:rsidRPr="000E7E11">
        <w:rPr>
          <w:i/>
        </w:rPr>
        <w:t>Cannot</w:t>
      </w:r>
      <w:proofErr w:type="gramEnd"/>
      <w:r w:rsidRPr="000E7E11">
        <w:rPr>
          <w:i/>
        </w:rPr>
        <w:t xml:space="preserve"> be Said: </w:t>
      </w:r>
      <w:proofErr w:type="spellStart"/>
      <w:r w:rsidRPr="000E7E11">
        <w:rPr>
          <w:i/>
        </w:rPr>
        <w:t>Apophatic</w:t>
      </w:r>
      <w:proofErr w:type="spellEnd"/>
      <w:r w:rsidRPr="000E7E11">
        <w:rPr>
          <w:i/>
        </w:rPr>
        <w:t xml:space="preserve"> Discourses in Philosophy</w:t>
      </w:r>
      <w:r>
        <w:t xml:space="preserve">. </w:t>
      </w:r>
      <w:r w:rsidRPr="000E7E11">
        <w:t>Unive</w:t>
      </w:r>
      <w:r>
        <w:t>rsity of Notre Dame Press, 2007</w:t>
      </w:r>
      <w:r w:rsidRPr="000E7E11">
        <w:t>.</w:t>
      </w:r>
    </w:p>
    <w:p w:rsidR="00355338" w:rsidRDefault="00355338" w:rsidP="004C248B">
      <w:pPr>
        <w:spacing w:after="120"/>
        <w:jc w:val="both"/>
        <w:rPr>
          <w:sz w:val="20"/>
        </w:rPr>
      </w:pPr>
    </w:p>
    <w:p w:rsidR="00355338" w:rsidRPr="00B51466" w:rsidRDefault="00355338" w:rsidP="004C248B">
      <w:pPr>
        <w:spacing w:after="120"/>
        <w:jc w:val="both"/>
        <w:rPr>
          <w:sz w:val="20"/>
        </w:rPr>
      </w:pPr>
      <w:proofErr w:type="spellStart"/>
      <w:r w:rsidRPr="00BF1A99">
        <w:rPr>
          <w:sz w:val="20"/>
        </w:rPr>
        <w:t>Krishnamurti</w:t>
      </w:r>
      <w:proofErr w:type="spellEnd"/>
      <w:r w:rsidRPr="00BF1A99">
        <w:rPr>
          <w:sz w:val="20"/>
        </w:rPr>
        <w:t>,</w:t>
      </w:r>
      <w:r>
        <w:rPr>
          <w:sz w:val="20"/>
        </w:rPr>
        <w:t xml:space="preserve"> </w:t>
      </w:r>
      <w:proofErr w:type="spellStart"/>
      <w:r w:rsidRPr="00BF1A99">
        <w:rPr>
          <w:sz w:val="20"/>
        </w:rPr>
        <w:t>Jiddu</w:t>
      </w:r>
      <w:proofErr w:type="spellEnd"/>
      <w:r>
        <w:rPr>
          <w:sz w:val="20"/>
        </w:rPr>
        <w:t>.</w:t>
      </w:r>
      <w:r w:rsidRPr="00BF1A99">
        <w:rPr>
          <w:sz w:val="20"/>
        </w:rPr>
        <w:t xml:space="preserve"> </w:t>
      </w:r>
      <w:r w:rsidRPr="00BF1A99">
        <w:rPr>
          <w:i/>
          <w:iCs/>
          <w:sz w:val="20"/>
        </w:rPr>
        <w:t xml:space="preserve">Freedom </w:t>
      </w:r>
      <w:proofErr w:type="gramStart"/>
      <w:r w:rsidRPr="00BF1A99">
        <w:rPr>
          <w:i/>
          <w:iCs/>
          <w:sz w:val="20"/>
        </w:rPr>
        <w:t>From</w:t>
      </w:r>
      <w:proofErr w:type="gramEnd"/>
      <w:r w:rsidRPr="00BF1A99">
        <w:rPr>
          <w:i/>
          <w:iCs/>
          <w:sz w:val="20"/>
        </w:rPr>
        <w:t xml:space="preserve"> the Known</w:t>
      </w:r>
      <w:r>
        <w:rPr>
          <w:sz w:val="20"/>
        </w:rPr>
        <w:t>, edited by</w:t>
      </w:r>
      <w:r w:rsidRPr="00BF1A99">
        <w:rPr>
          <w:sz w:val="20"/>
        </w:rPr>
        <w:t xml:space="preserve"> Mary </w:t>
      </w:r>
      <w:proofErr w:type="spellStart"/>
      <w:r w:rsidRPr="00BF1A99">
        <w:rPr>
          <w:sz w:val="20"/>
        </w:rPr>
        <w:t>Lutyens</w:t>
      </w:r>
      <w:proofErr w:type="spellEnd"/>
      <w:r>
        <w:rPr>
          <w:sz w:val="20"/>
        </w:rPr>
        <w:t>,</w:t>
      </w:r>
      <w:r w:rsidRPr="00BF1A99">
        <w:rPr>
          <w:sz w:val="20"/>
        </w:rPr>
        <w:t xml:space="preserve"> 105-110</w:t>
      </w:r>
      <w:r>
        <w:rPr>
          <w:sz w:val="20"/>
        </w:rPr>
        <w:t>.</w:t>
      </w:r>
      <w:r w:rsidRPr="00BF1A99">
        <w:rPr>
          <w:sz w:val="20"/>
        </w:rPr>
        <w:t xml:space="preserve"> </w:t>
      </w:r>
      <w:proofErr w:type="gramStart"/>
      <w:r w:rsidRPr="00025909">
        <w:rPr>
          <w:sz w:val="20"/>
        </w:rPr>
        <w:t>Harper, 1975.</w:t>
      </w:r>
      <w:proofErr w:type="gramEnd"/>
    </w:p>
    <w:p w:rsidR="00355338" w:rsidRDefault="00355338" w:rsidP="004C248B">
      <w:pPr>
        <w:pStyle w:val="EndnoteText"/>
        <w:rPr>
          <w:lang w:val="en-US"/>
        </w:rPr>
      </w:pPr>
      <w:proofErr w:type="spellStart"/>
      <w:r w:rsidRPr="000E7E11">
        <w:t>Manocha</w:t>
      </w:r>
      <w:proofErr w:type="spellEnd"/>
      <w:r>
        <w:t>,</w:t>
      </w:r>
      <w:r w:rsidRPr="000E7E11">
        <w:t xml:space="preserve"> Ramesh</w:t>
      </w:r>
      <w:r>
        <w:t>.</w:t>
      </w:r>
      <w:r w:rsidRPr="000E7E11">
        <w:t xml:space="preserve"> </w:t>
      </w:r>
      <w:proofErr w:type="gramStart"/>
      <w:r w:rsidRPr="000E7E11">
        <w:t>'Scientifi</w:t>
      </w:r>
      <w:r>
        <w:t>c Evaluation of Mental Silence'.</w:t>
      </w:r>
      <w:proofErr w:type="gramEnd"/>
      <w:r w:rsidRPr="000E7E11">
        <w:t xml:space="preserve"> (PhD diss., University of Ne</w:t>
      </w:r>
      <w:r>
        <w:t>w South Wales, Australia, 2009:</w:t>
      </w:r>
      <w:r w:rsidRPr="000E7E11">
        <w:t xml:space="preserve"> 93-102.</w:t>
      </w:r>
    </w:p>
    <w:p w:rsidR="00355338" w:rsidRDefault="00355338" w:rsidP="004C248B">
      <w:pPr>
        <w:pStyle w:val="EndnoteText"/>
      </w:pPr>
    </w:p>
    <w:p w:rsidR="00355338" w:rsidRPr="00E66448" w:rsidRDefault="00355338" w:rsidP="004C248B">
      <w:pPr>
        <w:pStyle w:val="EndnoteText"/>
        <w:rPr>
          <w:lang w:val="en-US"/>
        </w:rPr>
      </w:pPr>
      <w:proofErr w:type="spellStart"/>
      <w:proofErr w:type="gramStart"/>
      <w:r>
        <w:t>Muraki</w:t>
      </w:r>
      <w:proofErr w:type="spellEnd"/>
      <w:r>
        <w:t xml:space="preserve">, </w:t>
      </w:r>
      <w:proofErr w:type="spellStart"/>
      <w:r w:rsidRPr="00E66448">
        <w:t>Eiji</w:t>
      </w:r>
      <w:proofErr w:type="spellEnd"/>
      <w:r w:rsidRPr="00E66448">
        <w:t xml:space="preserve"> </w:t>
      </w:r>
      <w:r>
        <w:t>and R. D. Bock.</w:t>
      </w:r>
      <w:proofErr w:type="gramEnd"/>
      <w:r w:rsidRPr="00E66448">
        <w:t xml:space="preserve"> </w:t>
      </w:r>
      <w:r w:rsidRPr="00E66448">
        <w:rPr>
          <w:i/>
        </w:rPr>
        <w:t>PARSCALE 4 for Windows: IRT based test scoring and item analysis for graded items and rating scales</w:t>
      </w:r>
      <w:r>
        <w:t xml:space="preserve"> [Computer software]. </w:t>
      </w:r>
      <w:r w:rsidRPr="00E66448">
        <w:t>Skokie, IL: Scientific So</w:t>
      </w:r>
      <w:r>
        <w:t xml:space="preserve">ftware International, </w:t>
      </w:r>
      <w:proofErr w:type="spellStart"/>
      <w:r>
        <w:t>Inc</w:t>
      </w:r>
      <w:proofErr w:type="spellEnd"/>
      <w:r>
        <w:t>, 2003</w:t>
      </w:r>
      <w:r w:rsidRPr="00E66448">
        <w:t>.</w:t>
      </w:r>
    </w:p>
    <w:p w:rsidR="00355338" w:rsidRDefault="00355338" w:rsidP="004C248B">
      <w:pPr>
        <w:pStyle w:val="EndnoteText"/>
      </w:pPr>
    </w:p>
    <w:p w:rsidR="00355338" w:rsidRPr="00E955B6" w:rsidRDefault="00355338" w:rsidP="004C248B">
      <w:pPr>
        <w:pStyle w:val="EndnoteText"/>
        <w:rPr>
          <w:lang w:val="en-US"/>
        </w:rPr>
      </w:pPr>
      <w:proofErr w:type="spellStart"/>
      <w:r w:rsidRPr="00E955B6">
        <w:t>Rubia</w:t>
      </w:r>
      <w:proofErr w:type="spellEnd"/>
      <w:r>
        <w:t xml:space="preserve">, </w:t>
      </w:r>
      <w:r w:rsidRPr="00E955B6">
        <w:t>Katya</w:t>
      </w:r>
      <w:r>
        <w:t>.</w:t>
      </w:r>
      <w:r w:rsidRPr="00E955B6">
        <w:t xml:space="preserve"> </w:t>
      </w:r>
      <w:proofErr w:type="gramStart"/>
      <w:r w:rsidRPr="00E955B6">
        <w:t>'The neurobiology of meditation and its clinical effectiv</w:t>
      </w:r>
      <w:r>
        <w:t>eness in psychiatric disorders'.</w:t>
      </w:r>
      <w:proofErr w:type="gramEnd"/>
      <w:r w:rsidRPr="00E955B6">
        <w:t xml:space="preserve"> </w:t>
      </w:r>
      <w:r w:rsidRPr="00E955B6">
        <w:rPr>
          <w:i/>
        </w:rPr>
        <w:t>Biological Psychology</w:t>
      </w:r>
      <w:r w:rsidRPr="00E955B6">
        <w:t xml:space="preserve"> </w:t>
      </w:r>
      <w:r>
        <w:t>82(1) (2009):</w:t>
      </w:r>
      <w:r w:rsidRPr="00E955B6">
        <w:t xml:space="preserve"> 1-11.</w:t>
      </w:r>
    </w:p>
    <w:p w:rsidR="00355338" w:rsidRDefault="00355338" w:rsidP="004C248B">
      <w:pPr>
        <w:pStyle w:val="EndnoteText"/>
      </w:pPr>
    </w:p>
    <w:p w:rsidR="00355338" w:rsidRPr="00F16ED9" w:rsidRDefault="00355338" w:rsidP="004C248B">
      <w:pPr>
        <w:pStyle w:val="EndnoteText"/>
        <w:rPr>
          <w:lang w:val="en-US"/>
        </w:rPr>
      </w:pPr>
      <w:proofErr w:type="spellStart"/>
      <w:r>
        <w:t>Srivastava</w:t>
      </w:r>
      <w:proofErr w:type="spellEnd"/>
      <w:r>
        <w:t xml:space="preserve">, </w:t>
      </w:r>
      <w:proofErr w:type="spellStart"/>
      <w:r>
        <w:t>Nirmala</w:t>
      </w:r>
      <w:proofErr w:type="spellEnd"/>
      <w:r>
        <w:t xml:space="preserve">. </w:t>
      </w:r>
      <w:r w:rsidRPr="00F16ED9">
        <w:t xml:space="preserve">“Comments from </w:t>
      </w:r>
      <w:proofErr w:type="spellStart"/>
      <w:r w:rsidRPr="00F16ED9">
        <w:t>Shri</w:t>
      </w:r>
      <w:proofErr w:type="spellEnd"/>
      <w:r w:rsidRPr="00F16ED9">
        <w:t xml:space="preserve"> </w:t>
      </w:r>
      <w:proofErr w:type="spellStart"/>
      <w:r w:rsidRPr="00F16ED9">
        <w:t>Mataji</w:t>
      </w:r>
      <w:proofErr w:type="spellEnd"/>
      <w:r w:rsidRPr="00F16ED9">
        <w:t xml:space="preserve">,” </w:t>
      </w:r>
      <w:r>
        <w:t xml:space="preserve">edited by Derek Ferguson and </w:t>
      </w:r>
      <w:r w:rsidRPr="00F16ED9">
        <w:t xml:space="preserve">John </w:t>
      </w:r>
      <w:proofErr w:type="spellStart"/>
      <w:r>
        <w:t>Noyce</w:t>
      </w:r>
      <w:proofErr w:type="spellEnd"/>
      <w:r>
        <w:t>, accessed January 3, 2013.</w:t>
      </w:r>
      <w:r w:rsidRPr="00F16ED9">
        <w:t xml:space="preserve"> http://sahaja-library.blogspot.com/p/comments-from-shri-mataji.html</w:t>
      </w:r>
    </w:p>
    <w:p w:rsidR="00355338" w:rsidRDefault="00355338" w:rsidP="004C248B">
      <w:pPr>
        <w:pStyle w:val="EndnoteText"/>
      </w:pPr>
    </w:p>
    <w:p w:rsidR="00355338" w:rsidRPr="00F83C41" w:rsidRDefault="00355338" w:rsidP="004C248B">
      <w:pPr>
        <w:pStyle w:val="EndnoteText"/>
        <w:rPr>
          <w:lang w:val="en-US"/>
        </w:rPr>
      </w:pPr>
      <w:proofErr w:type="spellStart"/>
      <w:proofErr w:type="gramStart"/>
      <w:r w:rsidRPr="00F83C41">
        <w:t>Vazire</w:t>
      </w:r>
      <w:proofErr w:type="spellEnd"/>
      <w:r>
        <w:t>,</w:t>
      </w:r>
      <w:r w:rsidRPr="00F83C41">
        <w:t xml:space="preserve"> </w:t>
      </w:r>
      <w:proofErr w:type="spellStart"/>
      <w:r w:rsidRPr="00F83C41">
        <w:t>Simine</w:t>
      </w:r>
      <w:proofErr w:type="spellEnd"/>
      <w:r>
        <w:t>,</w:t>
      </w:r>
      <w:r w:rsidRPr="00F83C41">
        <w:t xml:space="preserve"> </w:t>
      </w:r>
      <w:r>
        <w:t>and Tim D. Wilson.</w:t>
      </w:r>
      <w:proofErr w:type="gramEnd"/>
      <w:r w:rsidRPr="00F83C41">
        <w:t xml:space="preserve"> </w:t>
      </w:r>
      <w:proofErr w:type="gramStart"/>
      <w:r w:rsidRPr="00F83C41">
        <w:rPr>
          <w:i/>
        </w:rPr>
        <w:t>Handbook of Self-Knowledge</w:t>
      </w:r>
      <w:r>
        <w:t>.</w:t>
      </w:r>
      <w:proofErr w:type="gramEnd"/>
      <w:r>
        <w:t xml:space="preserve"> </w:t>
      </w:r>
      <w:proofErr w:type="gramStart"/>
      <w:r>
        <w:t>Guilford Publication, 2012</w:t>
      </w:r>
      <w:r w:rsidRPr="00F83C41">
        <w:t>.</w:t>
      </w:r>
      <w:proofErr w:type="gramEnd"/>
    </w:p>
    <w:p w:rsidR="00355338" w:rsidRDefault="00355338" w:rsidP="004C248B">
      <w:pPr>
        <w:pStyle w:val="EndnoteText"/>
      </w:pPr>
    </w:p>
    <w:p w:rsidR="00355338" w:rsidRPr="000E7E11" w:rsidRDefault="00355338" w:rsidP="004C248B">
      <w:pPr>
        <w:pStyle w:val="EndnoteText"/>
        <w:rPr>
          <w:lang w:val="en-US"/>
        </w:rPr>
      </w:pPr>
      <w:r>
        <w:t xml:space="preserve">Wegner, Daniel M. 'Thought Suppression and Mental Control'. </w:t>
      </w:r>
      <w:proofErr w:type="gramStart"/>
      <w:r>
        <w:t xml:space="preserve">In </w:t>
      </w:r>
      <w:proofErr w:type="spellStart"/>
      <w:r w:rsidRPr="000E7E11">
        <w:rPr>
          <w:i/>
        </w:rPr>
        <w:t>Encyclopedia</w:t>
      </w:r>
      <w:proofErr w:type="spellEnd"/>
      <w:r w:rsidRPr="000E7E11">
        <w:rPr>
          <w:i/>
        </w:rPr>
        <w:t xml:space="preserve"> of Cognitive Science</w:t>
      </w:r>
      <w:r>
        <w:t>,</w:t>
      </w:r>
      <w:r w:rsidRPr="005C4C7A">
        <w:t xml:space="preserve"> </w:t>
      </w:r>
      <w:r>
        <w:t>395-397.</w:t>
      </w:r>
      <w:proofErr w:type="gramEnd"/>
      <w:r>
        <w:t xml:space="preserve"> London: Macmillan, 2003.</w:t>
      </w:r>
    </w:p>
    <w:p w:rsidR="00355338" w:rsidRDefault="00355338" w:rsidP="004C248B">
      <w:pPr>
        <w:spacing w:after="120"/>
        <w:jc w:val="both"/>
        <w:rPr>
          <w:color w:val="000000"/>
          <w:sz w:val="20"/>
        </w:rPr>
      </w:pPr>
    </w:p>
    <w:p w:rsidR="00355338" w:rsidRDefault="00355338" w:rsidP="004C248B">
      <w:pPr>
        <w:spacing w:after="120"/>
        <w:jc w:val="both"/>
      </w:pPr>
      <w:r w:rsidRPr="00BE7A40">
        <w:rPr>
          <w:b/>
          <w:sz w:val="20"/>
        </w:rPr>
        <w:t xml:space="preserve">Joshua N. </w:t>
      </w:r>
      <w:proofErr w:type="spellStart"/>
      <w:r w:rsidRPr="00BE7A40">
        <w:rPr>
          <w:b/>
          <w:sz w:val="20"/>
        </w:rPr>
        <w:t>Pritikin</w:t>
      </w:r>
      <w:proofErr w:type="spellEnd"/>
      <w:r w:rsidRPr="00F93A30">
        <w:rPr>
          <w:sz w:val="20"/>
        </w:rPr>
        <w:t xml:space="preserve"> is</w:t>
      </w:r>
      <w:r>
        <w:rPr>
          <w:sz w:val="20"/>
        </w:rPr>
        <w:t xml:space="preserve"> a graduate student and </w:t>
      </w:r>
      <w:r w:rsidRPr="00BE7A40">
        <w:rPr>
          <w:b/>
          <w:sz w:val="20"/>
        </w:rPr>
        <w:t>Karen Schmidt</w:t>
      </w:r>
      <w:r>
        <w:rPr>
          <w:sz w:val="20"/>
        </w:rPr>
        <w:t xml:space="preserve"> is a professor at University of Virginia. Joshua has practiced </w:t>
      </w:r>
      <w:proofErr w:type="spellStart"/>
      <w:r>
        <w:rPr>
          <w:sz w:val="20"/>
        </w:rPr>
        <w:t>Sahaja</w:t>
      </w:r>
      <w:proofErr w:type="spellEnd"/>
      <w:r>
        <w:rPr>
          <w:sz w:val="20"/>
        </w:rPr>
        <w:t xml:space="preserve"> Meditation for more than 10 years. </w:t>
      </w:r>
      <w:r w:rsidRPr="007E0280">
        <w:rPr>
          <w:sz w:val="20"/>
        </w:rPr>
        <w:t>We report all data exclusions, manipulations, and measures</w:t>
      </w:r>
      <w:r>
        <w:rPr>
          <w:sz w:val="20"/>
        </w:rPr>
        <w:t xml:space="preserve">. Design, analysis, paper: J.P. Advice, encouragement: K.S. We thank Jean Hu, Michael </w:t>
      </w:r>
      <w:proofErr w:type="spellStart"/>
      <w:r>
        <w:rPr>
          <w:sz w:val="20"/>
        </w:rPr>
        <w:t>Kubovy</w:t>
      </w:r>
      <w:proofErr w:type="spellEnd"/>
      <w:r>
        <w:rPr>
          <w:sz w:val="20"/>
        </w:rPr>
        <w:t xml:space="preserve">, and Susanna Williams. Materials and data are available here, </w:t>
      </w:r>
      <w:r w:rsidRPr="007E5343">
        <w:rPr>
          <w:sz w:val="20"/>
        </w:rPr>
        <w:t>http://openscienceframework.org/project/fpxmZ/</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B67" w:rsidRDefault="00320483">
      <w:r>
        <w:separator/>
      </w:r>
    </w:p>
  </w:footnote>
  <w:footnote w:type="continuationSeparator" w:id="0">
    <w:p w:rsidR="00BC3B67" w:rsidRDefault="00320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338" w:rsidRDefault="00355338">
    <w:pPr>
      <w:pStyle w:val="Header"/>
      <w:framePr w:wrap="around" w:vAnchor="text" w:hAnchor="margin" w:xAlign="outside" w:y="1"/>
      <w:rPr>
        <w:rStyle w:val="PageNumber"/>
      </w:rPr>
    </w:pPr>
    <w:r>
      <w:rPr>
        <w:rStyle w:val="PageNumber"/>
        <w:sz w:val="20"/>
      </w:rPr>
      <w:fldChar w:fldCharType="begin"/>
    </w:r>
    <w:r>
      <w:rPr>
        <w:rStyle w:val="PageNumber"/>
        <w:sz w:val="20"/>
      </w:rPr>
      <w:instrText xml:space="preserve">PAGE  </w:instrText>
    </w:r>
    <w:r>
      <w:rPr>
        <w:rStyle w:val="PageNumber"/>
        <w:sz w:val="20"/>
      </w:rPr>
      <w:fldChar w:fldCharType="separate"/>
    </w:r>
    <w:r w:rsidR="00440EF8">
      <w:rPr>
        <w:rStyle w:val="PageNumber"/>
        <w:noProof/>
        <w:sz w:val="20"/>
      </w:rPr>
      <w:t>6</w:t>
    </w:r>
    <w:r>
      <w:rPr>
        <w:rStyle w:val="PageNumber"/>
        <w:sz w:val="20"/>
      </w:rPr>
      <w:fldChar w:fldCharType="end"/>
    </w:r>
  </w:p>
  <w:p w:rsidR="00355338" w:rsidRDefault="00355338">
    <w:pPr>
      <w:pStyle w:val="Header"/>
      <w:tabs>
        <w:tab w:val="clear" w:pos="4320"/>
      </w:tabs>
      <w:spacing w:line="360" w:lineRule="auto"/>
      <w:jc w:val="center"/>
      <w:rPr>
        <w:i/>
        <w:iCs/>
        <w:sz w:val="20"/>
      </w:rPr>
    </w:pPr>
    <w:r>
      <w:rPr>
        <w:i/>
        <w:iCs/>
        <w:sz w:val="20"/>
      </w:rPr>
      <w:t>A self-report measure for familiarity with mental silence</w:t>
    </w:r>
  </w:p>
  <w:p w:rsidR="00355338" w:rsidRDefault="00355338">
    <w:pPr>
      <w:pStyle w:val="Header"/>
      <w:tabs>
        <w:tab w:val="clear" w:pos="4320"/>
      </w:tabs>
      <w:spacing w:line="360" w:lineRule="auto"/>
      <w:jc w:val="center"/>
      <w:rPr>
        <w:i/>
        <w:iCs/>
        <w:sz w:val="20"/>
      </w:rPr>
    </w:pPr>
    <w:r>
      <w:rPr>
        <w:i/>
        <w:iCs/>
        <w:sz w:val="20"/>
      </w:rPr>
      <w:t>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338" w:rsidRDefault="00355338">
    <w:pPr>
      <w:pStyle w:val="Header"/>
      <w:framePr w:wrap="around" w:vAnchor="text" w:hAnchor="margin" w:xAlign="outside" w:y="1"/>
      <w:rPr>
        <w:rStyle w:val="PageNumber"/>
      </w:rPr>
    </w:pPr>
    <w:r>
      <w:rPr>
        <w:rStyle w:val="PageNumber"/>
        <w:sz w:val="20"/>
      </w:rPr>
      <w:fldChar w:fldCharType="begin"/>
    </w:r>
    <w:r>
      <w:rPr>
        <w:rStyle w:val="PageNumber"/>
        <w:sz w:val="20"/>
      </w:rPr>
      <w:instrText xml:space="preserve">PAGE  </w:instrText>
    </w:r>
    <w:r>
      <w:rPr>
        <w:rStyle w:val="PageNumber"/>
        <w:sz w:val="20"/>
      </w:rPr>
      <w:fldChar w:fldCharType="separate"/>
    </w:r>
    <w:r w:rsidR="00440EF8">
      <w:rPr>
        <w:rStyle w:val="PageNumber"/>
        <w:noProof/>
        <w:sz w:val="20"/>
      </w:rPr>
      <w:t>9</w:t>
    </w:r>
    <w:r>
      <w:rPr>
        <w:rStyle w:val="PageNumber"/>
        <w:sz w:val="20"/>
      </w:rPr>
      <w:fldChar w:fldCharType="end"/>
    </w:r>
  </w:p>
  <w:p w:rsidR="00355338" w:rsidRDefault="00355338">
    <w:pPr>
      <w:pStyle w:val="Header"/>
      <w:tabs>
        <w:tab w:val="clear" w:pos="4320"/>
      </w:tabs>
      <w:spacing w:line="360" w:lineRule="auto"/>
      <w:jc w:val="center"/>
      <w:rPr>
        <w:i/>
        <w:iCs/>
        <w:sz w:val="20"/>
      </w:rPr>
    </w:pPr>
    <w:r>
      <w:rPr>
        <w:i/>
        <w:iCs/>
        <w:sz w:val="20"/>
      </w:rPr>
      <w:t xml:space="preserve">Joshua N. </w:t>
    </w:r>
    <w:proofErr w:type="spellStart"/>
    <w:r>
      <w:rPr>
        <w:i/>
        <w:iCs/>
        <w:sz w:val="20"/>
      </w:rPr>
      <w:t>Pritikin</w:t>
    </w:r>
    <w:proofErr w:type="spellEnd"/>
    <w:r>
      <w:rPr>
        <w:i/>
        <w:iCs/>
        <w:sz w:val="20"/>
      </w:rPr>
      <w:t xml:space="preserve"> and Karen Schmidt</w:t>
    </w:r>
  </w:p>
  <w:p w:rsidR="00355338" w:rsidRDefault="00355338">
    <w:pPr>
      <w:pStyle w:val="Header"/>
      <w:tabs>
        <w:tab w:val="clear" w:pos="4320"/>
      </w:tabs>
      <w:spacing w:line="360" w:lineRule="auto"/>
      <w:jc w:val="center"/>
      <w:rPr>
        <w:i/>
        <w:iCs/>
        <w:sz w:val="20"/>
      </w:rPr>
    </w:pPr>
    <w:r>
      <w:rPr>
        <w:i/>
        <w:iCs/>
        <w:sz w:val="20"/>
      </w:rPr>
      <w:t>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01CAD"/>
    <w:multiLevelType w:val="hybridMultilevel"/>
    <w:tmpl w:val="631E0EC6"/>
    <w:lvl w:ilvl="0" w:tplc="CF2EA02C">
      <w:start w:val="1"/>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revisionView w:markup="0"/>
  <w:doNotTrackMoves/>
  <w:defaultTabStop w:val="720"/>
  <w:evenAndOddHeader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0241"/>
  </w:hdrShapeDefaults>
  <w:footnotePr>
    <w:footnote w:id="-1"/>
    <w:footnote w:id="0"/>
  </w:footnotePr>
  <w:endnotePr>
    <w:numFmt w:val="decimal"/>
    <w:numRestart w:val="eachSect"/>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4C248B"/>
    <w:rsid w:val="0009071F"/>
    <w:rsid w:val="001127E3"/>
    <w:rsid w:val="001A1D79"/>
    <w:rsid w:val="00320483"/>
    <w:rsid w:val="00355338"/>
    <w:rsid w:val="0044018E"/>
    <w:rsid w:val="00440EF8"/>
    <w:rsid w:val="004C248B"/>
    <w:rsid w:val="004F2599"/>
    <w:rsid w:val="005E6ADB"/>
    <w:rsid w:val="006B2ED8"/>
    <w:rsid w:val="0074737A"/>
    <w:rsid w:val="00750040"/>
    <w:rsid w:val="00785215"/>
    <w:rsid w:val="007C6D14"/>
    <w:rsid w:val="008B1476"/>
    <w:rsid w:val="009F5807"/>
    <w:rsid w:val="00A67427"/>
    <w:rsid w:val="00A7450C"/>
    <w:rsid w:val="00B7428B"/>
    <w:rsid w:val="00B96760"/>
    <w:rsid w:val="00BC3B67"/>
    <w:rsid w:val="00BE7A40"/>
    <w:rsid w:val="00C96CA2"/>
    <w:rsid w:val="00CE0FA5"/>
    <w:rsid w:val="00D26A3E"/>
    <w:rsid w:val="00D26A6B"/>
    <w:rsid w:val="00EB0F04"/>
    <w:rsid w:val="00F440E2"/>
    <w:rsid w:val="00F62F8C"/>
    <w:rsid w:val="00FE052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48B"/>
    <w:rPr>
      <w:rFonts w:ascii="Times New Roman" w:eastAsia="Times New Roman" w:hAnsi="Times New Roman" w:cs="Times New Roman"/>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semiHidden/>
    <w:rsid w:val="004C248B"/>
    <w:rPr>
      <w:rFonts w:ascii="Tahoma" w:hAnsi="Tahoma" w:cs="Tahoma"/>
      <w:sz w:val="16"/>
      <w:szCs w:val="16"/>
    </w:rPr>
  </w:style>
  <w:style w:type="character" w:customStyle="1" w:styleId="BalloonTextChar">
    <w:name w:val="Balloon Text Char"/>
    <w:basedOn w:val="DefaultParagraphFont"/>
    <w:uiPriority w:val="99"/>
    <w:semiHidden/>
    <w:rsid w:val="0053131C"/>
    <w:rPr>
      <w:rFonts w:ascii="Lucida Grande" w:hAnsi="Lucida Grande" w:cs="Lucida Grande"/>
      <w:sz w:val="18"/>
      <w:szCs w:val="18"/>
    </w:rPr>
  </w:style>
  <w:style w:type="character" w:customStyle="1" w:styleId="BalloonTextChar1">
    <w:name w:val="Balloon Text Char1"/>
    <w:basedOn w:val="DefaultParagraphFont"/>
    <w:link w:val="BalloonText"/>
    <w:semiHidden/>
    <w:rsid w:val="004C248B"/>
    <w:rPr>
      <w:rFonts w:ascii="Tahoma" w:eastAsia="Times New Roman" w:hAnsi="Tahoma" w:cs="Tahoma"/>
      <w:sz w:val="16"/>
      <w:szCs w:val="16"/>
      <w:lang w:val="en-GB"/>
    </w:rPr>
  </w:style>
  <w:style w:type="paragraph" w:styleId="Header">
    <w:name w:val="header"/>
    <w:basedOn w:val="Normal"/>
    <w:link w:val="HeaderChar"/>
    <w:semiHidden/>
    <w:rsid w:val="004C248B"/>
    <w:pPr>
      <w:tabs>
        <w:tab w:val="center" w:pos="4320"/>
        <w:tab w:val="right" w:pos="8640"/>
      </w:tabs>
    </w:pPr>
  </w:style>
  <w:style w:type="character" w:customStyle="1" w:styleId="HeaderChar">
    <w:name w:val="Header Char"/>
    <w:basedOn w:val="DefaultParagraphFont"/>
    <w:link w:val="Header"/>
    <w:semiHidden/>
    <w:rsid w:val="004C248B"/>
    <w:rPr>
      <w:rFonts w:ascii="Times New Roman" w:eastAsia="Times New Roman" w:hAnsi="Times New Roman" w:cs="Times New Roman"/>
      <w:sz w:val="24"/>
      <w:lang w:val="en-GB"/>
    </w:rPr>
  </w:style>
  <w:style w:type="character" w:styleId="PageNumber">
    <w:name w:val="page number"/>
    <w:basedOn w:val="DefaultParagraphFont"/>
    <w:semiHidden/>
    <w:rsid w:val="004C248B"/>
  </w:style>
  <w:style w:type="paragraph" w:styleId="Title">
    <w:name w:val="Title"/>
    <w:basedOn w:val="Normal"/>
    <w:link w:val="TitleChar"/>
    <w:qFormat/>
    <w:rsid w:val="004C248B"/>
    <w:pPr>
      <w:jc w:val="center"/>
    </w:pPr>
    <w:rPr>
      <w:rFonts w:ascii="Georgia" w:hAnsi="Georgia"/>
      <w:b/>
      <w:bCs/>
      <w:sz w:val="22"/>
    </w:rPr>
  </w:style>
  <w:style w:type="character" w:customStyle="1" w:styleId="TitleChar">
    <w:name w:val="Title Char"/>
    <w:basedOn w:val="DefaultParagraphFont"/>
    <w:link w:val="Title"/>
    <w:rsid w:val="004C248B"/>
    <w:rPr>
      <w:rFonts w:ascii="Georgia" w:eastAsia="Times New Roman" w:hAnsi="Georgia" w:cs="Times New Roman"/>
      <w:b/>
      <w:bCs/>
      <w:sz w:val="22"/>
      <w:lang w:val="en-GB"/>
    </w:rPr>
  </w:style>
  <w:style w:type="paragraph" w:styleId="Footer">
    <w:name w:val="footer"/>
    <w:basedOn w:val="Normal"/>
    <w:link w:val="FooterChar"/>
    <w:semiHidden/>
    <w:rsid w:val="004C248B"/>
    <w:pPr>
      <w:tabs>
        <w:tab w:val="center" w:pos="4320"/>
        <w:tab w:val="right" w:pos="8640"/>
      </w:tabs>
    </w:pPr>
  </w:style>
  <w:style w:type="character" w:customStyle="1" w:styleId="FooterChar">
    <w:name w:val="Footer Char"/>
    <w:basedOn w:val="DefaultParagraphFont"/>
    <w:link w:val="Footer"/>
    <w:semiHidden/>
    <w:rsid w:val="004C248B"/>
    <w:rPr>
      <w:rFonts w:ascii="Times New Roman" w:eastAsia="Times New Roman" w:hAnsi="Times New Roman" w:cs="Times New Roman"/>
      <w:sz w:val="24"/>
      <w:lang w:val="en-GB"/>
    </w:rPr>
  </w:style>
  <w:style w:type="paragraph" w:styleId="FootnoteText">
    <w:name w:val="footnote text"/>
    <w:basedOn w:val="Normal"/>
    <w:link w:val="FootnoteTextChar"/>
    <w:semiHidden/>
    <w:rsid w:val="004C248B"/>
    <w:rPr>
      <w:sz w:val="20"/>
    </w:rPr>
  </w:style>
  <w:style w:type="character" w:customStyle="1" w:styleId="FootnoteTextChar">
    <w:name w:val="Footnote Text Char"/>
    <w:basedOn w:val="DefaultParagraphFont"/>
    <w:link w:val="FootnoteText"/>
    <w:semiHidden/>
    <w:rsid w:val="004C248B"/>
    <w:rPr>
      <w:rFonts w:ascii="Times New Roman" w:eastAsia="Times New Roman" w:hAnsi="Times New Roman" w:cs="Times New Roman"/>
      <w:lang w:val="en-GB"/>
    </w:rPr>
  </w:style>
  <w:style w:type="character" w:styleId="FootnoteReference">
    <w:name w:val="footnote reference"/>
    <w:semiHidden/>
    <w:rsid w:val="004C248B"/>
    <w:rPr>
      <w:vertAlign w:val="superscript"/>
    </w:rPr>
  </w:style>
  <w:style w:type="paragraph" w:styleId="PlainText">
    <w:name w:val="Plain Text"/>
    <w:basedOn w:val="Normal"/>
    <w:link w:val="PlainTextChar"/>
    <w:semiHidden/>
    <w:rsid w:val="004C248B"/>
    <w:rPr>
      <w:rFonts w:ascii="Courier New" w:hAnsi="Courier New"/>
      <w:sz w:val="20"/>
    </w:rPr>
  </w:style>
  <w:style w:type="character" w:customStyle="1" w:styleId="PlainTextChar">
    <w:name w:val="Plain Text Char"/>
    <w:basedOn w:val="DefaultParagraphFont"/>
    <w:link w:val="PlainText"/>
    <w:semiHidden/>
    <w:rsid w:val="004C248B"/>
    <w:rPr>
      <w:rFonts w:ascii="Courier New" w:eastAsia="Times New Roman" w:hAnsi="Courier New" w:cs="Times New Roman"/>
      <w:lang w:val="en-GB"/>
    </w:rPr>
  </w:style>
  <w:style w:type="paragraph" w:styleId="EndnoteText">
    <w:name w:val="endnote text"/>
    <w:basedOn w:val="Normal"/>
    <w:link w:val="EndnoteTextChar"/>
    <w:rsid w:val="004C248B"/>
    <w:rPr>
      <w:sz w:val="20"/>
    </w:rPr>
  </w:style>
  <w:style w:type="character" w:customStyle="1" w:styleId="EndnoteTextChar">
    <w:name w:val="Endnote Text Char"/>
    <w:basedOn w:val="DefaultParagraphFont"/>
    <w:link w:val="EndnoteText"/>
    <w:rsid w:val="004C248B"/>
    <w:rPr>
      <w:rFonts w:ascii="Times New Roman" w:eastAsia="Times New Roman" w:hAnsi="Times New Roman" w:cs="Times New Roman"/>
      <w:lang w:val="en-GB"/>
    </w:rPr>
  </w:style>
  <w:style w:type="character" w:styleId="EndnoteReference">
    <w:name w:val="endnote reference"/>
    <w:rsid w:val="004C248B"/>
    <w:rPr>
      <w:vertAlign w:val="superscript"/>
    </w:rPr>
  </w:style>
  <w:style w:type="character" w:styleId="Hyperlink">
    <w:name w:val="Hyperlink"/>
    <w:semiHidden/>
    <w:rsid w:val="004C248B"/>
    <w:rPr>
      <w:color w:val="0000FF"/>
      <w:u w:val="single"/>
    </w:rPr>
  </w:style>
  <w:style w:type="character" w:customStyle="1" w:styleId="CharChar">
    <w:name w:val="Char Char"/>
    <w:rsid w:val="004C248B"/>
    <w:rPr>
      <w:lang w:val="en-GB" w:eastAsia="en-US" w:bidi="ar-SA"/>
    </w:rPr>
  </w:style>
  <w:style w:type="paragraph" w:styleId="BodyTextIndent">
    <w:name w:val="Body Text Indent"/>
    <w:basedOn w:val="Normal"/>
    <w:link w:val="BodyTextIndentChar"/>
    <w:semiHidden/>
    <w:rsid w:val="004C248B"/>
    <w:pPr>
      <w:ind w:firstLine="720"/>
      <w:jc w:val="both"/>
    </w:pPr>
    <w:rPr>
      <w:color w:val="000000"/>
      <w:sz w:val="20"/>
    </w:rPr>
  </w:style>
  <w:style w:type="character" w:customStyle="1" w:styleId="BodyTextIndentChar">
    <w:name w:val="Body Text Indent Char"/>
    <w:basedOn w:val="DefaultParagraphFont"/>
    <w:link w:val="BodyTextIndent"/>
    <w:semiHidden/>
    <w:rsid w:val="004C248B"/>
    <w:rPr>
      <w:rFonts w:ascii="Times New Roman" w:eastAsia="Times New Roman" w:hAnsi="Times New Roman" w:cs="Times New Roman"/>
      <w:color w:val="000000"/>
      <w:lang w:val="en-GB"/>
    </w:rPr>
  </w:style>
  <w:style w:type="paragraph" w:styleId="BodyTextIndent2">
    <w:name w:val="Body Text Indent 2"/>
    <w:basedOn w:val="Normal"/>
    <w:link w:val="BodyTextIndent2Char"/>
    <w:semiHidden/>
    <w:rsid w:val="004C248B"/>
    <w:pPr>
      <w:ind w:firstLine="284"/>
      <w:jc w:val="both"/>
    </w:pPr>
    <w:rPr>
      <w:sz w:val="20"/>
    </w:rPr>
  </w:style>
  <w:style w:type="character" w:customStyle="1" w:styleId="BodyTextIndent2Char">
    <w:name w:val="Body Text Indent 2 Char"/>
    <w:basedOn w:val="DefaultParagraphFont"/>
    <w:link w:val="BodyTextIndent2"/>
    <w:semiHidden/>
    <w:rsid w:val="004C248B"/>
    <w:rPr>
      <w:rFonts w:ascii="Times New Roman" w:eastAsia="Times New Roman" w:hAnsi="Times New Roman" w:cs="Times New Roman"/>
      <w:lang w:val="en-GB"/>
    </w:rPr>
  </w:style>
  <w:style w:type="character" w:customStyle="1" w:styleId="EndnoteCharacters">
    <w:name w:val="Endnote Characters"/>
    <w:rsid w:val="004C248B"/>
    <w:rPr>
      <w:vertAlign w:val="superscript"/>
    </w:rPr>
  </w:style>
  <w:style w:type="paragraph" w:styleId="Caption">
    <w:name w:val="caption"/>
    <w:basedOn w:val="Normal"/>
    <w:next w:val="Normal"/>
    <w:uiPriority w:val="35"/>
    <w:unhideWhenUsed/>
    <w:qFormat/>
    <w:rsid w:val="004C248B"/>
    <w:rPr>
      <w:b/>
      <w:bCs/>
      <w:sz w:val="20"/>
    </w:rPr>
  </w:style>
  <w:style w:type="table" w:styleId="TableGrid">
    <w:name w:val="Table Grid"/>
    <w:basedOn w:val="TableNormal"/>
    <w:uiPriority w:val="59"/>
    <w:rsid w:val="004C248B"/>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4C248B"/>
    <w:rPr>
      <w:sz w:val="16"/>
      <w:szCs w:val="16"/>
    </w:rPr>
  </w:style>
  <w:style w:type="paragraph" w:styleId="CommentText">
    <w:name w:val="annotation text"/>
    <w:basedOn w:val="Normal"/>
    <w:link w:val="CommentTextChar"/>
    <w:uiPriority w:val="99"/>
    <w:semiHidden/>
    <w:unhideWhenUsed/>
    <w:rsid w:val="004C248B"/>
    <w:rPr>
      <w:sz w:val="20"/>
    </w:rPr>
  </w:style>
  <w:style w:type="character" w:customStyle="1" w:styleId="CommentTextChar">
    <w:name w:val="Comment Text Char"/>
    <w:basedOn w:val="DefaultParagraphFont"/>
    <w:link w:val="CommentText"/>
    <w:uiPriority w:val="99"/>
    <w:semiHidden/>
    <w:rsid w:val="004C248B"/>
    <w:rPr>
      <w:rFonts w:ascii="Times New Roman" w:eastAsia="Times New Roman" w:hAnsi="Times New Roman" w:cs="Times New Roman"/>
      <w:lang w:val="en-GB"/>
    </w:rPr>
  </w:style>
  <w:style w:type="paragraph" w:styleId="CommentSubject">
    <w:name w:val="annotation subject"/>
    <w:basedOn w:val="CommentText"/>
    <w:next w:val="CommentText"/>
    <w:link w:val="CommentSubjectChar"/>
    <w:uiPriority w:val="99"/>
    <w:semiHidden/>
    <w:unhideWhenUsed/>
    <w:rsid w:val="004C248B"/>
    <w:rPr>
      <w:b/>
      <w:bCs/>
    </w:rPr>
  </w:style>
  <w:style w:type="character" w:customStyle="1" w:styleId="CommentSubjectChar">
    <w:name w:val="Comment Subject Char"/>
    <w:basedOn w:val="CommentTextChar"/>
    <w:link w:val="CommentSubject"/>
    <w:uiPriority w:val="99"/>
    <w:semiHidden/>
    <w:rsid w:val="004C248B"/>
    <w:rPr>
      <w:rFonts w:ascii="Times New Roman" w:eastAsia="Times New Roman" w:hAnsi="Times New Roman" w:cs="Times New Roman"/>
      <w:b/>
      <w:bCs/>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A3DE9-50F2-48D6-B42A-4B15E6D4B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9</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Southern Illinois University</Company>
  <LinksUpToDate>false</LinksUpToDate>
  <CharactersWithSpaces>14433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Hochheimer</dc:creator>
  <cp:keywords/>
  <cp:lastModifiedBy>UVaUser</cp:lastModifiedBy>
  <cp:revision>16</cp:revision>
  <dcterms:created xsi:type="dcterms:W3CDTF">2013-08-28T17:30:00Z</dcterms:created>
  <dcterms:modified xsi:type="dcterms:W3CDTF">2013-09-05T15:33:00Z</dcterms:modified>
</cp:coreProperties>
</file>