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C631" w14:textId="77777777" w:rsidR="008E17F6" w:rsidRPr="00F915B5" w:rsidRDefault="00000000">
      <w:pPr>
        <w:spacing w:after="80"/>
        <w:jc w:val="center"/>
        <w:rPr>
          <w:lang w:val="cs-CZ"/>
        </w:rPr>
      </w:pPr>
      <w:r w:rsidRPr="00F915B5">
        <w:rPr>
          <w:sz w:val="24"/>
          <w:lang w:val="cs-CZ"/>
        </w:rPr>
        <w:t>NAHYC DP004 — Vodíkový technologický inkubátor</w:t>
      </w:r>
    </w:p>
    <w:p w14:paraId="0A8F3992" w14:textId="77777777" w:rsidR="008E17F6" w:rsidRPr="00F915B5" w:rsidRDefault="00000000" w:rsidP="002B7355">
      <w:pPr>
        <w:pStyle w:val="Nzev"/>
        <w:rPr>
          <w:lang w:val="cs-CZ"/>
        </w:rPr>
      </w:pPr>
      <w:r w:rsidRPr="00F915B5">
        <w:rPr>
          <w:lang w:val="cs-CZ"/>
        </w:rPr>
        <w:t>Konsolidovaná databáze regulačních předpisů a předrealizačních procesů</w:t>
      </w:r>
    </w:p>
    <w:p w14:paraId="33A03B94" w14:textId="37D7DAA4" w:rsidR="008E17F6" w:rsidRPr="00F915B5" w:rsidRDefault="00000000">
      <w:pPr>
        <w:spacing w:after="80"/>
        <w:jc w:val="center"/>
        <w:rPr>
          <w:lang w:val="cs-CZ"/>
        </w:rPr>
      </w:pPr>
      <w:r w:rsidRPr="00F915B5">
        <w:rPr>
          <w:sz w:val="28"/>
          <w:lang w:val="cs-CZ"/>
        </w:rPr>
        <w:t>Průvodce strukturou</w:t>
      </w:r>
    </w:p>
    <w:p w14:paraId="251A76AE" w14:textId="77777777" w:rsidR="008E17F6" w:rsidRPr="00F915B5" w:rsidRDefault="00000000">
      <w:pPr>
        <w:spacing w:after="480"/>
        <w:jc w:val="center"/>
        <w:rPr>
          <w:lang w:val="cs-CZ"/>
        </w:rPr>
      </w:pPr>
      <w:r w:rsidRPr="00F915B5">
        <w:rPr>
          <w:i/>
          <w:sz w:val="20"/>
          <w:lang w:val="cs-CZ"/>
        </w:rPr>
        <w:t>červenec 2026 · pracovní verze</w:t>
      </w:r>
    </w:p>
    <w:p w14:paraId="0347C9DB" w14:textId="055AB9ED" w:rsidR="008E17F6" w:rsidRPr="00F915B5" w:rsidRDefault="00000000" w:rsidP="00B927C5">
      <w:pPr>
        <w:pStyle w:val="Nadpis1"/>
        <w:rPr>
          <w:lang w:val="cs-CZ"/>
        </w:rPr>
      </w:pPr>
      <w:r w:rsidRPr="00F915B5">
        <w:rPr>
          <w:lang w:val="cs-CZ"/>
        </w:rPr>
        <w:t>K čemu tento dokument slouží</w:t>
      </w:r>
    </w:p>
    <w:p w14:paraId="74178576" w14:textId="19B3C54D" w:rsidR="008E17F6" w:rsidRPr="00F915B5" w:rsidRDefault="00000000">
      <w:pPr>
        <w:rPr>
          <w:lang w:val="cs-CZ"/>
        </w:rPr>
      </w:pPr>
      <w:r w:rsidRPr="00F915B5">
        <w:rPr>
          <w:lang w:val="cs-CZ"/>
        </w:rPr>
        <w:t xml:space="preserve">Tento průvodce je určen </w:t>
      </w:r>
      <w:r w:rsidR="007D439E" w:rsidRPr="00F915B5">
        <w:rPr>
          <w:lang w:val="cs-CZ"/>
        </w:rPr>
        <w:t xml:space="preserve">jako základní informace </w:t>
      </w:r>
      <w:r w:rsidR="00F915B5">
        <w:rPr>
          <w:lang w:val="cs-CZ"/>
        </w:rPr>
        <w:t>o</w:t>
      </w:r>
      <w:r w:rsidRPr="00F915B5">
        <w:rPr>
          <w:lang w:val="cs-CZ"/>
        </w:rPr>
        <w:t xml:space="preserve"> návrhu a naplňování databázové architektury</w:t>
      </w:r>
      <w:r w:rsidR="00055950">
        <w:rPr>
          <w:lang w:val="cs-CZ"/>
        </w:rPr>
        <w:t xml:space="preserve"> dílčího projektu DP004</w:t>
      </w:r>
      <w:r w:rsidRPr="00F915B5">
        <w:rPr>
          <w:lang w:val="cs-CZ"/>
        </w:rPr>
        <w:t xml:space="preserve">. Neočekává znalost projektových výstupů ani detailů SQL — </w:t>
      </w:r>
      <w:r w:rsidR="009375A2">
        <w:rPr>
          <w:lang w:val="cs-CZ"/>
        </w:rPr>
        <w:t xml:space="preserve">jeho </w:t>
      </w:r>
      <w:r w:rsidR="00055950">
        <w:rPr>
          <w:lang w:val="cs-CZ"/>
        </w:rPr>
        <w:t xml:space="preserve">cílem je </w:t>
      </w:r>
      <w:r w:rsidRPr="00F915B5">
        <w:rPr>
          <w:lang w:val="cs-CZ"/>
        </w:rPr>
        <w:t>vysvětl</w:t>
      </w:r>
      <w:r w:rsidR="0097141F">
        <w:rPr>
          <w:lang w:val="cs-CZ"/>
        </w:rPr>
        <w:t>it</w:t>
      </w:r>
      <w:r w:rsidRPr="00F915B5">
        <w:rPr>
          <w:lang w:val="cs-CZ"/>
        </w:rPr>
        <w:t xml:space="preserve">, co databáze eviduje, proč je rozdělena </w:t>
      </w:r>
      <w:r w:rsidR="00353466">
        <w:rPr>
          <w:lang w:val="cs-CZ"/>
        </w:rPr>
        <w:t xml:space="preserve">zrovna </w:t>
      </w:r>
      <w:r w:rsidRPr="00F915B5">
        <w:rPr>
          <w:lang w:val="cs-CZ"/>
        </w:rPr>
        <w:t xml:space="preserve">do čtyř vrstev a jak spolu jednotlivé </w:t>
      </w:r>
      <w:r w:rsidR="00353466">
        <w:rPr>
          <w:lang w:val="cs-CZ"/>
        </w:rPr>
        <w:t xml:space="preserve">komponenty a vrstvy </w:t>
      </w:r>
      <w:r w:rsidRPr="00F915B5">
        <w:rPr>
          <w:lang w:val="cs-CZ"/>
        </w:rPr>
        <w:t>souvisejí. Technické detaily (přesné definice tabulek, datové typy, migrační skripty) záměrně vynechává</w:t>
      </w:r>
      <w:r w:rsidR="0097141F">
        <w:rPr>
          <w:lang w:val="cs-CZ"/>
        </w:rPr>
        <w:t>me</w:t>
      </w:r>
      <w:r w:rsidRPr="00F915B5">
        <w:rPr>
          <w:lang w:val="cs-CZ"/>
        </w:rPr>
        <w:t>; ty jsou k dispozici v souborech uvedených v kapitole 9.</w:t>
      </w:r>
    </w:p>
    <w:p w14:paraId="4567F4D5" w14:textId="278B396D" w:rsidR="008E17F6" w:rsidRPr="00F915B5" w:rsidRDefault="00000000">
      <w:pPr>
        <w:rPr>
          <w:lang w:val="cs-CZ"/>
        </w:rPr>
      </w:pPr>
      <w:r w:rsidRPr="00F915B5">
        <w:rPr>
          <w:lang w:val="cs-CZ"/>
        </w:rPr>
        <w:t xml:space="preserve">Doporučený postup čtení: </w:t>
      </w:r>
      <w:r w:rsidR="00582BAD">
        <w:rPr>
          <w:lang w:val="cs-CZ"/>
        </w:rPr>
        <w:t xml:space="preserve">V odstavcích </w:t>
      </w:r>
      <w:r w:rsidRPr="00F915B5">
        <w:rPr>
          <w:lang w:val="cs-CZ"/>
        </w:rPr>
        <w:t xml:space="preserve">2 a 3 </w:t>
      </w:r>
      <w:r w:rsidR="00582BAD">
        <w:rPr>
          <w:lang w:val="cs-CZ"/>
        </w:rPr>
        <w:t>popisujeme</w:t>
      </w:r>
      <w:r w:rsidRPr="00F915B5">
        <w:rPr>
          <w:lang w:val="cs-CZ"/>
        </w:rPr>
        <w:t xml:space="preserve"> </w:t>
      </w:r>
      <w:r w:rsidR="00582BAD">
        <w:rPr>
          <w:lang w:val="cs-CZ"/>
        </w:rPr>
        <w:t>výchozí situaci</w:t>
      </w:r>
      <w:r w:rsidRPr="00F915B5">
        <w:rPr>
          <w:lang w:val="cs-CZ"/>
        </w:rPr>
        <w:t xml:space="preserve"> (odkud data pocházejí a proč </w:t>
      </w:r>
      <w:r w:rsidR="00B0700D">
        <w:rPr>
          <w:lang w:val="cs-CZ"/>
        </w:rPr>
        <w:t xml:space="preserve">je třeba </w:t>
      </w:r>
      <w:r w:rsidRPr="00F915B5">
        <w:rPr>
          <w:lang w:val="cs-CZ"/>
        </w:rPr>
        <w:t>databáz</w:t>
      </w:r>
      <w:r w:rsidR="00B0700D">
        <w:rPr>
          <w:lang w:val="cs-CZ"/>
        </w:rPr>
        <w:t>i</w:t>
      </w:r>
      <w:r w:rsidRPr="00F915B5">
        <w:rPr>
          <w:lang w:val="cs-CZ"/>
        </w:rPr>
        <w:t xml:space="preserve"> předěl</w:t>
      </w:r>
      <w:r w:rsidR="00B0700D">
        <w:rPr>
          <w:lang w:val="cs-CZ"/>
        </w:rPr>
        <w:t>at</w:t>
      </w:r>
      <w:r w:rsidRPr="00F915B5">
        <w:rPr>
          <w:lang w:val="cs-CZ"/>
        </w:rPr>
        <w:t xml:space="preserve">), </w:t>
      </w:r>
      <w:r w:rsidR="00B0700D">
        <w:rPr>
          <w:lang w:val="cs-CZ"/>
        </w:rPr>
        <w:t xml:space="preserve">v odstavcích </w:t>
      </w:r>
      <w:r w:rsidRPr="00F915B5">
        <w:rPr>
          <w:lang w:val="cs-CZ"/>
        </w:rPr>
        <w:t>4 až 7 procház</w:t>
      </w:r>
      <w:r w:rsidR="00B0700D">
        <w:rPr>
          <w:lang w:val="cs-CZ"/>
        </w:rPr>
        <w:t>íme</w:t>
      </w:r>
      <w:r w:rsidR="00632F99">
        <w:rPr>
          <w:lang w:val="cs-CZ"/>
        </w:rPr>
        <w:t xml:space="preserve"> již zmíněné</w:t>
      </w:r>
      <w:r w:rsidRPr="00F915B5">
        <w:rPr>
          <w:lang w:val="cs-CZ"/>
        </w:rPr>
        <w:t xml:space="preserve"> čtyři vrstvy</w:t>
      </w:r>
      <w:r w:rsidR="00632F99">
        <w:rPr>
          <w:lang w:val="cs-CZ"/>
        </w:rPr>
        <w:t xml:space="preserve"> </w:t>
      </w:r>
      <w:r w:rsidRPr="00F915B5">
        <w:rPr>
          <w:lang w:val="cs-CZ"/>
        </w:rPr>
        <w:t xml:space="preserve">schématu </w:t>
      </w:r>
      <w:r w:rsidR="00632F99">
        <w:rPr>
          <w:lang w:val="cs-CZ"/>
        </w:rPr>
        <w:t xml:space="preserve">databáze </w:t>
      </w:r>
      <w:r w:rsidRPr="00F915B5">
        <w:rPr>
          <w:lang w:val="cs-CZ"/>
        </w:rPr>
        <w:t xml:space="preserve">od nejjednodušší k nejzajímavější a </w:t>
      </w:r>
      <w:r w:rsidR="00AA792E">
        <w:rPr>
          <w:lang w:val="cs-CZ"/>
        </w:rPr>
        <w:t xml:space="preserve">v odstavci </w:t>
      </w:r>
      <w:r w:rsidRPr="00F915B5">
        <w:rPr>
          <w:lang w:val="cs-CZ"/>
        </w:rPr>
        <w:t>8 ukazuje</w:t>
      </w:r>
      <w:r w:rsidR="00AA792E">
        <w:rPr>
          <w:lang w:val="cs-CZ"/>
        </w:rPr>
        <w:t>me</w:t>
      </w:r>
      <w:r w:rsidRPr="00F915B5">
        <w:rPr>
          <w:lang w:val="cs-CZ"/>
        </w:rPr>
        <w:t xml:space="preserve"> na příkladu</w:t>
      </w:r>
      <w:r w:rsidR="00AA792E">
        <w:rPr>
          <w:lang w:val="cs-CZ"/>
        </w:rPr>
        <w:t xml:space="preserve"> elektrolyzéru</w:t>
      </w:r>
      <w:r w:rsidRPr="00F915B5">
        <w:rPr>
          <w:lang w:val="cs-CZ"/>
        </w:rPr>
        <w:t xml:space="preserve">, co </w:t>
      </w:r>
      <w:r w:rsidR="00AA792E">
        <w:rPr>
          <w:lang w:val="cs-CZ"/>
        </w:rPr>
        <w:t>b</w:t>
      </w:r>
      <w:r w:rsidR="00093842">
        <w:rPr>
          <w:lang w:val="cs-CZ"/>
        </w:rPr>
        <w:t xml:space="preserve">ude </w:t>
      </w:r>
      <w:r w:rsidRPr="00F915B5">
        <w:rPr>
          <w:lang w:val="cs-CZ"/>
        </w:rPr>
        <w:t>celek um</w:t>
      </w:r>
      <w:r w:rsidR="00AA792E">
        <w:rPr>
          <w:lang w:val="cs-CZ"/>
        </w:rPr>
        <w:t xml:space="preserve">ět poskytnout </w:t>
      </w:r>
      <w:r w:rsidR="00093842">
        <w:rPr>
          <w:lang w:val="cs-CZ"/>
        </w:rPr>
        <w:t>po dokončení vývojových prací</w:t>
      </w:r>
      <w:r w:rsidRPr="00F915B5">
        <w:rPr>
          <w:lang w:val="cs-CZ"/>
        </w:rPr>
        <w:t xml:space="preserve">. </w:t>
      </w:r>
      <w:r w:rsidR="00D555D6">
        <w:rPr>
          <w:lang w:val="cs-CZ"/>
        </w:rPr>
        <w:t xml:space="preserve">V odstavci 9 </w:t>
      </w:r>
      <w:r w:rsidR="005B6196">
        <w:rPr>
          <w:lang w:val="cs-CZ"/>
        </w:rPr>
        <w:t xml:space="preserve">dokumentujeme zásady návrhu konsolidované databáze a </w:t>
      </w:r>
      <w:r w:rsidR="00034C1F">
        <w:rPr>
          <w:lang w:val="cs-CZ"/>
        </w:rPr>
        <w:t>průběžně popisujeme aktuální stav prací. D</w:t>
      </w:r>
      <w:r w:rsidR="00093842">
        <w:rPr>
          <w:lang w:val="cs-CZ"/>
        </w:rPr>
        <w:t xml:space="preserve">okument uzavírá </w:t>
      </w:r>
      <w:r w:rsidR="00E84296">
        <w:rPr>
          <w:lang w:val="cs-CZ"/>
        </w:rPr>
        <w:t>seznam důležitých souborů</w:t>
      </w:r>
      <w:r w:rsidR="00034C1F">
        <w:rPr>
          <w:lang w:val="cs-CZ"/>
        </w:rPr>
        <w:t xml:space="preserve"> a s</w:t>
      </w:r>
      <w:r w:rsidR="00034C1F" w:rsidRPr="00F915B5">
        <w:rPr>
          <w:lang w:val="cs-CZ"/>
        </w:rPr>
        <w:t>lovníček pojmů</w:t>
      </w:r>
      <w:r w:rsidRPr="00F915B5">
        <w:rPr>
          <w:lang w:val="cs-CZ"/>
        </w:rPr>
        <w:t>.</w:t>
      </w:r>
    </w:p>
    <w:p w14:paraId="40286E9D" w14:textId="716765BA" w:rsidR="008E17F6" w:rsidRPr="00F915B5" w:rsidRDefault="00000000">
      <w:pPr>
        <w:pStyle w:val="Nadpis1"/>
        <w:rPr>
          <w:lang w:val="cs-CZ"/>
        </w:rPr>
      </w:pPr>
      <w:r w:rsidRPr="00F915B5">
        <w:rPr>
          <w:lang w:val="cs-CZ"/>
        </w:rPr>
        <w:t>Kontext</w:t>
      </w:r>
    </w:p>
    <w:p w14:paraId="6A2851B4" w14:textId="53969B5B" w:rsidR="008E17F6" w:rsidRPr="00F915B5" w:rsidRDefault="00F42C57">
      <w:pPr>
        <w:rPr>
          <w:lang w:val="cs-CZ"/>
        </w:rPr>
      </w:pPr>
      <w:r>
        <w:rPr>
          <w:lang w:val="cs-CZ"/>
        </w:rPr>
        <w:t>Dílčí p</w:t>
      </w:r>
      <w:r w:rsidRPr="00F915B5">
        <w:rPr>
          <w:lang w:val="cs-CZ"/>
        </w:rPr>
        <w:t xml:space="preserve">rojekt DP004 „Nástroje a znalostní systém pro inkubaci vodíkových technologií“ (součást Národního centra vodíkové mobility, TAČR TN02000007) reaguje na praktický problém: kdo chce v ČR postavit elektrolyzér, vodíkovou plnicí stanici nebo sklad vodíku, musí se zorientovat v desítkách předpisů z různých právních oblastí a projít řadou povolovacích řízení, která nikde nejsou popsána jako celek. </w:t>
      </w:r>
      <w:r w:rsidR="00F321BB">
        <w:rPr>
          <w:lang w:val="cs-CZ"/>
        </w:rPr>
        <w:t>Jedním z cílů dílčího p</w:t>
      </w:r>
      <w:r w:rsidRPr="00F915B5">
        <w:rPr>
          <w:lang w:val="cs-CZ"/>
        </w:rPr>
        <w:t>rojekt</w:t>
      </w:r>
      <w:r>
        <w:rPr>
          <w:lang w:val="cs-CZ"/>
        </w:rPr>
        <w:t>u</w:t>
      </w:r>
      <w:r w:rsidRPr="00F915B5">
        <w:rPr>
          <w:lang w:val="cs-CZ"/>
        </w:rPr>
        <w:t xml:space="preserve"> </w:t>
      </w:r>
      <w:r w:rsidR="009A28FC">
        <w:rPr>
          <w:lang w:val="cs-CZ"/>
        </w:rPr>
        <w:t xml:space="preserve">je usnadnit </w:t>
      </w:r>
      <w:r w:rsidRPr="00F915B5">
        <w:rPr>
          <w:lang w:val="cs-CZ"/>
        </w:rPr>
        <w:t xml:space="preserve">tuto orientaci </w:t>
      </w:r>
      <w:r w:rsidR="009A28FC">
        <w:rPr>
          <w:lang w:val="cs-CZ"/>
        </w:rPr>
        <w:t xml:space="preserve">– k tomu vznikly v roce 2026 postupně </w:t>
      </w:r>
      <w:r w:rsidRPr="00F915B5">
        <w:rPr>
          <w:lang w:val="cs-CZ"/>
        </w:rPr>
        <w:t>tři na sebe navazující výsledky:</w:t>
      </w:r>
    </w:p>
    <w:p w14:paraId="27D349F9" w14:textId="3082D2D6" w:rsidR="008E17F6" w:rsidRPr="00F915B5" w:rsidRDefault="00000000">
      <w:pPr>
        <w:pStyle w:val="Seznamsodrkami"/>
        <w:rPr>
          <w:lang w:val="cs-CZ"/>
        </w:rPr>
      </w:pPr>
      <w:r w:rsidRPr="00F915B5">
        <w:rPr>
          <w:b/>
          <w:lang w:val="cs-CZ"/>
        </w:rPr>
        <w:t>V01</w:t>
      </w:r>
      <w:r w:rsidRPr="00F915B5">
        <w:rPr>
          <w:lang w:val="cs-CZ"/>
        </w:rPr>
        <w:t xml:space="preserve"> — </w:t>
      </w:r>
      <w:r w:rsidR="0089758B">
        <w:rPr>
          <w:lang w:val="cs-CZ"/>
        </w:rPr>
        <w:t>V</w:t>
      </w:r>
      <w:r w:rsidRPr="00F915B5">
        <w:rPr>
          <w:lang w:val="cs-CZ"/>
        </w:rPr>
        <w:t xml:space="preserve">eřejná webová databáze regulačních dokumentů (zákony, vyhlášky, unijní předpisy, technické normy, metodiky). </w:t>
      </w:r>
      <w:commentRangeStart w:id="0"/>
      <w:r w:rsidRPr="00F915B5">
        <w:rPr>
          <w:lang w:val="cs-CZ"/>
        </w:rPr>
        <w:t>Běží v produkci na adrese https://nahyc.fel.zcu.cz/h2db/</w:t>
      </w:r>
      <w:commentRangeEnd w:id="0"/>
      <w:r w:rsidR="00D77BF2" w:rsidRPr="00F915B5">
        <w:rPr>
          <w:rStyle w:val="Odkaznakoment"/>
          <w:sz w:val="22"/>
          <w:szCs w:val="22"/>
          <w:lang w:val="cs-CZ"/>
        </w:rPr>
        <w:commentReference w:id="0"/>
      </w:r>
      <w:r w:rsidRPr="00F915B5">
        <w:rPr>
          <w:lang w:val="cs-CZ"/>
        </w:rPr>
        <w:t xml:space="preserve"> a eviduje metadata dokumentů, jejich verze a tematické třídění.</w:t>
      </w:r>
    </w:p>
    <w:p w14:paraId="6FC9984A" w14:textId="4585481D" w:rsidR="008E17F6" w:rsidRPr="00F915B5" w:rsidRDefault="00000000">
      <w:pPr>
        <w:pStyle w:val="Seznamsodrkami"/>
        <w:rPr>
          <w:lang w:val="cs-CZ"/>
        </w:rPr>
      </w:pPr>
      <w:r w:rsidRPr="00F915B5">
        <w:rPr>
          <w:b/>
          <w:lang w:val="cs-CZ"/>
        </w:rPr>
        <w:t>V02</w:t>
      </w:r>
      <w:r w:rsidRPr="00F915B5">
        <w:rPr>
          <w:lang w:val="cs-CZ"/>
        </w:rPr>
        <w:t xml:space="preserve"> — </w:t>
      </w:r>
      <w:r w:rsidR="0089758B">
        <w:rPr>
          <w:lang w:val="cs-CZ"/>
        </w:rPr>
        <w:t>A</w:t>
      </w:r>
      <w:r w:rsidRPr="00F915B5">
        <w:rPr>
          <w:lang w:val="cs-CZ"/>
        </w:rPr>
        <w:t xml:space="preserve">nalytický text, </w:t>
      </w:r>
      <w:r w:rsidR="00E62EE9">
        <w:rPr>
          <w:lang w:val="cs-CZ"/>
        </w:rPr>
        <w:t>ve kterém identifikujeme a</w:t>
      </w:r>
      <w:r w:rsidRPr="00F915B5">
        <w:rPr>
          <w:lang w:val="cs-CZ"/>
        </w:rPr>
        <w:t xml:space="preserve"> popisuje</w:t>
      </w:r>
      <w:r w:rsidR="00E62EE9">
        <w:rPr>
          <w:lang w:val="cs-CZ"/>
        </w:rPr>
        <w:t>me</w:t>
      </w:r>
      <w:r w:rsidRPr="00F915B5">
        <w:rPr>
          <w:lang w:val="cs-CZ"/>
        </w:rPr>
        <w:t xml:space="preserve"> sedm klíčových povolovacích procesů (tzv. procesních uzlů U1 až U7), jimiž vodíkový projekt prochází od záměru po povolení. Součástí V02 je i návrh, jak tyto procesy uložit do databáze — ten ale zatím nebyl implementován.</w:t>
      </w:r>
    </w:p>
    <w:p w14:paraId="23E44FFC" w14:textId="3B46D12B" w:rsidR="008E17F6" w:rsidRPr="00F915B5" w:rsidRDefault="00000000">
      <w:pPr>
        <w:pStyle w:val="Seznamsodrkami"/>
        <w:rPr>
          <w:lang w:val="cs-CZ"/>
        </w:rPr>
      </w:pPr>
      <w:r w:rsidRPr="00F915B5">
        <w:rPr>
          <w:b/>
          <w:lang w:val="cs-CZ"/>
        </w:rPr>
        <w:t>V03</w:t>
      </w:r>
      <w:r w:rsidRPr="00F915B5">
        <w:rPr>
          <w:lang w:val="cs-CZ"/>
        </w:rPr>
        <w:t xml:space="preserve"> — </w:t>
      </w:r>
      <w:r w:rsidR="0089758B">
        <w:rPr>
          <w:lang w:val="cs-CZ"/>
        </w:rPr>
        <w:t>M</w:t>
      </w:r>
      <w:r w:rsidRPr="00F915B5">
        <w:rPr>
          <w:lang w:val="cs-CZ"/>
        </w:rPr>
        <w:t xml:space="preserve">etodický dokument, </w:t>
      </w:r>
      <w:r w:rsidR="0089758B">
        <w:rPr>
          <w:lang w:val="cs-CZ"/>
        </w:rPr>
        <w:t>jenž</w:t>
      </w:r>
      <w:r w:rsidRPr="00F915B5">
        <w:rPr>
          <w:lang w:val="cs-CZ"/>
        </w:rPr>
        <w:t xml:space="preserve"> popisuje, jak V01 a V02 vznikly, a hlavně jak mají být propojeny: </w:t>
      </w:r>
      <w:r w:rsidR="0089758B">
        <w:rPr>
          <w:lang w:val="cs-CZ"/>
        </w:rPr>
        <w:t>P</w:t>
      </w:r>
      <w:r w:rsidRPr="00F915B5">
        <w:rPr>
          <w:lang w:val="cs-CZ"/>
        </w:rPr>
        <w:t xml:space="preserve">ožaduje strojově dotazovatelné vazby mezi procesy a předpisy a zavádí koncept „compliance pathway“ (viz </w:t>
      </w:r>
      <w:r w:rsidR="00EC0143">
        <w:rPr>
          <w:lang w:val="cs-CZ"/>
        </w:rPr>
        <w:t>odstavec</w:t>
      </w:r>
      <w:r w:rsidRPr="00F915B5">
        <w:rPr>
          <w:lang w:val="cs-CZ"/>
        </w:rPr>
        <w:t xml:space="preserve"> 8).</w:t>
      </w:r>
    </w:p>
    <w:p w14:paraId="08DD4F31" w14:textId="77B4FCD9" w:rsidR="008E17F6" w:rsidRPr="00F915B5" w:rsidRDefault="00000000">
      <w:pPr>
        <w:rPr>
          <w:lang w:val="cs-CZ"/>
        </w:rPr>
      </w:pPr>
      <w:r w:rsidRPr="00F915B5">
        <w:rPr>
          <w:lang w:val="cs-CZ"/>
        </w:rPr>
        <w:lastRenderedPageBreak/>
        <w:t xml:space="preserve">Konsolidovaná databáze, kterou tento průvodce popisuje, je </w:t>
      </w:r>
      <w:r w:rsidR="00EC0143">
        <w:rPr>
          <w:lang w:val="cs-CZ"/>
        </w:rPr>
        <w:t xml:space="preserve">rozšířením původní </w:t>
      </w:r>
      <w:r w:rsidR="00A51177" w:rsidRPr="00F915B5">
        <w:rPr>
          <w:lang w:val="cs-CZ"/>
        </w:rPr>
        <w:t>databáze regulačních dokumentů</w:t>
      </w:r>
      <w:r w:rsidR="00A51177">
        <w:rPr>
          <w:lang w:val="cs-CZ"/>
        </w:rPr>
        <w:t>. Výsledek</w:t>
      </w:r>
      <w:r w:rsidRPr="00F915B5">
        <w:rPr>
          <w:lang w:val="cs-CZ"/>
        </w:rPr>
        <w:t xml:space="preserve"> V01 se sice </w:t>
      </w:r>
      <w:r w:rsidR="00A51177">
        <w:rPr>
          <w:lang w:val="cs-CZ"/>
        </w:rPr>
        <w:t>oficiálně nazývá</w:t>
      </w:r>
      <w:r w:rsidRPr="00F915B5">
        <w:rPr>
          <w:lang w:val="cs-CZ"/>
        </w:rPr>
        <w:t xml:space="preserve"> „Databáze regulačních předpisů a předrealizačních procesů“, ale </w:t>
      </w:r>
      <w:r w:rsidR="000D312C">
        <w:rPr>
          <w:lang w:val="cs-CZ"/>
        </w:rPr>
        <w:t>díky nevhodně naplánované</w:t>
      </w:r>
      <w:r w:rsidR="002240F2">
        <w:rPr>
          <w:lang w:val="cs-CZ"/>
        </w:rPr>
        <w:t xml:space="preserve">mu harmonogramu prací </w:t>
      </w:r>
      <w:r w:rsidR="001349CF">
        <w:rPr>
          <w:lang w:val="cs-CZ"/>
        </w:rPr>
        <w:t>vznik</w:t>
      </w:r>
      <w:r w:rsidR="000D312C">
        <w:rPr>
          <w:lang w:val="cs-CZ"/>
        </w:rPr>
        <w:t>a</w:t>
      </w:r>
      <w:r w:rsidR="001349CF">
        <w:rPr>
          <w:lang w:val="cs-CZ"/>
        </w:rPr>
        <w:t>l</w:t>
      </w:r>
      <w:r w:rsidR="000D312C">
        <w:rPr>
          <w:lang w:val="cs-CZ"/>
        </w:rPr>
        <w:t xml:space="preserve"> souběžn</w:t>
      </w:r>
      <w:r w:rsidR="002240F2">
        <w:rPr>
          <w:lang w:val="cs-CZ"/>
        </w:rPr>
        <w:t>ě s výsledkem V02</w:t>
      </w:r>
      <w:r w:rsidR="00AC646E">
        <w:rPr>
          <w:lang w:val="cs-CZ"/>
        </w:rPr>
        <w:t xml:space="preserve"> a</w:t>
      </w:r>
      <w:r w:rsidR="001349CF">
        <w:rPr>
          <w:lang w:val="cs-CZ"/>
        </w:rPr>
        <w:t xml:space="preserve"> </w:t>
      </w:r>
      <w:r w:rsidRPr="00F915B5">
        <w:rPr>
          <w:lang w:val="cs-CZ"/>
        </w:rPr>
        <w:t>procesy v</w:t>
      </w:r>
      <w:r w:rsidR="00AC646E">
        <w:rPr>
          <w:lang w:val="cs-CZ"/>
        </w:rPr>
        <w:t xml:space="preserve"> databázi </w:t>
      </w:r>
      <w:r w:rsidRPr="00F915B5">
        <w:rPr>
          <w:lang w:val="cs-CZ"/>
        </w:rPr>
        <w:t xml:space="preserve">dosud </w:t>
      </w:r>
      <w:r w:rsidR="005E0EEA">
        <w:rPr>
          <w:lang w:val="cs-CZ"/>
        </w:rPr>
        <w:t xml:space="preserve">reprezentovány </w:t>
      </w:r>
      <w:r w:rsidR="00AC646E">
        <w:rPr>
          <w:lang w:val="cs-CZ"/>
        </w:rPr>
        <w:t xml:space="preserve">vhodným způsobem </w:t>
      </w:r>
      <w:r w:rsidRPr="00F915B5">
        <w:rPr>
          <w:lang w:val="cs-CZ"/>
        </w:rPr>
        <w:t xml:space="preserve">nejsou — </w:t>
      </w:r>
      <w:r w:rsidR="00AC646E">
        <w:rPr>
          <w:lang w:val="cs-CZ"/>
        </w:rPr>
        <w:t xml:space="preserve">plnohodnotný návrh </w:t>
      </w:r>
      <w:r w:rsidR="009353FF">
        <w:rPr>
          <w:lang w:val="cs-CZ"/>
        </w:rPr>
        <w:t xml:space="preserve">reprezentace </w:t>
      </w:r>
      <w:r w:rsidRPr="00F915B5">
        <w:rPr>
          <w:lang w:val="cs-CZ"/>
        </w:rPr>
        <w:t>existuj</w:t>
      </w:r>
      <w:r w:rsidR="009353FF">
        <w:rPr>
          <w:lang w:val="cs-CZ"/>
        </w:rPr>
        <w:t>e</w:t>
      </w:r>
      <w:r w:rsidRPr="00F915B5">
        <w:rPr>
          <w:lang w:val="cs-CZ"/>
        </w:rPr>
        <w:t xml:space="preserve"> jen jako text a </w:t>
      </w:r>
      <w:r w:rsidR="009353FF">
        <w:rPr>
          <w:lang w:val="cs-CZ"/>
        </w:rPr>
        <w:t xml:space="preserve">prozatím </w:t>
      </w:r>
      <w:r w:rsidRPr="00F915B5">
        <w:rPr>
          <w:lang w:val="cs-CZ"/>
        </w:rPr>
        <w:t>nerealizovaný návrh</w:t>
      </w:r>
      <w:r w:rsidR="005E0EEA">
        <w:rPr>
          <w:lang w:val="cs-CZ"/>
        </w:rPr>
        <w:t xml:space="preserve"> v rámci </w:t>
      </w:r>
      <w:r w:rsidR="009353FF">
        <w:rPr>
          <w:lang w:val="cs-CZ"/>
        </w:rPr>
        <w:t>V02</w:t>
      </w:r>
      <w:r w:rsidRPr="00F915B5">
        <w:rPr>
          <w:lang w:val="cs-CZ"/>
        </w:rPr>
        <w:t>.</w:t>
      </w:r>
    </w:p>
    <w:p w14:paraId="2D33B9B5" w14:textId="26504B59" w:rsidR="008E17F6" w:rsidRPr="00F915B5" w:rsidRDefault="00000000">
      <w:pPr>
        <w:pStyle w:val="Nadpis1"/>
        <w:rPr>
          <w:lang w:val="cs-CZ"/>
        </w:rPr>
      </w:pPr>
      <w:r w:rsidRPr="00F915B5">
        <w:rPr>
          <w:lang w:val="cs-CZ"/>
        </w:rPr>
        <w:t>Výchozí situace a cíl konsolidace</w:t>
      </w:r>
    </w:p>
    <w:p w14:paraId="3468235B" w14:textId="34BFDDF2" w:rsidR="008E17F6" w:rsidRPr="00F915B5" w:rsidRDefault="00000000">
      <w:pPr>
        <w:rPr>
          <w:lang w:val="cs-CZ"/>
        </w:rPr>
      </w:pPr>
      <w:r w:rsidRPr="00F915B5">
        <w:rPr>
          <w:lang w:val="cs-CZ"/>
        </w:rPr>
        <w:t xml:space="preserve">Dnes tedy existují dva oddělené světy. Na jedné straně </w:t>
      </w:r>
      <w:r w:rsidR="00917AE0">
        <w:rPr>
          <w:lang w:val="cs-CZ"/>
        </w:rPr>
        <w:t xml:space="preserve">máme </w:t>
      </w:r>
      <w:r w:rsidRPr="00F915B5">
        <w:rPr>
          <w:lang w:val="cs-CZ"/>
        </w:rPr>
        <w:t>běžící databáz</w:t>
      </w:r>
      <w:r w:rsidR="00917AE0">
        <w:rPr>
          <w:lang w:val="cs-CZ"/>
        </w:rPr>
        <w:t>i</w:t>
      </w:r>
      <w:r w:rsidRPr="00F915B5">
        <w:rPr>
          <w:lang w:val="cs-CZ"/>
        </w:rPr>
        <w:t xml:space="preserve"> </w:t>
      </w:r>
      <w:r w:rsidR="00917AE0">
        <w:rPr>
          <w:lang w:val="cs-CZ"/>
        </w:rPr>
        <w:t>norem, zákonů a nařízení souvisejících s vodíkovými instalacemi</w:t>
      </w:r>
      <w:r w:rsidRPr="00F915B5">
        <w:rPr>
          <w:lang w:val="cs-CZ"/>
        </w:rPr>
        <w:t xml:space="preserve">, na druhé straně </w:t>
      </w:r>
      <w:r w:rsidR="00917AE0">
        <w:rPr>
          <w:lang w:val="cs-CZ"/>
        </w:rPr>
        <w:t xml:space="preserve">pouze ideový návrh a </w:t>
      </w:r>
      <w:r w:rsidRPr="00F915B5">
        <w:rPr>
          <w:lang w:val="cs-CZ"/>
        </w:rPr>
        <w:t xml:space="preserve">textový popis </w:t>
      </w:r>
      <w:r w:rsidR="005F2A41">
        <w:rPr>
          <w:lang w:val="cs-CZ"/>
        </w:rPr>
        <w:t xml:space="preserve">reprezentace </w:t>
      </w:r>
      <w:r w:rsidRPr="00F915B5">
        <w:rPr>
          <w:lang w:val="cs-CZ"/>
        </w:rPr>
        <w:t>procesů</w:t>
      </w:r>
      <w:r w:rsidR="005F2A41">
        <w:rPr>
          <w:lang w:val="cs-CZ"/>
        </w:rPr>
        <w:t xml:space="preserve"> předcházejících realizaci vodíkových instalací</w:t>
      </w:r>
      <w:r w:rsidRPr="00F915B5">
        <w:rPr>
          <w:lang w:val="cs-CZ"/>
        </w:rPr>
        <w:t xml:space="preserve">. Jediné, co </w:t>
      </w:r>
      <w:r w:rsidR="005F2A41">
        <w:rPr>
          <w:lang w:val="cs-CZ"/>
        </w:rPr>
        <w:t xml:space="preserve">tyto </w:t>
      </w:r>
      <w:r w:rsidR="00174625">
        <w:rPr>
          <w:lang w:val="cs-CZ"/>
        </w:rPr>
        <w:t xml:space="preserve">komponenty v tento okamžik </w:t>
      </w:r>
      <w:r w:rsidRPr="00F915B5">
        <w:rPr>
          <w:lang w:val="cs-CZ"/>
        </w:rPr>
        <w:t>spojuje, jsou klíčová slova: proces „stavební povolení“ najde související předpisy jen tak, že se v databázi vyhledají dokumenty se štítkem „stavební právo“. To pro spolehlivou práci ne</w:t>
      </w:r>
      <w:r w:rsidR="00E7585B">
        <w:rPr>
          <w:lang w:val="cs-CZ"/>
        </w:rPr>
        <w:t>postačuje</w:t>
      </w:r>
      <w:r w:rsidRPr="00F915B5">
        <w:rPr>
          <w:lang w:val="cs-CZ"/>
        </w:rPr>
        <w:t xml:space="preserve"> — </w:t>
      </w:r>
      <w:r w:rsidR="00E7585B">
        <w:rPr>
          <w:lang w:val="cs-CZ"/>
        </w:rPr>
        <w:t xml:space="preserve">samotné </w:t>
      </w:r>
      <w:r w:rsidRPr="00F915B5">
        <w:rPr>
          <w:lang w:val="cs-CZ"/>
        </w:rPr>
        <w:t xml:space="preserve">klíčové slovo </w:t>
      </w:r>
      <w:r w:rsidR="00E7585B">
        <w:rPr>
          <w:lang w:val="cs-CZ"/>
        </w:rPr>
        <w:t xml:space="preserve">nám například </w:t>
      </w:r>
      <w:r w:rsidRPr="00F915B5">
        <w:rPr>
          <w:lang w:val="cs-CZ"/>
        </w:rPr>
        <w:t xml:space="preserve">neříká, zda je </w:t>
      </w:r>
      <w:r w:rsidR="00E7585B">
        <w:rPr>
          <w:lang w:val="cs-CZ"/>
        </w:rPr>
        <w:t xml:space="preserve">daný </w:t>
      </w:r>
      <w:r w:rsidRPr="00F915B5">
        <w:rPr>
          <w:lang w:val="cs-CZ"/>
        </w:rPr>
        <w:t>předpis pro proces závazný, okrajový, nebo jen tematicky příbuzný.</w:t>
      </w:r>
      <w:r w:rsidR="00FD6C99">
        <w:rPr>
          <w:lang w:val="cs-CZ"/>
        </w:rPr>
        <w:t xml:space="preserve"> Víme pouze, že tento předpis s procesem nějak souvisí.</w:t>
      </w:r>
    </w:p>
    <w:p w14:paraId="1A21224B" w14:textId="77777777" w:rsidR="008E17F6" w:rsidRPr="00F915B5" w:rsidRDefault="00000000">
      <w:pPr>
        <w:spacing w:after="40"/>
        <w:jc w:val="center"/>
        <w:rPr>
          <w:lang w:val="cs-CZ"/>
        </w:rPr>
      </w:pPr>
      <w:r w:rsidRPr="00F915B5">
        <w:rPr>
          <w:noProof/>
          <w:lang w:val="cs-CZ"/>
        </w:rPr>
        <w:drawing>
          <wp:inline distT="0" distB="0" distL="0" distR="0" wp14:anchorId="5D2576C3" wp14:editId="014A1134">
            <wp:extent cx="5580000" cy="11507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-dve-cas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5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4E9F" w14:textId="77777777" w:rsidR="008E17F6" w:rsidRPr="00F915B5" w:rsidRDefault="00000000">
      <w:pPr>
        <w:spacing w:after="240"/>
        <w:jc w:val="center"/>
        <w:rPr>
          <w:lang w:val="cs-CZ"/>
        </w:rPr>
      </w:pPr>
      <w:r w:rsidRPr="00F915B5">
        <w:rPr>
          <w:i/>
          <w:sz w:val="19"/>
          <w:lang w:val="cs-CZ"/>
        </w:rPr>
        <w:t>Obr. 1 — Výchozí situace: dokumenty a procesy existují odděleně, spojuje je jen tematické štítkování.</w:t>
      </w:r>
    </w:p>
    <w:p w14:paraId="592DE627" w14:textId="3500CF7F" w:rsidR="008E17F6" w:rsidRPr="00F915B5" w:rsidRDefault="00000000">
      <w:pPr>
        <w:rPr>
          <w:lang w:val="cs-CZ"/>
        </w:rPr>
      </w:pPr>
      <w:r w:rsidRPr="00F915B5">
        <w:rPr>
          <w:lang w:val="cs-CZ"/>
        </w:rPr>
        <w:t>Cílem konsolidace</w:t>
      </w:r>
      <w:r w:rsidR="00FD6C99">
        <w:rPr>
          <w:lang w:val="cs-CZ"/>
        </w:rPr>
        <w:t>, navrhované v tomto dokumentu,</w:t>
      </w:r>
      <w:r w:rsidRPr="00F915B5">
        <w:rPr>
          <w:lang w:val="cs-CZ"/>
        </w:rPr>
        <w:t xml:space="preserve"> je </w:t>
      </w:r>
      <w:r w:rsidR="00FD6C99">
        <w:rPr>
          <w:lang w:val="cs-CZ"/>
        </w:rPr>
        <w:t xml:space="preserve">vytvořit </w:t>
      </w:r>
      <w:r w:rsidRPr="00F915B5">
        <w:rPr>
          <w:lang w:val="cs-CZ"/>
        </w:rPr>
        <w:t>jediné schéma, které oba světy spojí a doplní to, co požaduje metodika V03. Výsledek si lze představit jako čtyři vrstvy postavené na sobě:</w:t>
      </w:r>
    </w:p>
    <w:p w14:paraId="50E34F71" w14:textId="77777777" w:rsidR="008E17F6" w:rsidRPr="00F915B5" w:rsidRDefault="00000000">
      <w:pPr>
        <w:spacing w:after="40"/>
        <w:jc w:val="center"/>
        <w:rPr>
          <w:lang w:val="cs-CZ"/>
        </w:rPr>
      </w:pPr>
      <w:r w:rsidRPr="00F915B5">
        <w:rPr>
          <w:noProof/>
          <w:lang w:val="cs-CZ"/>
        </w:rPr>
        <w:lastRenderedPageBreak/>
        <w:drawing>
          <wp:inline distT="0" distB="0" distL="0" distR="0" wp14:anchorId="11829CC2" wp14:editId="5AC4800A">
            <wp:extent cx="4860000" cy="38055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-vrstv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83C2" w14:textId="77777777" w:rsidR="008E17F6" w:rsidRPr="00F915B5" w:rsidRDefault="00000000">
      <w:pPr>
        <w:spacing w:after="240"/>
        <w:jc w:val="center"/>
        <w:rPr>
          <w:lang w:val="cs-CZ"/>
        </w:rPr>
      </w:pPr>
      <w:r w:rsidRPr="00F915B5">
        <w:rPr>
          <w:i/>
          <w:sz w:val="19"/>
          <w:lang w:val="cs-CZ"/>
        </w:rPr>
        <w:t>Obr. 2 — Čtyři vrstvy konsolidovaného schématu. Spodní dvě vrstvy přebírají existující práci (V01, návrh V02), horní dvě jsou nové.</w:t>
      </w:r>
    </w:p>
    <w:p w14:paraId="26AA7DEC" w14:textId="3E982102" w:rsidR="008E17F6" w:rsidRPr="00F915B5" w:rsidRDefault="00000000">
      <w:pPr>
        <w:rPr>
          <w:lang w:val="cs-CZ"/>
        </w:rPr>
      </w:pPr>
      <w:r w:rsidRPr="00F915B5">
        <w:rPr>
          <w:b/>
          <w:lang w:val="cs-CZ"/>
        </w:rPr>
        <w:t>Zásadní praktické omezení</w:t>
      </w:r>
      <w:r w:rsidR="00B861F0">
        <w:rPr>
          <w:b/>
          <w:lang w:val="cs-CZ"/>
        </w:rPr>
        <w:t xml:space="preserve"> k diskusi</w:t>
      </w:r>
      <w:r w:rsidRPr="00F915B5">
        <w:rPr>
          <w:b/>
          <w:lang w:val="cs-CZ"/>
        </w:rPr>
        <w:t xml:space="preserve">: </w:t>
      </w:r>
      <w:r w:rsidR="004D3B10">
        <w:rPr>
          <w:lang w:val="cs-CZ"/>
        </w:rPr>
        <w:t>N</w:t>
      </w:r>
      <w:r w:rsidRPr="00F915B5">
        <w:rPr>
          <w:lang w:val="cs-CZ"/>
        </w:rPr>
        <w:t xml:space="preserve">ad vrstvou A běží produkční webová aplikace, kterou </w:t>
      </w:r>
      <w:commentRangeStart w:id="1"/>
      <w:r w:rsidR="004D3B10">
        <w:rPr>
          <w:lang w:val="cs-CZ"/>
        </w:rPr>
        <w:t>mů</w:t>
      </w:r>
      <w:r w:rsidR="00F1013A">
        <w:rPr>
          <w:lang w:val="cs-CZ"/>
        </w:rPr>
        <w:t>ž</w:t>
      </w:r>
      <w:r w:rsidR="004D3B10">
        <w:rPr>
          <w:lang w:val="cs-CZ"/>
        </w:rPr>
        <w:t xml:space="preserve">e </w:t>
      </w:r>
      <w:r w:rsidRPr="00F915B5">
        <w:rPr>
          <w:lang w:val="cs-CZ"/>
        </w:rPr>
        <w:t>použív</w:t>
      </w:r>
      <w:r w:rsidR="004D3B10">
        <w:rPr>
          <w:lang w:val="cs-CZ"/>
        </w:rPr>
        <w:t xml:space="preserve">at </w:t>
      </w:r>
      <w:r w:rsidRPr="00F915B5">
        <w:rPr>
          <w:lang w:val="cs-CZ"/>
        </w:rPr>
        <w:t>veřejnost</w:t>
      </w:r>
      <w:commentRangeEnd w:id="1"/>
      <w:r w:rsidR="00D77BF2" w:rsidRPr="00F915B5">
        <w:rPr>
          <w:rStyle w:val="Odkaznakoment"/>
          <w:sz w:val="22"/>
          <w:szCs w:val="22"/>
          <w:lang w:val="cs-CZ"/>
        </w:rPr>
        <w:commentReference w:id="1"/>
      </w:r>
      <w:r w:rsidRPr="00F915B5">
        <w:rPr>
          <w:lang w:val="cs-CZ"/>
        </w:rPr>
        <w:t xml:space="preserve">. Konsolidace </w:t>
      </w:r>
      <w:r w:rsidR="00246247">
        <w:rPr>
          <w:lang w:val="cs-CZ"/>
        </w:rPr>
        <w:t xml:space="preserve">by </w:t>
      </w:r>
      <w:r w:rsidRPr="00F915B5">
        <w:rPr>
          <w:lang w:val="cs-CZ"/>
        </w:rPr>
        <w:t>proto ne</w:t>
      </w:r>
      <w:r w:rsidR="00246247">
        <w:rPr>
          <w:lang w:val="cs-CZ"/>
        </w:rPr>
        <w:t>měla</w:t>
      </w:r>
      <w:r w:rsidRPr="00F915B5">
        <w:rPr>
          <w:lang w:val="cs-CZ"/>
        </w:rPr>
        <w:t xml:space="preserve"> z existující struktury </w:t>
      </w:r>
      <w:r w:rsidR="00246247">
        <w:rPr>
          <w:lang w:val="cs-CZ"/>
        </w:rPr>
        <w:t xml:space="preserve">nic </w:t>
      </w:r>
      <w:r w:rsidRPr="00F915B5">
        <w:rPr>
          <w:lang w:val="cs-CZ"/>
        </w:rPr>
        <w:t xml:space="preserve">odebrat ani přejmenovat — všechny změny jsou „aditivní“, tedy pouze přidávají nové sloupce a nové tabulky. Díky tomu </w:t>
      </w:r>
      <w:r w:rsidR="00246247">
        <w:rPr>
          <w:lang w:val="cs-CZ"/>
        </w:rPr>
        <w:t xml:space="preserve">bude moci </w:t>
      </w:r>
      <w:r w:rsidRPr="00F915B5">
        <w:rPr>
          <w:lang w:val="cs-CZ"/>
        </w:rPr>
        <w:t>aplikace běžet beze změny i v průběhu přestavby.</w:t>
      </w:r>
    </w:p>
    <w:p w14:paraId="75AD9568" w14:textId="4B6D9E01" w:rsidR="008E17F6" w:rsidRPr="00F915B5" w:rsidRDefault="00000000">
      <w:pPr>
        <w:pStyle w:val="Nadpis1"/>
        <w:rPr>
          <w:lang w:val="cs-CZ"/>
        </w:rPr>
      </w:pPr>
      <w:r w:rsidRPr="00F915B5">
        <w:rPr>
          <w:lang w:val="cs-CZ"/>
        </w:rPr>
        <w:t>Vrstva A — dokumenty (převzato z V01)</w:t>
      </w:r>
    </w:p>
    <w:p w14:paraId="1F49AC59" w14:textId="77777777" w:rsidR="008E17F6" w:rsidRPr="00F915B5" w:rsidRDefault="00000000">
      <w:pPr>
        <w:rPr>
          <w:lang w:val="cs-CZ"/>
        </w:rPr>
      </w:pPr>
      <w:r w:rsidRPr="00F915B5">
        <w:rPr>
          <w:lang w:val="cs-CZ"/>
        </w:rPr>
        <w:t>Základem zůstává osvědčený model databáze V01. Středem je entita DOKUMENT — jeden záznam pro každý zákon, vyhlášku, unijní nařízení, technickou normu, strategii nebo metodiku. Kolem dokumentu stojí čtyři pomocné entity:</w:t>
      </w:r>
    </w:p>
    <w:p w14:paraId="686585A8" w14:textId="77777777" w:rsidR="008E17F6" w:rsidRPr="00F915B5" w:rsidRDefault="00000000">
      <w:pPr>
        <w:spacing w:after="40"/>
        <w:jc w:val="center"/>
        <w:rPr>
          <w:lang w:val="cs-CZ"/>
        </w:rPr>
      </w:pPr>
      <w:r w:rsidRPr="00F915B5">
        <w:rPr>
          <w:noProof/>
          <w:lang w:val="cs-CZ"/>
        </w:rPr>
        <w:lastRenderedPageBreak/>
        <w:drawing>
          <wp:inline distT="0" distB="0" distL="0" distR="0" wp14:anchorId="3F70E280" wp14:editId="68AE2901">
            <wp:extent cx="5580000" cy="32605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-v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6822" w14:textId="77777777" w:rsidR="008E17F6" w:rsidRPr="00F915B5" w:rsidRDefault="00000000">
      <w:pPr>
        <w:spacing w:after="240"/>
        <w:jc w:val="center"/>
        <w:rPr>
          <w:lang w:val="cs-CZ"/>
        </w:rPr>
      </w:pPr>
      <w:r w:rsidRPr="00F915B5">
        <w:rPr>
          <w:i/>
          <w:sz w:val="19"/>
          <w:lang w:val="cs-CZ"/>
        </w:rPr>
        <w:t>Obr. 3 — Dokumentová vrstva: dokument a jeho čtyři satelity.</w:t>
      </w:r>
    </w:p>
    <w:p w14:paraId="45389B9F" w14:textId="77777777" w:rsidR="008E17F6" w:rsidRPr="00F915B5" w:rsidRDefault="00000000">
      <w:pPr>
        <w:rPr>
          <w:lang w:val="cs-CZ"/>
        </w:rPr>
      </w:pPr>
      <w:r w:rsidRPr="00F915B5">
        <w:rPr>
          <w:lang w:val="cs-CZ"/>
        </w:rPr>
        <w:t>Za pozornost stojí dvě věci. Zaprvé, databáze je „metadatová“ — neukládá plné texty předpisů (u technických norem to ani licenčně nejde), ale jejich popis, zařazení a odkaz na oficiální zdroj. Zadruhé, klíčová slova nejsou volné štítky: jde o řízený slovník, který spravuje autorský tým, aby nevznikala synonyma a překlepy.</w:t>
      </w:r>
    </w:p>
    <w:p w14:paraId="27B6F03D" w14:textId="77777777" w:rsidR="008E17F6" w:rsidRPr="00F915B5" w:rsidRDefault="00000000">
      <w:pPr>
        <w:rPr>
          <w:lang w:val="cs-CZ"/>
        </w:rPr>
      </w:pPr>
      <w:r w:rsidRPr="00F915B5">
        <w:rPr>
          <w:lang w:val="cs-CZ"/>
        </w:rPr>
        <w:t>Konsolidace tuto vrstvu pouze drobně rozšiřuje:</w:t>
      </w:r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814"/>
        <w:gridCol w:w="3572"/>
      </w:tblGrid>
      <w:tr w:rsidR="008E17F6" w:rsidRPr="00F915B5" w14:paraId="36EFAE8B" w14:textId="77777777">
        <w:trPr>
          <w:jc w:val="center"/>
        </w:trPr>
        <w:tc>
          <w:tcPr>
            <w:tcW w:w="3402" w:type="dxa"/>
            <w:shd w:val="clear" w:color="auto" w:fill="D9E2F3"/>
          </w:tcPr>
          <w:p w14:paraId="302B26F5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Co se přidává</w:t>
            </w:r>
          </w:p>
        </w:tc>
        <w:tc>
          <w:tcPr>
            <w:tcW w:w="1814" w:type="dxa"/>
            <w:shd w:val="clear" w:color="auto" w:fill="D9E2F3"/>
          </w:tcPr>
          <w:p w14:paraId="028253D5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Kam</w:t>
            </w:r>
          </w:p>
        </w:tc>
        <w:tc>
          <w:tcPr>
            <w:tcW w:w="3572" w:type="dxa"/>
            <w:shd w:val="clear" w:color="auto" w:fill="D9E2F3"/>
          </w:tcPr>
          <w:p w14:paraId="5CD6C926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Proč</w:t>
            </w:r>
          </w:p>
        </w:tc>
      </w:tr>
      <w:tr w:rsidR="008E17F6" w:rsidRPr="00F915B5" w14:paraId="056FA2E3" w14:textId="77777777">
        <w:trPr>
          <w:jc w:val="center"/>
        </w:trPr>
        <w:tc>
          <w:tcPr>
            <w:tcW w:w="3402" w:type="dxa"/>
          </w:tcPr>
          <w:p w14:paraId="2407DF04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Oficiální identifikátor předpisu (např. „č. 283/2021 Sb.“, „EN 17124:2022“)</w:t>
            </w:r>
          </w:p>
        </w:tc>
        <w:tc>
          <w:tcPr>
            <w:tcW w:w="1814" w:type="dxa"/>
          </w:tcPr>
          <w:p w14:paraId="5D037218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Dokument</w:t>
            </w:r>
          </w:p>
        </w:tc>
        <w:tc>
          <w:tcPr>
            <w:tcW w:w="3572" w:type="dxa"/>
          </w:tcPr>
          <w:p w14:paraId="683CF428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Jednoznačné rozpoznání předpisu při propojování s procesy a při deduplikaci.</w:t>
            </w:r>
          </w:p>
        </w:tc>
      </w:tr>
      <w:tr w:rsidR="008E17F6" w:rsidRPr="00F915B5" w14:paraId="5DB37D12" w14:textId="77777777">
        <w:trPr>
          <w:jc w:val="center"/>
        </w:trPr>
        <w:tc>
          <w:tcPr>
            <w:tcW w:w="3402" w:type="dxa"/>
          </w:tcPr>
          <w:p w14:paraId="26C897B6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Typ instituce a jurisdikce (ČR / EU / mezinárodní)</w:t>
            </w:r>
          </w:p>
        </w:tc>
        <w:tc>
          <w:tcPr>
            <w:tcW w:w="1814" w:type="dxa"/>
          </w:tcPr>
          <w:p w14:paraId="7870F243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Zdroj dokumentu</w:t>
            </w:r>
          </w:p>
        </w:tc>
        <w:tc>
          <w:tcPr>
            <w:tcW w:w="3572" w:type="dxa"/>
          </w:tcPr>
          <w:p w14:paraId="200AE9AE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Umožňuje filtrovat podle právní úrovně; jurisdikce je vlastností vydavatele, ne dokumentu.</w:t>
            </w:r>
          </w:p>
        </w:tc>
      </w:tr>
      <w:tr w:rsidR="008E17F6" w:rsidRPr="00F915B5" w14:paraId="1FE636FF" w14:textId="77777777">
        <w:trPr>
          <w:jc w:val="center"/>
        </w:trPr>
        <w:tc>
          <w:tcPr>
            <w:tcW w:w="3402" w:type="dxa"/>
          </w:tcPr>
          <w:p w14:paraId="49D1F29B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Příznak „toto je aktuálně platná verze“</w:t>
            </w:r>
          </w:p>
        </w:tc>
        <w:tc>
          <w:tcPr>
            <w:tcW w:w="1814" w:type="dxa"/>
          </w:tcPr>
          <w:p w14:paraId="165500B3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Verze dokumentu</w:t>
            </w:r>
          </w:p>
        </w:tc>
        <w:tc>
          <w:tcPr>
            <w:tcW w:w="3572" w:type="dxa"/>
          </w:tcPr>
          <w:p w14:paraId="56088514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Výchozí zobrazení aktuálního stavu bez procházení celé historie verzí.</w:t>
            </w:r>
          </w:p>
        </w:tc>
      </w:tr>
    </w:tbl>
    <w:p w14:paraId="5DD8893C" w14:textId="77777777" w:rsidR="008E17F6" w:rsidRPr="00F915B5" w:rsidRDefault="008E17F6">
      <w:pPr>
        <w:spacing w:after="40"/>
        <w:rPr>
          <w:lang w:val="cs-CZ"/>
        </w:rPr>
      </w:pPr>
    </w:p>
    <w:p w14:paraId="5715B044" w14:textId="4E80E652" w:rsidR="008E17F6" w:rsidRPr="00F915B5" w:rsidRDefault="00000000">
      <w:pPr>
        <w:pStyle w:val="Nadpis1"/>
        <w:rPr>
          <w:lang w:val="cs-CZ"/>
        </w:rPr>
      </w:pPr>
      <w:r w:rsidRPr="00F915B5">
        <w:rPr>
          <w:lang w:val="cs-CZ"/>
        </w:rPr>
        <w:t>Vrstva B — procesy (podle návrhu V02)</w:t>
      </w:r>
    </w:p>
    <w:p w14:paraId="76180900" w14:textId="04E4789B" w:rsidR="008E17F6" w:rsidRPr="00F915B5" w:rsidRDefault="00000000">
      <w:pPr>
        <w:pStyle w:val="Nadpis2"/>
        <w:rPr>
          <w:lang w:val="cs-CZ"/>
        </w:rPr>
      </w:pPr>
      <w:r w:rsidRPr="00F915B5">
        <w:rPr>
          <w:lang w:val="cs-CZ"/>
        </w:rPr>
        <w:t>Sedm procesních uzlů</w:t>
      </w:r>
    </w:p>
    <w:p w14:paraId="131E3F36" w14:textId="37A1A13E" w:rsidR="008E17F6" w:rsidRPr="00F915B5" w:rsidRDefault="00000000">
      <w:pPr>
        <w:rPr>
          <w:lang w:val="cs-CZ"/>
        </w:rPr>
      </w:pPr>
      <w:r w:rsidRPr="00F915B5">
        <w:rPr>
          <w:lang w:val="cs-CZ"/>
        </w:rPr>
        <w:t>Jádrem procesní vrstvy je sedm „procesních uzlů“</w:t>
      </w:r>
      <w:r w:rsidR="00A55B61">
        <w:rPr>
          <w:lang w:val="cs-CZ"/>
        </w:rPr>
        <w:t>, definovaných v dokumentu V02</w:t>
      </w:r>
      <w:r w:rsidRPr="00F915B5">
        <w:rPr>
          <w:lang w:val="cs-CZ"/>
        </w:rPr>
        <w:t>. Uzel je ucelené povolovací či schvalovací řízení s jasným výstupem — například územní posouzení, EIA nebo stavební povolení. Analytici je v dokumentu V02 identifikovali jako páteř přípravy každého vodíkového projektu:</w:t>
      </w:r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948"/>
        <w:gridCol w:w="5102"/>
      </w:tblGrid>
      <w:tr w:rsidR="008E17F6" w:rsidRPr="00F915B5" w14:paraId="7B6BBCD5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0A6BB7FD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Uzel</w:t>
            </w:r>
          </w:p>
        </w:tc>
        <w:tc>
          <w:tcPr>
            <w:tcW w:w="2948" w:type="dxa"/>
            <w:shd w:val="clear" w:color="auto" w:fill="D9E2F3"/>
          </w:tcPr>
          <w:p w14:paraId="617E0F51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Název</w:t>
            </w:r>
          </w:p>
        </w:tc>
        <w:tc>
          <w:tcPr>
            <w:tcW w:w="5102" w:type="dxa"/>
            <w:shd w:val="clear" w:color="auto" w:fill="D9E2F3"/>
          </w:tcPr>
          <w:p w14:paraId="3C1E8F49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Oč jde (zjednodušeně)</w:t>
            </w:r>
          </w:p>
        </w:tc>
      </w:tr>
      <w:tr w:rsidR="008E17F6" w:rsidRPr="00F915B5" w14:paraId="75DD50FC" w14:textId="77777777">
        <w:trPr>
          <w:jc w:val="center"/>
        </w:trPr>
        <w:tc>
          <w:tcPr>
            <w:tcW w:w="737" w:type="dxa"/>
          </w:tcPr>
          <w:p w14:paraId="6F3824FF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U1</w:t>
            </w:r>
          </w:p>
        </w:tc>
        <w:tc>
          <w:tcPr>
            <w:tcW w:w="2948" w:type="dxa"/>
          </w:tcPr>
          <w:p w14:paraId="57F040F3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Územní kompatibilita záměru</w:t>
            </w:r>
          </w:p>
        </w:tc>
        <w:tc>
          <w:tcPr>
            <w:tcW w:w="5102" w:type="dxa"/>
          </w:tcPr>
          <w:p w14:paraId="36F87CED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Smí takový záměr stát na zvoleném místě?</w:t>
            </w:r>
          </w:p>
        </w:tc>
      </w:tr>
      <w:tr w:rsidR="008E17F6" w:rsidRPr="00F915B5" w14:paraId="74C59FA6" w14:textId="77777777">
        <w:trPr>
          <w:jc w:val="center"/>
        </w:trPr>
        <w:tc>
          <w:tcPr>
            <w:tcW w:w="737" w:type="dxa"/>
          </w:tcPr>
          <w:p w14:paraId="4678B8ED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lastRenderedPageBreak/>
              <w:t>U2</w:t>
            </w:r>
          </w:p>
        </w:tc>
        <w:tc>
          <w:tcPr>
            <w:tcW w:w="2948" w:type="dxa"/>
          </w:tcPr>
          <w:p w14:paraId="205B2CCC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Environmentální režim projektu</w:t>
            </w:r>
          </w:p>
        </w:tc>
        <w:tc>
          <w:tcPr>
            <w:tcW w:w="5102" w:type="dxa"/>
          </w:tcPr>
          <w:p w14:paraId="64D259A3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Vyžaduje záměr posouzení vlivů (EIA), integrované povolení, vodoprávní souhlas?</w:t>
            </w:r>
          </w:p>
        </w:tc>
      </w:tr>
      <w:tr w:rsidR="008E17F6" w:rsidRPr="00F915B5" w14:paraId="6AE78D9E" w14:textId="77777777">
        <w:trPr>
          <w:jc w:val="center"/>
        </w:trPr>
        <w:tc>
          <w:tcPr>
            <w:tcW w:w="737" w:type="dxa"/>
          </w:tcPr>
          <w:p w14:paraId="5C8A908C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U3</w:t>
            </w:r>
          </w:p>
        </w:tc>
        <w:tc>
          <w:tcPr>
            <w:tcW w:w="2948" w:type="dxa"/>
          </w:tcPr>
          <w:p w14:paraId="4AD844C4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Stavební povolení</w:t>
            </w:r>
          </w:p>
        </w:tc>
        <w:tc>
          <w:tcPr>
            <w:tcW w:w="5102" w:type="dxa"/>
          </w:tcPr>
          <w:p w14:paraId="65D30159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Klasické stavební řízení včetně dokumentace a stanovisek.</w:t>
            </w:r>
          </w:p>
        </w:tc>
      </w:tr>
      <w:tr w:rsidR="008E17F6" w:rsidRPr="00F915B5" w14:paraId="14704FFD" w14:textId="77777777">
        <w:trPr>
          <w:jc w:val="center"/>
        </w:trPr>
        <w:tc>
          <w:tcPr>
            <w:tcW w:w="737" w:type="dxa"/>
          </w:tcPr>
          <w:p w14:paraId="5030E1E1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U4</w:t>
            </w:r>
          </w:p>
        </w:tc>
        <w:tc>
          <w:tcPr>
            <w:tcW w:w="2948" w:type="dxa"/>
          </w:tcPr>
          <w:p w14:paraId="7E565BC3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Energeticko-provozní oprávnění</w:t>
            </w:r>
          </w:p>
        </w:tc>
        <w:tc>
          <w:tcPr>
            <w:tcW w:w="5102" w:type="dxa"/>
          </w:tcPr>
          <w:p w14:paraId="520B3EAD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Licence a oprávnění k výrobě/prodeji energie či paliva.</w:t>
            </w:r>
          </w:p>
        </w:tc>
      </w:tr>
      <w:tr w:rsidR="008E17F6" w:rsidRPr="00F915B5" w14:paraId="1082BEA0" w14:textId="77777777">
        <w:trPr>
          <w:jc w:val="center"/>
        </w:trPr>
        <w:tc>
          <w:tcPr>
            <w:tcW w:w="737" w:type="dxa"/>
          </w:tcPr>
          <w:p w14:paraId="33B947EC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U5</w:t>
            </w:r>
          </w:p>
        </w:tc>
        <w:tc>
          <w:tcPr>
            <w:tcW w:w="2948" w:type="dxa"/>
          </w:tcPr>
          <w:p w14:paraId="6608E640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Bezpečnostní režim</w:t>
            </w:r>
          </w:p>
        </w:tc>
        <w:tc>
          <w:tcPr>
            <w:tcW w:w="5102" w:type="dxa"/>
          </w:tcPr>
          <w:p w14:paraId="7E7603F5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Požární ochrana, tlaková zařízení, prevence závažných havárií, ATEX.</w:t>
            </w:r>
          </w:p>
        </w:tc>
      </w:tr>
      <w:tr w:rsidR="008E17F6" w:rsidRPr="00F915B5" w14:paraId="35D3656C" w14:textId="77777777">
        <w:trPr>
          <w:jc w:val="center"/>
        </w:trPr>
        <w:tc>
          <w:tcPr>
            <w:tcW w:w="737" w:type="dxa"/>
          </w:tcPr>
          <w:p w14:paraId="02D7B3E8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U6</w:t>
            </w:r>
          </w:p>
        </w:tc>
        <w:tc>
          <w:tcPr>
            <w:tcW w:w="2948" w:type="dxa"/>
          </w:tcPr>
          <w:p w14:paraId="281D6C1A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Připojení k infrastruktuře</w:t>
            </w:r>
          </w:p>
        </w:tc>
        <w:tc>
          <w:tcPr>
            <w:tcW w:w="5102" w:type="dxa"/>
          </w:tcPr>
          <w:p w14:paraId="0BC8EA5B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Smlouvy a podmínky připojení k elektřině, plynu, vodě, komunikacím.</w:t>
            </w:r>
          </w:p>
        </w:tc>
      </w:tr>
      <w:tr w:rsidR="008E17F6" w:rsidRPr="00F915B5" w14:paraId="3C2F6903" w14:textId="77777777">
        <w:trPr>
          <w:jc w:val="center"/>
        </w:trPr>
        <w:tc>
          <w:tcPr>
            <w:tcW w:w="737" w:type="dxa"/>
          </w:tcPr>
          <w:p w14:paraId="09E6BB33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U7</w:t>
            </w:r>
          </w:p>
        </w:tc>
        <w:tc>
          <w:tcPr>
            <w:tcW w:w="2948" w:type="dxa"/>
          </w:tcPr>
          <w:p w14:paraId="73A85AA2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Certifikační schopnost dle RFNBO</w:t>
            </w:r>
          </w:p>
        </w:tc>
        <w:tc>
          <w:tcPr>
            <w:tcW w:w="5102" w:type="dxa"/>
          </w:tcPr>
          <w:p w14:paraId="1CA9E127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Připravenost prokázat „zelený“ původ vodíku podle pravidel EU.</w:t>
            </w:r>
          </w:p>
        </w:tc>
      </w:tr>
    </w:tbl>
    <w:p w14:paraId="01DC7BC0" w14:textId="77777777" w:rsidR="008E17F6" w:rsidRPr="00F915B5" w:rsidRDefault="008E17F6">
      <w:pPr>
        <w:spacing w:after="40"/>
        <w:rPr>
          <w:lang w:val="cs-CZ"/>
        </w:rPr>
      </w:pPr>
    </w:p>
    <w:p w14:paraId="02841832" w14:textId="77777777" w:rsidR="008E17F6" w:rsidRPr="00F915B5" w:rsidRDefault="00000000">
      <w:pPr>
        <w:rPr>
          <w:lang w:val="cs-CZ"/>
        </w:rPr>
      </w:pPr>
      <w:r w:rsidRPr="00F915B5">
        <w:rPr>
          <w:lang w:val="cs-CZ"/>
        </w:rPr>
        <w:t>Uzly nejsou izolované — tvoří síť. Některé musí proběhnout před jinými (výstup jednoho je vstupem druhého), jiné běží souběžně nebo se vzájemně ovlivňují. Síť vazeb je v databázi uložena explicitně jako hrany grafu:</w:t>
      </w:r>
    </w:p>
    <w:p w14:paraId="20A0E66C" w14:textId="77777777" w:rsidR="008E17F6" w:rsidRPr="00F915B5" w:rsidRDefault="00000000">
      <w:pPr>
        <w:spacing w:after="40"/>
        <w:jc w:val="center"/>
        <w:rPr>
          <w:lang w:val="cs-CZ"/>
        </w:rPr>
      </w:pPr>
      <w:r w:rsidRPr="00F915B5">
        <w:rPr>
          <w:noProof/>
          <w:lang w:val="cs-CZ"/>
        </w:rPr>
        <w:drawing>
          <wp:inline distT="0" distB="0" distL="0" distR="0" wp14:anchorId="7C6809C4" wp14:editId="3E4B8E74">
            <wp:extent cx="5760000" cy="1516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-s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1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86CF" w14:textId="77777777" w:rsidR="008E17F6" w:rsidRPr="00F915B5" w:rsidRDefault="00000000">
      <w:pPr>
        <w:spacing w:after="240"/>
        <w:jc w:val="center"/>
        <w:rPr>
          <w:lang w:val="cs-CZ"/>
        </w:rPr>
      </w:pPr>
      <w:r w:rsidRPr="00F915B5">
        <w:rPr>
          <w:i/>
          <w:sz w:val="19"/>
          <w:lang w:val="cs-CZ"/>
        </w:rPr>
        <w:t>Obr. 4 — Procesní síť U1–U7. Plné šipky = přímá návaznost, obousměrné šipky = vzájemné ovlivňování, čárkované = nepřímý vliv.</w:t>
      </w:r>
    </w:p>
    <w:p w14:paraId="43A493A2" w14:textId="51519373" w:rsidR="008E17F6" w:rsidRPr="00F915B5" w:rsidRDefault="00000000">
      <w:pPr>
        <w:pStyle w:val="Nadpis2"/>
        <w:rPr>
          <w:lang w:val="cs-CZ"/>
        </w:rPr>
      </w:pPr>
      <w:r w:rsidRPr="00F915B5">
        <w:rPr>
          <w:lang w:val="cs-CZ"/>
        </w:rPr>
        <w:t>Co všechno o uzlu evidujeme</w:t>
      </w:r>
    </w:p>
    <w:p w14:paraId="1BC07EED" w14:textId="77777777" w:rsidR="008E17F6" w:rsidRPr="00F915B5" w:rsidRDefault="00000000">
      <w:pPr>
        <w:rPr>
          <w:lang w:val="cs-CZ"/>
        </w:rPr>
      </w:pPr>
      <w:r w:rsidRPr="00F915B5">
        <w:rPr>
          <w:lang w:val="cs-CZ"/>
        </w:rPr>
        <w:t>Každý uzel je v dokumentu V02 popsán jednotnou šablonou o jedenácti bodech (účel, právní opora, spouštěcí podmínky, vstupy, průběh, subjekty, výstupy, vazby, variabilita, typické problémy, vazba na databázi). V databázi je tato šablona rozložena do skupiny tabulek — „satelitů“ kolem uzlu. Zásada zní: hlavní tabulka uzlu zůstává malá a strukturovaná, všechno ostatní se dohledává vazbou.</w:t>
      </w:r>
    </w:p>
    <w:p w14:paraId="42D2121B" w14:textId="77777777" w:rsidR="008E17F6" w:rsidRPr="00F915B5" w:rsidRDefault="00000000">
      <w:pPr>
        <w:spacing w:after="40"/>
        <w:jc w:val="center"/>
        <w:rPr>
          <w:lang w:val="cs-CZ"/>
        </w:rPr>
      </w:pPr>
      <w:r w:rsidRPr="00F915B5">
        <w:rPr>
          <w:noProof/>
          <w:lang w:val="cs-CZ"/>
        </w:rPr>
        <w:lastRenderedPageBreak/>
        <w:drawing>
          <wp:inline distT="0" distB="0" distL="0" distR="0" wp14:anchorId="73A4C17E" wp14:editId="129FF84F">
            <wp:extent cx="5040000" cy="35398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-uz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3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5EA4" w14:textId="77777777" w:rsidR="008E17F6" w:rsidRPr="00F915B5" w:rsidRDefault="00000000">
      <w:pPr>
        <w:spacing w:after="240"/>
        <w:jc w:val="center"/>
        <w:rPr>
          <w:lang w:val="cs-CZ"/>
        </w:rPr>
      </w:pPr>
      <w:r w:rsidRPr="00F915B5">
        <w:rPr>
          <w:i/>
          <w:sz w:val="19"/>
          <w:lang w:val="cs-CZ"/>
        </w:rPr>
        <w:t>Obr. 5 — Procesní uzel a jeho satelity. Každý blok je samostatná tabulka (nebo dvojice tabulek) napojená na uzel.</w:t>
      </w:r>
    </w:p>
    <w:p w14:paraId="6BF48255" w14:textId="77777777" w:rsidR="008E17F6" w:rsidRPr="00F915B5" w:rsidRDefault="00000000">
      <w:pPr>
        <w:rPr>
          <w:lang w:val="cs-CZ"/>
        </w:rPr>
      </w:pPr>
      <w:r w:rsidRPr="00F915B5">
        <w:rPr>
          <w:lang w:val="cs-CZ"/>
        </w:rPr>
        <w:t>Dva satelity si zaslouží vysvětlení:</w:t>
      </w:r>
    </w:p>
    <w:p w14:paraId="1E38DF08" w14:textId="77777777" w:rsidR="008E17F6" w:rsidRPr="00F915B5" w:rsidRDefault="00000000">
      <w:pPr>
        <w:pStyle w:val="Seznamsodrkami"/>
        <w:rPr>
          <w:lang w:val="cs-CZ"/>
        </w:rPr>
      </w:pPr>
      <w:r w:rsidRPr="00F915B5">
        <w:rPr>
          <w:b/>
          <w:lang w:val="cs-CZ"/>
        </w:rPr>
        <w:t>Větve průběhu.</w:t>
      </w:r>
      <w:r w:rsidRPr="00F915B5">
        <w:rPr>
          <w:lang w:val="cs-CZ"/>
        </w:rPr>
        <w:t xml:space="preserve"> Některá řízení mají více možných průběhů. Například environmentální uzel U2 se může odehrát ve větvi „bez posouzení“, „zjišťovací řízení“, „plná EIA“ nebo „integrované povolení“ — podle povahy záměru. Každá větev má své kroky (krok 1, krok 2, …) a svůj výstupní dokument.</w:t>
      </w:r>
    </w:p>
    <w:p w14:paraId="06D0FBF8" w14:textId="176DC852" w:rsidR="008E17F6" w:rsidRPr="00F915B5" w:rsidRDefault="00000000">
      <w:pPr>
        <w:pStyle w:val="Seznamsodrkami"/>
        <w:rPr>
          <w:lang w:val="cs-CZ"/>
        </w:rPr>
      </w:pPr>
      <w:r w:rsidRPr="00F915B5">
        <w:rPr>
          <w:b/>
          <w:lang w:val="cs-CZ"/>
        </w:rPr>
        <w:t>Matice variability 4×7.</w:t>
      </w:r>
      <w:r w:rsidRPr="00F915B5">
        <w:rPr>
          <w:lang w:val="cs-CZ"/>
        </w:rPr>
        <w:t xml:space="preserve"> Stejný proces dopadá různě na různé typy instalací. Matice kříží 7 uzlů </w:t>
      </w:r>
      <w:commentRangeStart w:id="2"/>
      <w:r w:rsidR="001476E8">
        <w:rPr>
          <w:lang w:val="cs-CZ"/>
        </w:rPr>
        <w:t xml:space="preserve">prozatím </w:t>
      </w:r>
      <w:r w:rsidRPr="00F915B5">
        <w:rPr>
          <w:lang w:val="cs-CZ"/>
        </w:rPr>
        <w:t xml:space="preserve">se 4 oblastmi (elektrolýza, skladování, čerpací stanice, vozidla) </w:t>
      </w:r>
      <w:commentRangeEnd w:id="2"/>
      <w:r w:rsidR="00D77BF2" w:rsidRPr="00F915B5">
        <w:rPr>
          <w:rStyle w:val="Odkaznakoment"/>
          <w:sz w:val="22"/>
          <w:szCs w:val="22"/>
          <w:lang w:val="cs-CZ"/>
        </w:rPr>
        <w:commentReference w:id="2"/>
      </w:r>
      <w:r w:rsidRPr="00F915B5">
        <w:rPr>
          <w:lang w:val="cs-CZ"/>
        </w:rPr>
        <w:t>a u každé kombinace uvádí intenzitu (klíčový ●●● / významný ●●○ / okrajový ●○○) a slovní specifika. Např. územní posouzení U1 je klíčové pro elektrolyzér, ale okrajové pro samotná vozidla.</w:t>
      </w:r>
    </w:p>
    <w:p w14:paraId="1A5F0634" w14:textId="77777777" w:rsidR="008E17F6" w:rsidRPr="00F915B5" w:rsidRDefault="00000000">
      <w:pPr>
        <w:rPr>
          <w:lang w:val="cs-CZ"/>
        </w:rPr>
      </w:pPr>
      <w:r w:rsidRPr="00F915B5">
        <w:rPr>
          <w:lang w:val="cs-CZ"/>
        </w:rPr>
        <w:t>Novinkou oproti návrhu V02 je u uzlů dvojice datumů platnosti („platí od — platí do“). Kdyby zásadní legislativní reforma změnila samotnou strukturu procesů (jako kdysi nový stavební zákon), starý popis uzlu se neztratí — jen se uzavře jeho platnost a založí se nová verze.</w:t>
      </w:r>
    </w:p>
    <w:p w14:paraId="4A7DB9B4" w14:textId="213A8707" w:rsidR="008E17F6" w:rsidRPr="00F915B5" w:rsidRDefault="00000000">
      <w:pPr>
        <w:pStyle w:val="Nadpis1"/>
        <w:rPr>
          <w:lang w:val="cs-CZ"/>
        </w:rPr>
      </w:pPr>
      <w:r w:rsidRPr="00F915B5">
        <w:rPr>
          <w:lang w:val="cs-CZ"/>
        </w:rPr>
        <w:t xml:space="preserve">Vrstva C — </w:t>
      </w:r>
      <w:r w:rsidR="00CF07BB">
        <w:rPr>
          <w:lang w:val="cs-CZ"/>
        </w:rPr>
        <w:t xml:space="preserve">propojení </w:t>
      </w:r>
      <w:r w:rsidRPr="00F915B5">
        <w:rPr>
          <w:lang w:val="cs-CZ"/>
        </w:rPr>
        <w:t>proces</w:t>
      </w:r>
      <w:r w:rsidR="00CF07BB">
        <w:rPr>
          <w:lang w:val="cs-CZ"/>
        </w:rPr>
        <w:t>ů</w:t>
      </w:r>
      <w:r w:rsidRPr="00F915B5">
        <w:rPr>
          <w:lang w:val="cs-CZ"/>
        </w:rPr>
        <w:t xml:space="preserve"> a dokument</w:t>
      </w:r>
      <w:r w:rsidR="00CF07BB">
        <w:rPr>
          <w:lang w:val="cs-CZ"/>
        </w:rPr>
        <w:t>ů</w:t>
      </w:r>
    </w:p>
    <w:p w14:paraId="544A0CCD" w14:textId="0BBA9B69" w:rsidR="008E17F6" w:rsidRPr="00F915B5" w:rsidRDefault="00000000">
      <w:pPr>
        <w:rPr>
          <w:lang w:val="cs-CZ"/>
        </w:rPr>
      </w:pPr>
      <w:r w:rsidRPr="00F915B5">
        <w:rPr>
          <w:lang w:val="cs-CZ"/>
        </w:rPr>
        <w:t xml:space="preserve">Toto je </w:t>
      </w:r>
      <w:r w:rsidR="003B4249">
        <w:rPr>
          <w:lang w:val="cs-CZ"/>
        </w:rPr>
        <w:t xml:space="preserve">patrně </w:t>
      </w:r>
      <w:r w:rsidRPr="00F915B5">
        <w:rPr>
          <w:lang w:val="cs-CZ"/>
        </w:rPr>
        <w:t>nejdůležitější místo celé konsolidace</w:t>
      </w:r>
      <w:r w:rsidR="00C27CAA">
        <w:rPr>
          <w:lang w:val="cs-CZ"/>
        </w:rPr>
        <w:t xml:space="preserve"> – </w:t>
      </w:r>
      <w:r w:rsidRPr="00F915B5">
        <w:rPr>
          <w:lang w:val="cs-CZ"/>
        </w:rPr>
        <w:t xml:space="preserve">přitom jde o jedinou tabulku. Vazba „uzel ↔ dokument“ </w:t>
      </w:r>
      <w:r w:rsidR="00C27CAA">
        <w:rPr>
          <w:lang w:val="cs-CZ"/>
        </w:rPr>
        <w:t xml:space="preserve">v této tabulce </w:t>
      </w:r>
      <w:r w:rsidRPr="00F915B5">
        <w:rPr>
          <w:lang w:val="cs-CZ"/>
        </w:rPr>
        <w:t>říká: tento konkrétní předpis (řádek z vrstvy A) je relevantní pro tento konkrétní proces (uzel z vrstvy B). Každá vazba nese tři doplňující informace:</w:t>
      </w:r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8E17F6" w:rsidRPr="00F915B5" w14:paraId="27DD991F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37D9E938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Údaj vazby</w:t>
            </w:r>
          </w:p>
        </w:tc>
        <w:tc>
          <w:tcPr>
            <w:tcW w:w="6520" w:type="dxa"/>
            <w:shd w:val="clear" w:color="auto" w:fill="D9E2F3"/>
          </w:tcPr>
          <w:p w14:paraId="3DD4CD87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Význam</w:t>
            </w:r>
          </w:p>
        </w:tc>
      </w:tr>
      <w:tr w:rsidR="008E17F6" w:rsidRPr="00F915B5" w14:paraId="2C568F81" w14:textId="77777777">
        <w:trPr>
          <w:jc w:val="center"/>
        </w:trPr>
        <w:tc>
          <w:tcPr>
            <w:tcW w:w="2268" w:type="dxa"/>
          </w:tcPr>
          <w:p w14:paraId="7B48155F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Typ vazby</w:t>
            </w:r>
          </w:p>
        </w:tc>
        <w:tc>
          <w:tcPr>
            <w:tcW w:w="6520" w:type="dxa"/>
          </w:tcPr>
          <w:p w14:paraId="1768D8EC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„Právní opora“ (předpis proces zakládá nebo reguluje) vs. „pramen“ (studie či analýza, o kterou se popis uzlu opírá).</w:t>
            </w:r>
          </w:p>
        </w:tc>
      </w:tr>
      <w:tr w:rsidR="008E17F6" w:rsidRPr="00F915B5" w14:paraId="039C6AB1" w14:textId="77777777">
        <w:trPr>
          <w:jc w:val="center"/>
        </w:trPr>
        <w:tc>
          <w:tcPr>
            <w:tcW w:w="2268" w:type="dxa"/>
          </w:tcPr>
          <w:p w14:paraId="0FCC236E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lastRenderedPageBreak/>
              <w:t>Primární opora (ano/ne)</w:t>
            </w:r>
          </w:p>
        </w:tc>
        <w:tc>
          <w:tcPr>
            <w:tcW w:w="6520" w:type="dxa"/>
          </w:tcPr>
          <w:p w14:paraId="2577E517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Odlišuje hlavní předpis řízení (např. stavební zákon pro U3) od předpisů doplňkových.</w:t>
            </w:r>
          </w:p>
        </w:tc>
      </w:tr>
      <w:tr w:rsidR="008E17F6" w:rsidRPr="00F915B5" w14:paraId="039F5B7F" w14:textId="77777777">
        <w:trPr>
          <w:jc w:val="center"/>
        </w:trPr>
        <w:tc>
          <w:tcPr>
            <w:tcW w:w="2268" w:type="dxa"/>
          </w:tcPr>
          <w:p w14:paraId="22B5B8C8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Poznámka k relevanci</w:t>
            </w:r>
          </w:p>
        </w:tc>
        <w:tc>
          <w:tcPr>
            <w:tcW w:w="6520" w:type="dxa"/>
          </w:tcPr>
          <w:p w14:paraId="307E9824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Volný text: proč a v čem je dokument pro uzel důležitý.</w:t>
            </w:r>
          </w:p>
        </w:tc>
      </w:tr>
    </w:tbl>
    <w:p w14:paraId="1385D661" w14:textId="77777777" w:rsidR="008E17F6" w:rsidRPr="00F915B5" w:rsidRDefault="008E17F6">
      <w:pPr>
        <w:spacing w:after="40"/>
        <w:rPr>
          <w:lang w:val="cs-CZ"/>
        </w:rPr>
      </w:pPr>
    </w:p>
    <w:p w14:paraId="107E0668" w14:textId="77777777" w:rsidR="008E17F6" w:rsidRPr="00F915B5" w:rsidRDefault="00000000">
      <w:pPr>
        <w:rPr>
          <w:lang w:val="cs-CZ"/>
        </w:rPr>
      </w:pPr>
      <w:r w:rsidRPr="00F915B5">
        <w:rPr>
          <w:lang w:val="cs-CZ"/>
        </w:rPr>
        <w:t>Díky této tabulce lze klást dotazy oběma směry — a to je přesně požadavek metodiky V03:</w:t>
      </w:r>
    </w:p>
    <w:p w14:paraId="4DC87BFA" w14:textId="77777777" w:rsidR="008E17F6" w:rsidRPr="00F915B5" w:rsidRDefault="00000000">
      <w:pPr>
        <w:pStyle w:val="Seznamsodrkami"/>
        <w:rPr>
          <w:lang w:val="cs-CZ"/>
        </w:rPr>
      </w:pPr>
      <w:r w:rsidRPr="00F915B5">
        <w:rPr>
          <w:lang w:val="cs-CZ"/>
        </w:rPr>
        <w:t>Od procesu k předpisům: „Chystám se na stavební povolení (U3) — které předpisy a normy se mne týkají a který je hlavní?“</w:t>
      </w:r>
    </w:p>
    <w:p w14:paraId="1F490881" w14:textId="77777777" w:rsidR="008E17F6" w:rsidRPr="00F915B5" w:rsidRDefault="00000000">
      <w:pPr>
        <w:pStyle w:val="Seznamsodrkami"/>
        <w:rPr>
          <w:lang w:val="cs-CZ"/>
        </w:rPr>
      </w:pPr>
      <w:r w:rsidRPr="00F915B5">
        <w:rPr>
          <w:lang w:val="cs-CZ"/>
        </w:rPr>
        <w:t>Od předpisu k procesům: „Novelizoval se energetický zákon — které procesy a scénáře jsou dotčeny a musíme je zkontrolovat?“</w:t>
      </w:r>
    </w:p>
    <w:p w14:paraId="4FD7F8CE" w14:textId="7070D597" w:rsidR="008E17F6" w:rsidRPr="00F915B5" w:rsidRDefault="00000000">
      <w:pPr>
        <w:rPr>
          <w:lang w:val="cs-CZ"/>
        </w:rPr>
      </w:pPr>
      <w:r w:rsidRPr="00F915B5">
        <w:rPr>
          <w:b/>
          <w:lang w:val="cs-CZ"/>
        </w:rPr>
        <w:t xml:space="preserve">Poznámka pro čtenáře návrhu V02: </w:t>
      </w:r>
      <w:r w:rsidR="00EF7876">
        <w:rPr>
          <w:lang w:val="cs-CZ"/>
        </w:rPr>
        <w:t>P</w:t>
      </w:r>
      <w:r w:rsidRPr="00F915B5">
        <w:rPr>
          <w:lang w:val="cs-CZ"/>
        </w:rPr>
        <w:t>ůvodní návrh</w:t>
      </w:r>
      <w:r w:rsidR="004815C9">
        <w:rPr>
          <w:lang w:val="cs-CZ"/>
        </w:rPr>
        <w:t>, uvedený v dokumentu V02,</w:t>
      </w:r>
      <w:r w:rsidRPr="00F915B5">
        <w:rPr>
          <w:lang w:val="cs-CZ"/>
        </w:rPr>
        <w:t xml:space="preserve"> počítal s</w:t>
      </w:r>
      <w:r w:rsidR="004815C9">
        <w:rPr>
          <w:lang w:val="cs-CZ"/>
        </w:rPr>
        <w:t> </w:t>
      </w:r>
      <w:r w:rsidRPr="00F915B5">
        <w:rPr>
          <w:lang w:val="cs-CZ"/>
        </w:rPr>
        <w:t>vlastními „stínovými“ tabulkami předpisů a pramenů uvnitř procesní části (</w:t>
      </w:r>
      <w:r w:rsidRPr="009D5BBD">
        <w:rPr>
          <w:rFonts w:ascii="Aptos Mono" w:hAnsi="Aptos Mono"/>
          <w:sz w:val="20"/>
          <w:szCs w:val="20"/>
          <w:shd w:val="clear" w:color="auto" w:fill="DBE5F1" w:themeFill="accent1" w:themeFillTint="33"/>
          <w:lang w:val="cs-CZ"/>
        </w:rPr>
        <w:t>legal_document</w:t>
      </w:r>
      <w:r w:rsidRPr="00F915B5">
        <w:rPr>
          <w:lang w:val="cs-CZ"/>
        </w:rPr>
        <w:t xml:space="preserve">, </w:t>
      </w:r>
      <w:r w:rsidRPr="009D5BBD">
        <w:rPr>
          <w:rFonts w:ascii="Aptos Mono" w:hAnsi="Aptos Mono"/>
          <w:sz w:val="20"/>
          <w:szCs w:val="20"/>
          <w:shd w:val="clear" w:color="auto" w:fill="DBE5F1" w:themeFill="accent1" w:themeFillTint="33"/>
          <w:lang w:val="cs-CZ"/>
        </w:rPr>
        <w:t>source_reference</w:t>
      </w:r>
      <w:r w:rsidRPr="00F915B5">
        <w:rPr>
          <w:lang w:val="cs-CZ"/>
        </w:rPr>
        <w:t xml:space="preserve">) — dávalo to smysl, dokud měly být V01 a V02 dvě oddělené databáze. Ve společném schématu by šlo o duplicitní evidenci téhož, proto </w:t>
      </w:r>
      <w:r w:rsidR="00FF2D9C">
        <w:rPr>
          <w:lang w:val="cs-CZ"/>
        </w:rPr>
        <w:t>ji</w:t>
      </w:r>
      <w:r w:rsidRPr="00F915B5">
        <w:rPr>
          <w:lang w:val="cs-CZ"/>
        </w:rPr>
        <w:t xml:space="preserve"> ruší</w:t>
      </w:r>
      <w:r w:rsidR="00FF2D9C">
        <w:rPr>
          <w:lang w:val="cs-CZ"/>
        </w:rPr>
        <w:t>me</w:t>
      </w:r>
      <w:r w:rsidRPr="00F915B5">
        <w:rPr>
          <w:lang w:val="cs-CZ"/>
        </w:rPr>
        <w:t xml:space="preserve"> a vazby vedou přímo na dokumenty vrstvy A.</w:t>
      </w:r>
    </w:p>
    <w:p w14:paraId="2B70DCAA" w14:textId="5B2CDEA2" w:rsidR="008E17F6" w:rsidRPr="00F915B5" w:rsidRDefault="00000000">
      <w:pPr>
        <w:pStyle w:val="Nadpis1"/>
        <w:rPr>
          <w:lang w:val="cs-CZ"/>
        </w:rPr>
      </w:pPr>
      <w:r w:rsidRPr="00F915B5">
        <w:rPr>
          <w:lang w:val="cs-CZ"/>
        </w:rPr>
        <w:t>Vrstva D — scénáře, podmínky aktivace a klasifikace</w:t>
      </w:r>
    </w:p>
    <w:p w14:paraId="23CE39D4" w14:textId="22D3D054" w:rsidR="008E17F6" w:rsidRPr="00F915B5" w:rsidRDefault="00000000">
      <w:pPr>
        <w:rPr>
          <w:lang w:val="cs-CZ"/>
        </w:rPr>
      </w:pPr>
      <w:r w:rsidRPr="00F915B5">
        <w:rPr>
          <w:lang w:val="cs-CZ"/>
        </w:rPr>
        <w:t>Vrstvy A až C popisují, co existuje (předpisy, procesy, jejich vztah). Vrstva D přidává to, co z</w:t>
      </w:r>
      <w:r w:rsidR="00FF2D9C">
        <w:rPr>
          <w:lang w:val="cs-CZ"/>
        </w:rPr>
        <w:t> </w:t>
      </w:r>
      <w:r w:rsidRPr="00F915B5">
        <w:rPr>
          <w:lang w:val="cs-CZ"/>
        </w:rPr>
        <w:t>databáze dělá nástroj</w:t>
      </w:r>
      <w:r w:rsidR="00FF2D9C">
        <w:rPr>
          <w:lang w:val="cs-CZ"/>
        </w:rPr>
        <w:t xml:space="preserve"> potřebný pro navazující znalostní systémy</w:t>
      </w:r>
      <w:r w:rsidRPr="00F915B5">
        <w:rPr>
          <w:lang w:val="cs-CZ"/>
        </w:rPr>
        <w:t xml:space="preserve">: </w:t>
      </w:r>
      <w:r w:rsidR="00FF2D9C">
        <w:rPr>
          <w:lang w:val="cs-CZ"/>
        </w:rPr>
        <w:t>S</w:t>
      </w:r>
      <w:r w:rsidRPr="00F915B5">
        <w:rPr>
          <w:lang w:val="cs-CZ"/>
        </w:rPr>
        <w:t>chopnost odpovědět na otázku konkrétního investora „co všechno se týká právě mého záměru?“. K tomu slouží tři stavební kameny</w:t>
      </w:r>
      <w:r w:rsidR="001C5B4D">
        <w:rPr>
          <w:lang w:val="cs-CZ"/>
        </w:rPr>
        <w:t xml:space="preserve"> – klasifikační hlediska, </w:t>
      </w:r>
      <w:commentRangeStart w:id="3"/>
      <w:r w:rsidR="001C5B4D">
        <w:rPr>
          <w:lang w:val="cs-CZ"/>
        </w:rPr>
        <w:t>typové scénáře</w:t>
      </w:r>
      <w:commentRangeEnd w:id="3"/>
      <w:r w:rsidR="00D77BF2">
        <w:rPr>
          <w:rStyle w:val="Odkaznakoment"/>
          <w:sz w:val="22"/>
          <w:szCs w:val="22"/>
          <w:lang w:val="cs-CZ"/>
        </w:rPr>
        <w:commentReference w:id="3"/>
      </w:r>
      <w:r w:rsidR="00093B4B">
        <w:rPr>
          <w:lang w:val="cs-CZ"/>
        </w:rPr>
        <w:t xml:space="preserve"> a podmínky aktivace.</w:t>
      </w:r>
    </w:p>
    <w:p w14:paraId="398D4C36" w14:textId="543B9D07" w:rsidR="008E17F6" w:rsidRPr="00F915B5" w:rsidRDefault="00000000">
      <w:pPr>
        <w:pStyle w:val="Nadpis2"/>
        <w:rPr>
          <w:lang w:val="cs-CZ"/>
        </w:rPr>
      </w:pPr>
      <w:r w:rsidRPr="00F915B5">
        <w:rPr>
          <w:lang w:val="cs-CZ"/>
        </w:rPr>
        <w:t>Čtyři klasifikační hlediska</w:t>
      </w:r>
    </w:p>
    <w:p w14:paraId="7CB1976B" w14:textId="77777777" w:rsidR="008E17F6" w:rsidRPr="00F915B5" w:rsidRDefault="00000000">
      <w:pPr>
        <w:rPr>
          <w:lang w:val="cs-CZ"/>
        </w:rPr>
      </w:pPr>
      <w:r w:rsidRPr="00F915B5">
        <w:rPr>
          <w:lang w:val="cs-CZ"/>
        </w:rPr>
        <w:t>Metodika V03 třídí vodíkové projekty podle čtyř hledisek. V databázi má každé hledisko svůj číselník (pevný seznam hodnot):</w:t>
      </w:r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3572"/>
        <w:gridCol w:w="3118"/>
      </w:tblGrid>
      <w:tr w:rsidR="008E17F6" w:rsidRPr="00F915B5" w14:paraId="1E292C56" w14:textId="77777777">
        <w:trPr>
          <w:jc w:val="center"/>
        </w:trPr>
        <w:tc>
          <w:tcPr>
            <w:tcW w:w="2098" w:type="dxa"/>
            <w:shd w:val="clear" w:color="auto" w:fill="D9E2F3"/>
          </w:tcPr>
          <w:p w14:paraId="440AE1FA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Hledisko</w:t>
            </w:r>
          </w:p>
        </w:tc>
        <w:tc>
          <w:tcPr>
            <w:tcW w:w="3572" w:type="dxa"/>
            <w:shd w:val="clear" w:color="auto" w:fill="D9E2F3"/>
          </w:tcPr>
          <w:p w14:paraId="708C0245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Hodnoty</w:t>
            </w:r>
          </w:p>
        </w:tc>
        <w:tc>
          <w:tcPr>
            <w:tcW w:w="3118" w:type="dxa"/>
            <w:shd w:val="clear" w:color="auto" w:fill="D9E2F3"/>
          </w:tcPr>
          <w:p w14:paraId="463FF1B9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Nač odpovídá</w:t>
            </w:r>
          </w:p>
        </w:tc>
      </w:tr>
      <w:tr w:rsidR="008E17F6" w:rsidRPr="00F915B5" w14:paraId="32564503" w14:textId="77777777">
        <w:trPr>
          <w:jc w:val="center"/>
        </w:trPr>
        <w:tc>
          <w:tcPr>
            <w:tcW w:w="2098" w:type="dxa"/>
          </w:tcPr>
          <w:p w14:paraId="2C96A8D3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Funkce v hodnotovém řetězci</w:t>
            </w:r>
          </w:p>
        </w:tc>
        <w:tc>
          <w:tcPr>
            <w:tcW w:w="3572" w:type="dxa"/>
          </w:tcPr>
          <w:p w14:paraId="2AD7685E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výroba · distribuce a přeprava · skladování · využití</w:t>
            </w:r>
          </w:p>
        </w:tc>
        <w:tc>
          <w:tcPr>
            <w:tcW w:w="3118" w:type="dxa"/>
          </w:tcPr>
          <w:p w14:paraId="24CB9D17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Ve které fázi „života“ vodíku se projekt pohybuje?</w:t>
            </w:r>
          </w:p>
        </w:tc>
      </w:tr>
      <w:tr w:rsidR="008E17F6" w:rsidRPr="00F915B5" w14:paraId="4CA142D1" w14:textId="77777777">
        <w:trPr>
          <w:jc w:val="center"/>
        </w:trPr>
        <w:tc>
          <w:tcPr>
            <w:tcW w:w="2098" w:type="dxa"/>
          </w:tcPr>
          <w:p w14:paraId="32A24CC5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Typ technologického řešení</w:t>
            </w:r>
          </w:p>
        </w:tc>
        <w:tc>
          <w:tcPr>
            <w:tcW w:w="3572" w:type="dxa"/>
          </w:tcPr>
          <w:p w14:paraId="176802C0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elektrolyzér PEM/alkalický, tlakový zásobník, plnicí technologie, vozidlo FCEV… (otevřený seznam)</w:t>
            </w:r>
          </w:p>
        </w:tc>
        <w:tc>
          <w:tcPr>
            <w:tcW w:w="3118" w:type="dxa"/>
          </w:tcPr>
          <w:p w14:paraId="0C3E49C8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Jaká zařízení projekt obsahuje? (Každé aktivuje jiné požadavky.)</w:t>
            </w:r>
          </w:p>
        </w:tc>
      </w:tr>
      <w:tr w:rsidR="008E17F6" w:rsidRPr="00F915B5" w14:paraId="0C38A48B" w14:textId="77777777">
        <w:trPr>
          <w:jc w:val="center"/>
        </w:trPr>
        <w:tc>
          <w:tcPr>
            <w:tcW w:w="2098" w:type="dxa"/>
          </w:tcPr>
          <w:p w14:paraId="618D1880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Míra integrace</w:t>
            </w:r>
          </w:p>
        </w:tc>
        <w:tc>
          <w:tcPr>
            <w:tcW w:w="3572" w:type="dxa"/>
          </w:tcPr>
          <w:p w14:paraId="7CF1D8C3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samostatná instalace · integrovaný systém · komplexní řešení · ostrovní řešení</w:t>
            </w:r>
          </w:p>
        </w:tc>
        <w:tc>
          <w:tcPr>
            <w:tcW w:w="3118" w:type="dxa"/>
          </w:tcPr>
          <w:p w14:paraId="6515B11D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Jak moc je projekt provázán s okolím? (Integrace = souběh více režimů.)</w:t>
            </w:r>
          </w:p>
        </w:tc>
      </w:tr>
      <w:tr w:rsidR="008E17F6" w:rsidRPr="00F915B5" w14:paraId="495812F7" w14:textId="77777777">
        <w:trPr>
          <w:jc w:val="center"/>
        </w:trPr>
        <w:tc>
          <w:tcPr>
            <w:tcW w:w="2098" w:type="dxa"/>
          </w:tcPr>
          <w:p w14:paraId="740D1766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Aplikační oblast</w:t>
            </w:r>
          </w:p>
        </w:tc>
        <w:tc>
          <w:tcPr>
            <w:tcW w:w="3572" w:type="dxa"/>
          </w:tcPr>
          <w:p w14:paraId="35479905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mobilita · energetika · průmysl · pilotní projekty</w:t>
            </w:r>
          </w:p>
        </w:tc>
        <w:tc>
          <w:tcPr>
            <w:tcW w:w="3118" w:type="dxa"/>
          </w:tcPr>
          <w:p w14:paraId="16C61D20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Do kterého sektoru projekt míří? (Sektor přidává vlastní procesy.)</w:t>
            </w:r>
          </w:p>
        </w:tc>
      </w:tr>
    </w:tbl>
    <w:p w14:paraId="52DC6C5D" w14:textId="77777777" w:rsidR="008E17F6" w:rsidRPr="00F915B5" w:rsidRDefault="008E17F6">
      <w:pPr>
        <w:spacing w:after="40"/>
        <w:rPr>
          <w:lang w:val="cs-CZ"/>
        </w:rPr>
      </w:pPr>
    </w:p>
    <w:p w14:paraId="6D36156E" w14:textId="530581D4" w:rsidR="008E17F6" w:rsidRPr="00F915B5" w:rsidRDefault="00000000">
      <w:pPr>
        <w:pStyle w:val="Nadpis2"/>
        <w:rPr>
          <w:lang w:val="cs-CZ"/>
        </w:rPr>
      </w:pPr>
      <w:r w:rsidRPr="00F915B5">
        <w:rPr>
          <w:lang w:val="cs-CZ"/>
        </w:rPr>
        <w:t>Typové scénáře</w:t>
      </w:r>
    </w:p>
    <w:p w14:paraId="4EE12182" w14:textId="77777777" w:rsidR="008E17F6" w:rsidRPr="00F915B5" w:rsidRDefault="00000000">
      <w:pPr>
        <w:rPr>
          <w:lang w:val="cs-CZ"/>
        </w:rPr>
      </w:pPr>
      <w:r w:rsidRPr="00F915B5">
        <w:rPr>
          <w:lang w:val="cs-CZ"/>
        </w:rPr>
        <w:t xml:space="preserve">Scénář je „vzorový projekt“ — např. malý elektrolyzér pro vlastní spotřebu, veřejná plnicí stanice, vodíková autobusová doprava. Scénáře vzešly z konzultací s praxí (MPO, dopravci, průmysl) a jsou hlavním vstupním bodem pro uživatele: místo studia paragrafů si vybere scénář </w:t>
      </w:r>
      <w:r w:rsidRPr="00F915B5">
        <w:rPr>
          <w:lang w:val="cs-CZ"/>
        </w:rPr>
        <w:lastRenderedPageBreak/>
        <w:t>nejbližší svému záměru. V databázi scénář nese hodnoty čtyř hledisek a seznam uzlů, které se v něm uplatňují, včetně intenzity (stejná stupnice ●●●/●●○/●○○ jako v matici variability).</w:t>
      </w:r>
    </w:p>
    <w:p w14:paraId="2DCF5E81" w14:textId="1EC39F2A" w:rsidR="008E17F6" w:rsidRPr="00F915B5" w:rsidRDefault="00000000">
      <w:pPr>
        <w:pStyle w:val="Nadpis2"/>
        <w:rPr>
          <w:lang w:val="cs-CZ"/>
        </w:rPr>
      </w:pPr>
      <w:r w:rsidRPr="00F915B5">
        <w:rPr>
          <w:lang w:val="cs-CZ"/>
        </w:rPr>
        <w:t>Podmínky aktivace procesů</w:t>
      </w:r>
    </w:p>
    <w:p w14:paraId="07695262" w14:textId="3B9AB23A" w:rsidR="008E17F6" w:rsidRPr="00F915B5" w:rsidRDefault="00000000">
      <w:pPr>
        <w:rPr>
          <w:lang w:val="cs-CZ"/>
        </w:rPr>
      </w:pPr>
      <w:r w:rsidRPr="00F915B5">
        <w:rPr>
          <w:lang w:val="cs-CZ"/>
        </w:rPr>
        <w:t>Zatímco scénář je předpřipravená odpověď, aktivační pravidla umožňují odpověď spočítat z</w:t>
      </w:r>
      <w:r w:rsidR="00FE1D10">
        <w:rPr>
          <w:lang w:val="cs-CZ"/>
        </w:rPr>
        <w:t> </w:t>
      </w:r>
      <w:r w:rsidRPr="00F915B5">
        <w:rPr>
          <w:lang w:val="cs-CZ"/>
        </w:rPr>
        <w:t xml:space="preserve">parametrů konkrétního záměru. Pravidlo má tvar „parametr — porovnání — hodnota“, například: kapacita elektrolyzéru ≥ 0,5 MW → uplatní se licenční větev uzlu U4. Pravidla se dají skládat (současně platí A a B, nebo alternativně C) a každé může odkazovat na předpis, který daný práh stanovuje. Text V02 podmínky popisuje jen slovně; jejich převod do strukturované podoby je jedna z hlavních analytických prací, která nás čeká — a kde </w:t>
      </w:r>
      <w:r w:rsidR="00A06BBD">
        <w:rPr>
          <w:lang w:val="cs-CZ"/>
        </w:rPr>
        <w:t xml:space="preserve">bude potřeba </w:t>
      </w:r>
      <w:r w:rsidRPr="00F915B5">
        <w:rPr>
          <w:lang w:val="cs-CZ"/>
        </w:rPr>
        <w:t>spoluprác</w:t>
      </w:r>
      <w:r w:rsidR="00A06BBD">
        <w:rPr>
          <w:lang w:val="cs-CZ"/>
        </w:rPr>
        <w:t>e expertů</w:t>
      </w:r>
      <w:r w:rsidRPr="00F915B5">
        <w:rPr>
          <w:lang w:val="cs-CZ"/>
        </w:rPr>
        <w:t>.</w:t>
      </w:r>
    </w:p>
    <w:p w14:paraId="6E8A3312" w14:textId="48A2B933" w:rsidR="008E17F6" w:rsidRPr="00F915B5" w:rsidRDefault="00000000">
      <w:pPr>
        <w:rPr>
          <w:lang w:val="cs-CZ"/>
        </w:rPr>
      </w:pPr>
      <w:r w:rsidRPr="00F915B5">
        <w:rPr>
          <w:b/>
          <w:lang w:val="cs-CZ"/>
        </w:rPr>
        <w:t>Důleži</w:t>
      </w:r>
      <w:r w:rsidR="003D6E83">
        <w:rPr>
          <w:b/>
          <w:lang w:val="cs-CZ"/>
        </w:rPr>
        <w:t xml:space="preserve">té </w:t>
      </w:r>
      <w:r w:rsidR="009F5C9F">
        <w:rPr>
          <w:b/>
          <w:lang w:val="cs-CZ"/>
        </w:rPr>
        <w:t>upozornění</w:t>
      </w:r>
      <w:r w:rsidRPr="00F915B5">
        <w:rPr>
          <w:b/>
          <w:lang w:val="cs-CZ"/>
        </w:rPr>
        <w:t xml:space="preserve">: </w:t>
      </w:r>
      <w:r w:rsidR="009F5C9F">
        <w:rPr>
          <w:lang w:val="cs-CZ"/>
        </w:rPr>
        <w:t>A</w:t>
      </w:r>
      <w:r w:rsidRPr="00F915B5">
        <w:rPr>
          <w:lang w:val="cs-CZ"/>
        </w:rPr>
        <w:t xml:space="preserve">ktivační pravidla nejsou právní výrok. Řada prahů nevyplývá jednoznačně ze zákona, ale z výkladové praxe úřadů. Pravidla proto vždy nesou i slovní popis s </w:t>
      </w:r>
      <w:r w:rsidR="004E318E">
        <w:rPr>
          <w:lang w:val="cs-CZ"/>
        </w:rPr>
        <w:t>vysvětlivkami</w:t>
      </w:r>
      <w:r w:rsidRPr="00F915B5">
        <w:rPr>
          <w:lang w:val="cs-CZ"/>
        </w:rPr>
        <w:t xml:space="preserve"> a slouží k orientaci, ne jako závazné rozhodnutí.</w:t>
      </w:r>
    </w:p>
    <w:p w14:paraId="46D61F97" w14:textId="03C489F0" w:rsidR="008E17F6" w:rsidRPr="00F915B5" w:rsidRDefault="00000000">
      <w:pPr>
        <w:pStyle w:val="Nadpis1"/>
        <w:rPr>
          <w:lang w:val="cs-CZ"/>
        </w:rPr>
      </w:pPr>
      <w:r w:rsidRPr="00F915B5">
        <w:rPr>
          <w:lang w:val="cs-CZ"/>
        </w:rPr>
        <w:t>Jak to celé funguje: compliance pathway</w:t>
      </w:r>
    </w:p>
    <w:p w14:paraId="1F86CCFB" w14:textId="77777777" w:rsidR="008E17F6" w:rsidRPr="00F915B5" w:rsidRDefault="00000000">
      <w:pPr>
        <w:rPr>
          <w:lang w:val="cs-CZ"/>
        </w:rPr>
      </w:pPr>
      <w:r w:rsidRPr="00F915B5">
        <w:rPr>
          <w:lang w:val="cs-CZ"/>
        </w:rPr>
        <w:t>„Compliance pathway“ je pojem z metodiky V03: ucelená cesta ke splnění regulatorních požadavků, vygenerovaná na míru konkrétnímu záměru. Všechny čtyři vrstvy se v ní potkávají:</w:t>
      </w:r>
    </w:p>
    <w:p w14:paraId="11728CF5" w14:textId="77777777" w:rsidR="008E17F6" w:rsidRPr="00F915B5" w:rsidRDefault="00000000">
      <w:pPr>
        <w:spacing w:after="40"/>
        <w:jc w:val="center"/>
        <w:rPr>
          <w:lang w:val="cs-CZ"/>
        </w:rPr>
      </w:pPr>
      <w:r w:rsidRPr="00F915B5">
        <w:rPr>
          <w:noProof/>
          <w:lang w:val="cs-CZ"/>
        </w:rPr>
        <w:drawing>
          <wp:inline distT="0" distB="0" distL="0" distR="0" wp14:anchorId="1E05BA28" wp14:editId="5CC340A2">
            <wp:extent cx="4680000" cy="46418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-pathwa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4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4953" w14:textId="77777777" w:rsidR="008E17F6" w:rsidRPr="00F915B5" w:rsidRDefault="00000000">
      <w:pPr>
        <w:spacing w:after="240"/>
        <w:jc w:val="center"/>
        <w:rPr>
          <w:lang w:val="cs-CZ"/>
        </w:rPr>
      </w:pPr>
      <w:r w:rsidRPr="00F915B5">
        <w:rPr>
          <w:i/>
          <w:sz w:val="19"/>
          <w:lang w:val="cs-CZ"/>
        </w:rPr>
        <w:lastRenderedPageBreak/>
        <w:t>Obr. 6 — Od záměru investora k sadě relevantních předpisů ve čtyřech krocích.</w:t>
      </w:r>
    </w:p>
    <w:p w14:paraId="0A87E972" w14:textId="591EE904" w:rsidR="008E17F6" w:rsidRPr="00F915B5" w:rsidRDefault="00000000">
      <w:pPr>
        <w:rPr>
          <w:lang w:val="cs-CZ"/>
        </w:rPr>
      </w:pPr>
      <w:r w:rsidRPr="00F915B5">
        <w:rPr>
          <w:lang w:val="cs-CZ"/>
        </w:rPr>
        <w:t>Projděme příklad z</w:t>
      </w:r>
      <w:r w:rsidR="006E71CC">
        <w:rPr>
          <w:lang w:val="cs-CZ"/>
        </w:rPr>
        <w:t> </w:t>
      </w:r>
      <w:r w:rsidRPr="00F915B5">
        <w:rPr>
          <w:lang w:val="cs-CZ"/>
        </w:rPr>
        <w:t>obrázku</w:t>
      </w:r>
      <w:r w:rsidR="006E71CC">
        <w:rPr>
          <w:lang w:val="cs-CZ"/>
        </w:rPr>
        <w:t xml:space="preserve"> 6</w:t>
      </w:r>
      <w:r w:rsidRPr="00F915B5">
        <w:rPr>
          <w:lang w:val="cs-CZ"/>
        </w:rPr>
        <w:t>. Investor plánuje elektrolyzér o výkonu 1,2 MW v průmyslové zóně s prodejem vodíku pro městské autobusy. V databázi tomu odpovídá scénář „výrobna s</w:t>
      </w:r>
      <w:r w:rsidR="00795D2C">
        <w:rPr>
          <w:lang w:val="cs-CZ"/>
        </w:rPr>
        <w:t> </w:t>
      </w:r>
      <w:r w:rsidRPr="00F915B5">
        <w:rPr>
          <w:lang w:val="cs-CZ"/>
        </w:rPr>
        <w:t xml:space="preserve">prodejem </w:t>
      </w:r>
      <w:r w:rsidR="00795D2C">
        <w:rPr>
          <w:lang w:val="cs-CZ"/>
        </w:rPr>
        <w:t xml:space="preserve">vodíku </w:t>
      </w:r>
      <w:r w:rsidRPr="00F915B5">
        <w:rPr>
          <w:lang w:val="cs-CZ"/>
        </w:rPr>
        <w:t>pro mobilitu“; parametry záměru (kapacita 1,2 MW, prodej třetím stranám, umístění v průmyslové zóně) vyhodnotí aktivační pravidla: uplatní se všech sedm uzlů — U7 proto, že prodej paliva pro dopravu vyžaduje certifikaci původu vodíku. V uzlu U2 pravidla vyberou větev „zjišťovací řízení“ (kapacita nepřekračuje práh plné EIA). Nakonec se přes vazby vrstvy C ke každému aktivovanému uzlu dohledají předpisy: stavební zákon, zákon o</w:t>
      </w:r>
      <w:r w:rsidR="00795D2C">
        <w:rPr>
          <w:lang w:val="cs-CZ"/>
        </w:rPr>
        <w:t> </w:t>
      </w:r>
      <w:r w:rsidRPr="00F915B5">
        <w:rPr>
          <w:lang w:val="cs-CZ"/>
        </w:rPr>
        <w:t>EIA, energetický zákon, bezpečnostní předpisy, norma EN 17124, delegované akty EU k</w:t>
      </w:r>
      <w:r w:rsidR="00795D2C">
        <w:rPr>
          <w:lang w:val="cs-CZ"/>
        </w:rPr>
        <w:t> </w:t>
      </w:r>
      <w:r w:rsidRPr="00F915B5">
        <w:rPr>
          <w:lang w:val="cs-CZ"/>
        </w:rPr>
        <w:t>RFNBO — každý s poznámkou, proč je relevantní a zda jde o primární oporu.</w:t>
      </w:r>
    </w:p>
    <w:p w14:paraId="1B136A4C" w14:textId="77777777" w:rsidR="008E17F6" w:rsidRPr="00F915B5" w:rsidRDefault="00000000">
      <w:pPr>
        <w:rPr>
          <w:lang w:val="cs-CZ"/>
        </w:rPr>
      </w:pPr>
      <w:r w:rsidRPr="00F915B5">
        <w:rPr>
          <w:lang w:val="cs-CZ"/>
        </w:rPr>
        <w:t>Výsledek není právní stanovisko, ale strukturovaná mapa: investor (nebo poradce) ví, která řízení ho čekají, v jakém pořadí, u kterých úřadů a o které předpisy se opírají. Přesně to je transakční náklad, který má projekt DP004 snižovat.</w:t>
      </w:r>
    </w:p>
    <w:p w14:paraId="52E19BB5" w14:textId="4EA59F6A" w:rsidR="008E17F6" w:rsidRPr="00F915B5" w:rsidRDefault="00000000">
      <w:pPr>
        <w:pStyle w:val="Nadpis1"/>
        <w:rPr>
          <w:lang w:val="cs-CZ"/>
        </w:rPr>
      </w:pPr>
      <w:r w:rsidRPr="00F915B5">
        <w:rPr>
          <w:lang w:val="cs-CZ"/>
        </w:rPr>
        <w:t>Zásady návrhu a stav prací</w:t>
      </w:r>
    </w:p>
    <w:p w14:paraId="341F4E24" w14:textId="4478F5CC" w:rsidR="008E17F6" w:rsidRPr="00F915B5" w:rsidRDefault="00000000">
      <w:pPr>
        <w:pStyle w:val="Nadpis2"/>
        <w:rPr>
          <w:lang w:val="cs-CZ"/>
        </w:rPr>
      </w:pPr>
      <w:r w:rsidRPr="00F915B5">
        <w:rPr>
          <w:lang w:val="cs-CZ"/>
        </w:rPr>
        <w:t>Pět zásad, které drží návrh pohromadě</w:t>
      </w:r>
    </w:p>
    <w:p w14:paraId="51D0A15B" w14:textId="77777777" w:rsidR="00795D2C" w:rsidRDefault="00000000" w:rsidP="0089044D">
      <w:pPr>
        <w:pStyle w:val="Seznamsodrkami"/>
        <w:numPr>
          <w:ilvl w:val="0"/>
          <w:numId w:val="11"/>
        </w:numPr>
        <w:spacing w:after="80"/>
        <w:ind w:left="714" w:hanging="357"/>
        <w:contextualSpacing w:val="0"/>
        <w:rPr>
          <w:lang w:val="cs-CZ"/>
        </w:rPr>
      </w:pPr>
      <w:r w:rsidRPr="00F915B5">
        <w:rPr>
          <w:b/>
          <w:lang w:val="cs-CZ"/>
        </w:rPr>
        <w:t>Jen aditivní změny.</w:t>
      </w:r>
      <w:r w:rsidRPr="00F915B5">
        <w:rPr>
          <w:lang w:val="cs-CZ"/>
        </w:rPr>
        <w:t xml:space="preserve"> Produkční aplikace V01 musí běžet beze změny; nic se nemaže ani nepřejmenovává.</w:t>
      </w:r>
    </w:p>
    <w:p w14:paraId="6059BF4D" w14:textId="77777777" w:rsidR="00795D2C" w:rsidRDefault="00000000" w:rsidP="0089044D">
      <w:pPr>
        <w:pStyle w:val="Seznamsodrkami"/>
        <w:numPr>
          <w:ilvl w:val="0"/>
          <w:numId w:val="11"/>
        </w:numPr>
        <w:spacing w:after="80"/>
        <w:ind w:left="714" w:hanging="357"/>
        <w:contextualSpacing w:val="0"/>
        <w:rPr>
          <w:lang w:val="cs-CZ"/>
        </w:rPr>
      </w:pPr>
      <w:r w:rsidRPr="00795D2C">
        <w:rPr>
          <w:b/>
          <w:lang w:val="cs-CZ"/>
        </w:rPr>
        <w:t>Jeden zdroj pravdy.</w:t>
      </w:r>
      <w:r w:rsidRPr="00795D2C">
        <w:rPr>
          <w:lang w:val="cs-CZ"/>
        </w:rPr>
        <w:t xml:space="preserve"> Každý předpis je v databázi právě jednou (vrstva A); procesy na něj odkazují, nekopírují ho.</w:t>
      </w:r>
    </w:p>
    <w:p w14:paraId="2159B3A6" w14:textId="77777777" w:rsidR="00795D2C" w:rsidRDefault="00000000" w:rsidP="0089044D">
      <w:pPr>
        <w:pStyle w:val="Seznamsodrkami"/>
        <w:numPr>
          <w:ilvl w:val="0"/>
          <w:numId w:val="11"/>
        </w:numPr>
        <w:spacing w:after="80"/>
        <w:ind w:left="714" w:hanging="357"/>
        <w:contextualSpacing w:val="0"/>
        <w:rPr>
          <w:lang w:val="cs-CZ"/>
        </w:rPr>
      </w:pPr>
      <w:r w:rsidRPr="00795D2C">
        <w:rPr>
          <w:b/>
          <w:lang w:val="cs-CZ"/>
        </w:rPr>
        <w:t>Stabilní logika, dynamický obsah.</w:t>
      </w:r>
      <w:r w:rsidRPr="00795D2C">
        <w:rPr>
          <w:lang w:val="cs-CZ"/>
        </w:rPr>
        <w:t xml:space="preserve"> Struktura procesů (vrstva B) se mění zřídka; obsah předpisů (vrstva A) průběžně. Vrstvy jsou oddělené, takže novela zákona nevyžaduje přepis procesů — jen aktualizaci vazeb.</w:t>
      </w:r>
    </w:p>
    <w:p w14:paraId="4C08B2DF" w14:textId="12AF3086" w:rsidR="0089044D" w:rsidRDefault="00000000" w:rsidP="0089044D">
      <w:pPr>
        <w:pStyle w:val="Seznamsodrkami"/>
        <w:numPr>
          <w:ilvl w:val="0"/>
          <w:numId w:val="11"/>
        </w:numPr>
        <w:spacing w:after="80"/>
        <w:ind w:left="714" w:hanging="357"/>
        <w:contextualSpacing w:val="0"/>
        <w:rPr>
          <w:lang w:val="cs-CZ"/>
        </w:rPr>
      </w:pPr>
      <w:r w:rsidRPr="00795D2C">
        <w:rPr>
          <w:b/>
          <w:lang w:val="cs-CZ"/>
        </w:rPr>
        <w:t>Strojově dotazovatelné vazby.</w:t>
      </w:r>
      <w:r w:rsidRPr="00795D2C">
        <w:rPr>
          <w:lang w:val="cs-CZ"/>
        </w:rPr>
        <w:t xml:space="preserve"> Vazby proces</w:t>
      </w:r>
      <w:r w:rsidR="001B3E01">
        <w:rPr>
          <w:lang w:val="cs-CZ"/>
        </w:rPr>
        <w:t xml:space="preserve"> </w:t>
      </w:r>
      <w:r w:rsidRPr="00795D2C">
        <w:rPr>
          <w:lang w:val="cs-CZ"/>
        </w:rPr>
        <w:t>↔</w:t>
      </w:r>
      <w:r w:rsidR="001B3E01">
        <w:rPr>
          <w:lang w:val="cs-CZ"/>
        </w:rPr>
        <w:t xml:space="preserve"> </w:t>
      </w:r>
      <w:r w:rsidRPr="00795D2C">
        <w:rPr>
          <w:lang w:val="cs-CZ"/>
        </w:rPr>
        <w:t>předpis jsou explicitní databázové vztahy, ne shoda klíčových slov. Klíčová slova zůstávají pro tematické hledání.</w:t>
      </w:r>
    </w:p>
    <w:p w14:paraId="748120CC" w14:textId="3AEA5D43" w:rsidR="008E17F6" w:rsidRPr="00795D2C" w:rsidRDefault="00000000" w:rsidP="00795D2C">
      <w:pPr>
        <w:pStyle w:val="Seznamsodrkami"/>
        <w:numPr>
          <w:ilvl w:val="0"/>
          <w:numId w:val="11"/>
        </w:numPr>
        <w:rPr>
          <w:lang w:val="cs-CZ"/>
        </w:rPr>
      </w:pPr>
      <w:r w:rsidRPr="00795D2C">
        <w:rPr>
          <w:b/>
          <w:lang w:val="cs-CZ"/>
        </w:rPr>
        <w:t>Dohledatelnost úsudku.</w:t>
      </w:r>
      <w:r w:rsidRPr="00795D2C">
        <w:rPr>
          <w:lang w:val="cs-CZ"/>
        </w:rPr>
        <w:t xml:space="preserve"> Vše, co je názor analytika (intenzity, aktivační prahy, poznámky k relevanci), nese slovní zdůvodnění, aby to šlo revidovat.</w:t>
      </w:r>
    </w:p>
    <w:p w14:paraId="18D42A86" w14:textId="47AF4A24" w:rsidR="008E17F6" w:rsidRPr="00F915B5" w:rsidRDefault="00000000">
      <w:pPr>
        <w:pStyle w:val="Nadpis2"/>
        <w:rPr>
          <w:lang w:val="cs-CZ"/>
        </w:rPr>
      </w:pPr>
      <w:r w:rsidRPr="00F915B5">
        <w:rPr>
          <w:lang w:val="cs-CZ"/>
        </w:rPr>
        <w:t>Co je hotovo a co nás čeká</w:t>
      </w:r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4"/>
        <w:gridCol w:w="4394"/>
      </w:tblGrid>
      <w:tr w:rsidR="008E17F6" w:rsidRPr="00F915B5" w14:paraId="68D68BF7" w14:textId="77777777">
        <w:trPr>
          <w:jc w:val="center"/>
        </w:trPr>
        <w:tc>
          <w:tcPr>
            <w:tcW w:w="4394" w:type="dxa"/>
            <w:shd w:val="clear" w:color="auto" w:fill="D9E2F3"/>
          </w:tcPr>
          <w:p w14:paraId="1E700643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Hotovo (návrh)</w:t>
            </w:r>
          </w:p>
        </w:tc>
        <w:tc>
          <w:tcPr>
            <w:tcW w:w="4394" w:type="dxa"/>
            <w:shd w:val="clear" w:color="auto" w:fill="D9E2F3"/>
          </w:tcPr>
          <w:p w14:paraId="4AACF8ED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Čeká nás (společná práce)</w:t>
            </w:r>
          </w:p>
        </w:tc>
      </w:tr>
      <w:tr w:rsidR="008E17F6" w:rsidRPr="00F915B5" w14:paraId="2CF524E7" w14:textId="77777777">
        <w:trPr>
          <w:jc w:val="center"/>
        </w:trPr>
        <w:tc>
          <w:tcPr>
            <w:tcW w:w="4394" w:type="dxa"/>
          </w:tcPr>
          <w:p w14:paraId="09C463D7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Kompletní návrh schématu všech čtyř vrstev (dokumentace, UML diagram, DDL skript pro MariaDB).</w:t>
            </w:r>
          </w:p>
        </w:tc>
        <w:tc>
          <w:tcPr>
            <w:tcW w:w="4394" w:type="dxa"/>
          </w:tcPr>
          <w:p w14:paraId="4E36F22A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Extrakce obsahu z textu V02: větve, kroky, vstupy/výstupy, subjekty, problémy pro všech 7 uzlů.</w:t>
            </w:r>
          </w:p>
        </w:tc>
      </w:tr>
      <w:tr w:rsidR="008E17F6" w:rsidRPr="00F915B5" w14:paraId="081C3A19" w14:textId="77777777">
        <w:trPr>
          <w:jc w:val="center"/>
        </w:trPr>
        <w:tc>
          <w:tcPr>
            <w:tcW w:w="4394" w:type="dxa"/>
          </w:tcPr>
          <w:p w14:paraId="53957E1F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Referenční data: číselníky, uzly U1–U7, procesní síť, matice variability (intenzity).</w:t>
            </w:r>
          </w:p>
        </w:tc>
        <w:tc>
          <w:tcPr>
            <w:tcW w:w="4394" w:type="dxa"/>
          </w:tcPr>
          <w:p w14:paraId="29143AB0" w14:textId="79680158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Vazby uzel</w:t>
            </w:r>
            <w:r w:rsidR="005A6DDB">
              <w:rPr>
                <w:sz w:val="20"/>
                <w:lang w:val="cs-CZ"/>
              </w:rPr>
              <w:t> </w:t>
            </w:r>
            <w:r w:rsidRPr="00F915B5">
              <w:rPr>
                <w:sz w:val="20"/>
                <w:lang w:val="cs-CZ"/>
              </w:rPr>
              <w:t>↔</w:t>
            </w:r>
            <w:r w:rsidR="005A6DDB">
              <w:rPr>
                <w:sz w:val="20"/>
                <w:lang w:val="cs-CZ"/>
              </w:rPr>
              <w:t> </w:t>
            </w:r>
            <w:r w:rsidRPr="00F915B5">
              <w:rPr>
                <w:sz w:val="20"/>
                <w:lang w:val="cs-CZ"/>
              </w:rPr>
              <w:t>dokument: dohledání všech citovaných předpisů v databázi a založení vazeb.</w:t>
            </w:r>
          </w:p>
        </w:tc>
      </w:tr>
      <w:tr w:rsidR="008E17F6" w:rsidRPr="00F915B5" w14:paraId="58993EA2" w14:textId="77777777">
        <w:trPr>
          <w:jc w:val="center"/>
        </w:trPr>
        <w:tc>
          <w:tcPr>
            <w:tcW w:w="4394" w:type="dxa"/>
          </w:tcPr>
          <w:p w14:paraId="3DED817C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Migrační plán v pěti krocích, čistě aditivní.</w:t>
            </w:r>
          </w:p>
        </w:tc>
        <w:tc>
          <w:tcPr>
            <w:tcW w:w="4394" w:type="dxa"/>
          </w:tcPr>
          <w:p w14:paraId="5B8D58EC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Formalizace aktivačních pravidel a definice typových scénářů; poté úprava webové aplikace.</w:t>
            </w:r>
          </w:p>
        </w:tc>
      </w:tr>
    </w:tbl>
    <w:p w14:paraId="0A04B215" w14:textId="77777777" w:rsidR="008E17F6" w:rsidRPr="00F915B5" w:rsidRDefault="008E17F6">
      <w:pPr>
        <w:spacing w:after="40"/>
        <w:rPr>
          <w:lang w:val="cs-CZ"/>
        </w:rPr>
      </w:pPr>
    </w:p>
    <w:p w14:paraId="71309250" w14:textId="0BCD13C5" w:rsidR="008E17F6" w:rsidRPr="00F915B5" w:rsidRDefault="00000000">
      <w:pPr>
        <w:pStyle w:val="Nadpis1"/>
        <w:rPr>
          <w:lang w:val="cs-CZ"/>
        </w:rPr>
      </w:pPr>
      <w:r w:rsidRPr="00F915B5">
        <w:rPr>
          <w:lang w:val="cs-CZ"/>
        </w:rPr>
        <w:lastRenderedPageBreak/>
        <w:t>Kde co najdete</w:t>
      </w:r>
    </w:p>
    <w:p w14:paraId="6F69FA3A" w14:textId="77777777" w:rsidR="008E17F6" w:rsidRPr="00F915B5" w:rsidRDefault="00000000">
      <w:pPr>
        <w:rPr>
          <w:lang w:val="cs-CZ"/>
        </w:rPr>
      </w:pPr>
      <w:r w:rsidRPr="00F915B5">
        <w:rPr>
          <w:lang w:val="cs-CZ"/>
        </w:rPr>
        <w:t>Všechny podklady jsou ve složce projektu „Architektura databáze“:</w:t>
      </w:r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4706"/>
      </w:tblGrid>
      <w:tr w:rsidR="008E17F6" w:rsidRPr="00F915B5" w14:paraId="36634669" w14:textId="77777777">
        <w:trPr>
          <w:jc w:val="center"/>
        </w:trPr>
        <w:tc>
          <w:tcPr>
            <w:tcW w:w="4082" w:type="dxa"/>
            <w:shd w:val="clear" w:color="auto" w:fill="D9E2F3"/>
          </w:tcPr>
          <w:p w14:paraId="4FB163F4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Soubor / složka</w:t>
            </w:r>
          </w:p>
        </w:tc>
        <w:tc>
          <w:tcPr>
            <w:tcW w:w="4706" w:type="dxa"/>
            <w:shd w:val="clear" w:color="auto" w:fill="D9E2F3"/>
          </w:tcPr>
          <w:p w14:paraId="63545C3C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Obsah</w:t>
            </w:r>
          </w:p>
        </w:tc>
      </w:tr>
      <w:tr w:rsidR="008E17F6" w:rsidRPr="00F915B5" w14:paraId="50557D49" w14:textId="77777777">
        <w:trPr>
          <w:jc w:val="center"/>
        </w:trPr>
        <w:tc>
          <w:tcPr>
            <w:tcW w:w="4082" w:type="dxa"/>
          </w:tcPr>
          <w:p w14:paraId="1990F11B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Databáze.Konsolidovaná/Konsolidace-DB-popis.md</w:t>
            </w:r>
          </w:p>
        </w:tc>
        <w:tc>
          <w:tcPr>
            <w:tcW w:w="4706" w:type="dxa"/>
          </w:tcPr>
          <w:p w14:paraId="687E4CCF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Technická dokumentace návrhu: návrhová rozhodnutí, popis tabulek, ukázkové dotazy, migrační plán.</w:t>
            </w:r>
          </w:p>
        </w:tc>
      </w:tr>
      <w:tr w:rsidR="008E17F6" w:rsidRPr="00F915B5" w14:paraId="7427D8F3" w14:textId="77777777">
        <w:trPr>
          <w:jc w:val="center"/>
        </w:trPr>
        <w:tc>
          <w:tcPr>
            <w:tcW w:w="4082" w:type="dxa"/>
          </w:tcPr>
          <w:p w14:paraId="7AB43C6C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Databáze.Konsolidovaná/Konsolidace-DB-schema.puml</w:t>
            </w:r>
          </w:p>
        </w:tc>
        <w:tc>
          <w:tcPr>
            <w:tcW w:w="4706" w:type="dxa"/>
          </w:tcPr>
          <w:p w14:paraId="6F7EF271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Úplné UML (ER) schéma — render na plantuml.com.</w:t>
            </w:r>
          </w:p>
        </w:tc>
      </w:tr>
      <w:tr w:rsidR="008E17F6" w:rsidRPr="00F915B5" w14:paraId="3A5A4AD2" w14:textId="77777777">
        <w:trPr>
          <w:jc w:val="center"/>
        </w:trPr>
        <w:tc>
          <w:tcPr>
            <w:tcW w:w="4082" w:type="dxa"/>
          </w:tcPr>
          <w:p w14:paraId="37BAE4E1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Databáze.Konsolidovaná/Konsolidace-DB-schema.sql</w:t>
            </w:r>
          </w:p>
        </w:tc>
        <w:tc>
          <w:tcPr>
            <w:tcW w:w="4706" w:type="dxa"/>
          </w:tcPr>
          <w:p w14:paraId="17EB564B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DDL skript pro MariaDB včetně referenčních dat.</w:t>
            </w:r>
          </w:p>
        </w:tc>
      </w:tr>
      <w:tr w:rsidR="008E17F6" w:rsidRPr="00F915B5" w14:paraId="71B52940" w14:textId="77777777">
        <w:trPr>
          <w:jc w:val="center"/>
        </w:trPr>
        <w:tc>
          <w:tcPr>
            <w:tcW w:w="4082" w:type="dxa"/>
          </w:tcPr>
          <w:p w14:paraId="34F53062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Databáze.Konsolidovaná/obrazky/</w:t>
            </w:r>
          </w:p>
        </w:tc>
        <w:tc>
          <w:tcPr>
            <w:tcW w:w="4706" w:type="dxa"/>
          </w:tcPr>
          <w:p w14:paraId="3D4DEE20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Zdrojové diagramy tohoto průvodce (Graphviz).</w:t>
            </w:r>
          </w:p>
        </w:tc>
      </w:tr>
      <w:tr w:rsidR="008E17F6" w:rsidRPr="00F915B5" w14:paraId="222021FA" w14:textId="77777777">
        <w:trPr>
          <w:jc w:val="center"/>
        </w:trPr>
        <w:tc>
          <w:tcPr>
            <w:tcW w:w="4082" w:type="dxa"/>
          </w:tcPr>
          <w:p w14:paraId="4DFC5E1B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Databáze.V01/</w:t>
            </w:r>
          </w:p>
        </w:tc>
        <w:tc>
          <w:tcPr>
            <w:tcW w:w="4706" w:type="dxa"/>
          </w:tcPr>
          <w:p w14:paraId="65B31456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Stávající databáze dokumentů (schéma, diagram, SQLite ukázka).</w:t>
            </w:r>
          </w:p>
        </w:tc>
      </w:tr>
      <w:tr w:rsidR="008E17F6" w:rsidRPr="00F915B5" w14:paraId="09D23207" w14:textId="77777777">
        <w:trPr>
          <w:jc w:val="center"/>
        </w:trPr>
        <w:tc>
          <w:tcPr>
            <w:tcW w:w="4082" w:type="dxa"/>
          </w:tcPr>
          <w:p w14:paraId="45C43B87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Databáze.V02/V02-DB-popis.md</w:t>
            </w:r>
          </w:p>
        </w:tc>
        <w:tc>
          <w:tcPr>
            <w:tcW w:w="4706" w:type="dxa"/>
          </w:tcPr>
          <w:p w14:paraId="142C7D5E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Podrobný popis procesní vrstvy z návrhu V02.</w:t>
            </w:r>
          </w:p>
        </w:tc>
      </w:tr>
      <w:tr w:rsidR="008E17F6" w:rsidRPr="00F915B5" w14:paraId="5E52B71A" w14:textId="77777777">
        <w:trPr>
          <w:jc w:val="center"/>
        </w:trPr>
        <w:tc>
          <w:tcPr>
            <w:tcW w:w="4082" w:type="dxa"/>
          </w:tcPr>
          <w:p w14:paraId="5FD5F6D4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Dokumenty/</w:t>
            </w:r>
          </w:p>
        </w:tc>
        <w:tc>
          <w:tcPr>
            <w:tcW w:w="4706" w:type="dxa"/>
          </w:tcPr>
          <w:p w14:paraId="2E6B1D60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Oficiální texty výsledků V01, V02 a V03 (Word).</w:t>
            </w:r>
          </w:p>
        </w:tc>
      </w:tr>
    </w:tbl>
    <w:p w14:paraId="2647485F" w14:textId="77777777" w:rsidR="008E17F6" w:rsidRPr="00F915B5" w:rsidRDefault="008E17F6">
      <w:pPr>
        <w:spacing w:after="40"/>
        <w:rPr>
          <w:lang w:val="cs-CZ"/>
        </w:rPr>
      </w:pPr>
    </w:p>
    <w:p w14:paraId="17B03BE2" w14:textId="482D659C" w:rsidR="008E17F6" w:rsidRPr="00F915B5" w:rsidRDefault="00000000">
      <w:pPr>
        <w:pStyle w:val="Nadpis1"/>
        <w:rPr>
          <w:lang w:val="cs-CZ"/>
        </w:rPr>
      </w:pPr>
      <w:r w:rsidRPr="00F915B5">
        <w:rPr>
          <w:lang w:val="cs-CZ"/>
        </w:rPr>
        <w:t>Slovníček pojmů</w:t>
      </w:r>
    </w:p>
    <w:tbl>
      <w:tblPr>
        <w:tblStyle w:val="Mkatabulky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350"/>
      </w:tblGrid>
      <w:tr w:rsidR="008E17F6" w:rsidRPr="00F915B5" w14:paraId="2CAC6CAB" w14:textId="77777777">
        <w:trPr>
          <w:jc w:val="center"/>
        </w:trPr>
        <w:tc>
          <w:tcPr>
            <w:tcW w:w="2438" w:type="dxa"/>
            <w:shd w:val="clear" w:color="auto" w:fill="D9E2F3"/>
          </w:tcPr>
          <w:p w14:paraId="5EF5F8A2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Pojem</w:t>
            </w:r>
          </w:p>
        </w:tc>
        <w:tc>
          <w:tcPr>
            <w:tcW w:w="6350" w:type="dxa"/>
            <w:shd w:val="clear" w:color="auto" w:fill="D9E2F3"/>
          </w:tcPr>
          <w:p w14:paraId="1D504D26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b/>
                <w:sz w:val="20"/>
                <w:lang w:val="cs-CZ"/>
              </w:rPr>
              <w:t>Vysvětlení</w:t>
            </w:r>
          </w:p>
        </w:tc>
      </w:tr>
      <w:tr w:rsidR="008E17F6" w:rsidRPr="00F915B5" w14:paraId="6DC77A03" w14:textId="77777777">
        <w:trPr>
          <w:jc w:val="center"/>
        </w:trPr>
        <w:tc>
          <w:tcPr>
            <w:tcW w:w="2438" w:type="dxa"/>
          </w:tcPr>
          <w:p w14:paraId="6DD1A8FF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Procesní uzel (U1–U7)</w:t>
            </w:r>
          </w:p>
        </w:tc>
        <w:tc>
          <w:tcPr>
            <w:tcW w:w="6350" w:type="dxa"/>
          </w:tcPr>
          <w:p w14:paraId="1F4D266A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Ucelené povolovací/schvalovací řízení s jasným výstupem; základní jednotka procesní vrstvy.</w:t>
            </w:r>
          </w:p>
        </w:tc>
      </w:tr>
      <w:tr w:rsidR="008E17F6" w:rsidRPr="00F915B5" w14:paraId="43872B23" w14:textId="77777777">
        <w:trPr>
          <w:jc w:val="center"/>
        </w:trPr>
        <w:tc>
          <w:tcPr>
            <w:tcW w:w="2438" w:type="dxa"/>
          </w:tcPr>
          <w:p w14:paraId="18A0A633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Větev průběhu</w:t>
            </w:r>
          </w:p>
        </w:tc>
        <w:tc>
          <w:tcPr>
            <w:tcW w:w="6350" w:type="dxa"/>
          </w:tcPr>
          <w:p w14:paraId="6614B596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Jedna z možných variant, jak řízení proběhne (např. zjišťovací řízení vs. plná EIA).</w:t>
            </w:r>
          </w:p>
        </w:tc>
      </w:tr>
      <w:tr w:rsidR="008E17F6" w:rsidRPr="00F915B5" w14:paraId="01493945" w14:textId="77777777">
        <w:trPr>
          <w:jc w:val="center"/>
        </w:trPr>
        <w:tc>
          <w:tcPr>
            <w:tcW w:w="2438" w:type="dxa"/>
          </w:tcPr>
          <w:p w14:paraId="338EA9EB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Matice variability 4×7</w:t>
            </w:r>
          </w:p>
        </w:tc>
        <w:tc>
          <w:tcPr>
            <w:tcW w:w="6350" w:type="dxa"/>
          </w:tcPr>
          <w:p w14:paraId="03196BCD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Tabulka intenzit: jak silně se každý ze 7 uzlů uplatní pro 4 typy instalací.</w:t>
            </w:r>
          </w:p>
        </w:tc>
      </w:tr>
      <w:tr w:rsidR="008E17F6" w:rsidRPr="00F915B5" w14:paraId="428AD965" w14:textId="77777777">
        <w:trPr>
          <w:jc w:val="center"/>
        </w:trPr>
        <w:tc>
          <w:tcPr>
            <w:tcW w:w="2438" w:type="dxa"/>
          </w:tcPr>
          <w:p w14:paraId="7126BC78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Compliance pathway</w:t>
            </w:r>
          </w:p>
        </w:tc>
        <w:tc>
          <w:tcPr>
            <w:tcW w:w="6350" w:type="dxa"/>
          </w:tcPr>
          <w:p w14:paraId="76194577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Na míru vygenerovaná cesta záměru: aktivované uzly + relevantní předpisy.</w:t>
            </w:r>
          </w:p>
        </w:tc>
      </w:tr>
      <w:tr w:rsidR="008E17F6" w:rsidRPr="00F915B5" w14:paraId="78CF5A60" w14:textId="77777777">
        <w:trPr>
          <w:jc w:val="center"/>
        </w:trPr>
        <w:tc>
          <w:tcPr>
            <w:tcW w:w="2438" w:type="dxa"/>
          </w:tcPr>
          <w:p w14:paraId="63C2D892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Aktivační pravidlo</w:t>
            </w:r>
          </w:p>
        </w:tc>
        <w:tc>
          <w:tcPr>
            <w:tcW w:w="6350" w:type="dxa"/>
          </w:tcPr>
          <w:p w14:paraId="44FB53EC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Strukturovaná podmínka (parametr–porovnání–hodnota), za níž se uzel/větev uplatní.</w:t>
            </w:r>
          </w:p>
        </w:tc>
      </w:tr>
      <w:tr w:rsidR="008E17F6" w:rsidRPr="00F915B5" w14:paraId="529A20DB" w14:textId="77777777">
        <w:trPr>
          <w:jc w:val="center"/>
        </w:trPr>
        <w:tc>
          <w:tcPr>
            <w:tcW w:w="2438" w:type="dxa"/>
          </w:tcPr>
          <w:p w14:paraId="45CB0651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Typový scénář</w:t>
            </w:r>
          </w:p>
        </w:tc>
        <w:tc>
          <w:tcPr>
            <w:tcW w:w="6350" w:type="dxa"/>
          </w:tcPr>
          <w:p w14:paraId="18BE2B91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Vzorový projekt (např. veřejná plnicí stanice) s předdefinovaným procesním profilem.</w:t>
            </w:r>
          </w:p>
        </w:tc>
      </w:tr>
      <w:tr w:rsidR="008E17F6" w:rsidRPr="00F915B5" w14:paraId="5C015AB0" w14:textId="77777777">
        <w:trPr>
          <w:jc w:val="center"/>
        </w:trPr>
        <w:tc>
          <w:tcPr>
            <w:tcW w:w="2438" w:type="dxa"/>
          </w:tcPr>
          <w:p w14:paraId="7DEB60D3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Číselník</w:t>
            </w:r>
          </w:p>
        </w:tc>
        <w:tc>
          <w:tcPr>
            <w:tcW w:w="6350" w:type="dxa"/>
          </w:tcPr>
          <w:p w14:paraId="49EE74BD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Tabulka s pevným seznamem hodnot (typy dokumentů, intenzity…); zaručuje jednotné vyplňování.</w:t>
            </w:r>
          </w:p>
        </w:tc>
      </w:tr>
      <w:tr w:rsidR="008E17F6" w:rsidRPr="00F915B5" w14:paraId="432269AD" w14:textId="77777777">
        <w:trPr>
          <w:jc w:val="center"/>
        </w:trPr>
        <w:tc>
          <w:tcPr>
            <w:tcW w:w="2438" w:type="dxa"/>
          </w:tcPr>
          <w:p w14:paraId="3B00FE96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Řízený slovník</w:t>
            </w:r>
          </w:p>
        </w:tc>
        <w:tc>
          <w:tcPr>
            <w:tcW w:w="6350" w:type="dxa"/>
          </w:tcPr>
          <w:p w14:paraId="30338281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Klíčová slova spravovaná týmem — nová slova se přidávají řízeně, ne volně uživateli.</w:t>
            </w:r>
          </w:p>
        </w:tc>
      </w:tr>
      <w:tr w:rsidR="008E17F6" w:rsidRPr="00F915B5" w14:paraId="6EE1F9C0" w14:textId="77777777">
        <w:trPr>
          <w:jc w:val="center"/>
        </w:trPr>
        <w:tc>
          <w:tcPr>
            <w:tcW w:w="2438" w:type="dxa"/>
          </w:tcPr>
          <w:p w14:paraId="1A3CF162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RFNBO</w:t>
            </w:r>
          </w:p>
        </w:tc>
        <w:tc>
          <w:tcPr>
            <w:tcW w:w="6350" w:type="dxa"/>
          </w:tcPr>
          <w:p w14:paraId="2F0506C8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„Renewable Fuel of Non-Biological Origin“ — unijní kategorie obnovitelného vodíku; její prokazování řeší uzel U7.</w:t>
            </w:r>
          </w:p>
        </w:tc>
      </w:tr>
      <w:tr w:rsidR="008E17F6" w:rsidRPr="00F915B5" w14:paraId="44D343E8" w14:textId="77777777">
        <w:trPr>
          <w:jc w:val="center"/>
        </w:trPr>
        <w:tc>
          <w:tcPr>
            <w:tcW w:w="2438" w:type="dxa"/>
          </w:tcPr>
          <w:p w14:paraId="6E372572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EIA / IPPC</w:t>
            </w:r>
          </w:p>
        </w:tc>
        <w:tc>
          <w:tcPr>
            <w:tcW w:w="6350" w:type="dxa"/>
          </w:tcPr>
          <w:p w14:paraId="54A4796E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Posouzení vlivů na životní prostředí / integrované povolení pro velké provozy (uzel U2).</w:t>
            </w:r>
          </w:p>
        </w:tc>
      </w:tr>
      <w:tr w:rsidR="008E17F6" w:rsidRPr="00F915B5" w14:paraId="54480706" w14:textId="77777777">
        <w:trPr>
          <w:jc w:val="center"/>
        </w:trPr>
        <w:tc>
          <w:tcPr>
            <w:tcW w:w="2438" w:type="dxa"/>
          </w:tcPr>
          <w:p w14:paraId="77E0F80A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Metadatový přístup</w:t>
            </w:r>
          </w:p>
        </w:tc>
        <w:tc>
          <w:tcPr>
            <w:tcW w:w="6350" w:type="dxa"/>
          </w:tcPr>
          <w:p w14:paraId="0C9892E5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Databáze eviduje popis a zařazení dokumentu, ne jeho plný text.</w:t>
            </w:r>
          </w:p>
        </w:tc>
      </w:tr>
      <w:tr w:rsidR="008E17F6" w:rsidRPr="00F915B5" w14:paraId="11942843" w14:textId="77777777">
        <w:trPr>
          <w:jc w:val="center"/>
        </w:trPr>
        <w:tc>
          <w:tcPr>
            <w:tcW w:w="2438" w:type="dxa"/>
          </w:tcPr>
          <w:p w14:paraId="6A4254FB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Aditivní migrace</w:t>
            </w:r>
          </w:p>
        </w:tc>
        <w:tc>
          <w:tcPr>
            <w:tcW w:w="6350" w:type="dxa"/>
          </w:tcPr>
          <w:p w14:paraId="0DC31F4B" w14:textId="77777777" w:rsidR="008E17F6" w:rsidRPr="00F915B5" w:rsidRDefault="00000000">
            <w:pPr>
              <w:spacing w:after="40"/>
              <w:rPr>
                <w:lang w:val="cs-CZ"/>
              </w:rPr>
            </w:pPr>
            <w:r w:rsidRPr="00F915B5">
              <w:rPr>
                <w:sz w:val="20"/>
                <w:lang w:val="cs-CZ"/>
              </w:rPr>
              <w:t>Změny databáze, které pouze přidávají (sloupce, tabulky) — nic nemažou ani nemění.</w:t>
            </w:r>
          </w:p>
        </w:tc>
      </w:tr>
    </w:tbl>
    <w:p w14:paraId="7BD945AA" w14:textId="77777777" w:rsidR="008E17F6" w:rsidRPr="00F915B5" w:rsidRDefault="008E17F6">
      <w:pPr>
        <w:spacing w:after="40"/>
        <w:rPr>
          <w:lang w:val="cs-CZ"/>
        </w:rPr>
      </w:pPr>
    </w:p>
    <w:sectPr w:rsidR="008E17F6" w:rsidRPr="00F915B5" w:rsidSect="00034616">
      <w:footerReference w:type="default" r:id="rId1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n Přikryl" w:date="2026-07-08T20:00:00Z" w:initials="JP">
    <w:p w14:paraId="31CF9F3C" w14:textId="77777777" w:rsidR="004A6C45" w:rsidRDefault="004A6C45" w:rsidP="004A6C45">
      <w:pPr>
        <w:pStyle w:val="Textkomente"/>
      </w:pPr>
      <w:r>
        <w:rPr>
          <w:rStyle w:val="Odkaznakoment"/>
        </w:rPr>
        <w:annotationRef/>
      </w:r>
      <w:r>
        <w:t>Zatím ještě ne ...</w:t>
      </w:r>
    </w:p>
  </w:comment>
  <w:comment w:id="1" w:author="Jan Přikryl" w:date="2026-07-08T21:29:00Z" w:initials="JP">
    <w:p w14:paraId="0C1C5029" w14:textId="77777777" w:rsidR="00246247" w:rsidRDefault="00246247" w:rsidP="00246247">
      <w:pPr>
        <w:pStyle w:val="Textkomente"/>
      </w:pPr>
      <w:r>
        <w:rPr>
          <w:rStyle w:val="Odkaznakoment"/>
        </w:rPr>
        <w:annotationRef/>
      </w:r>
      <w:r>
        <w:t>Teoreticky, zatím to stále jede na vývojovém stroji na ČVUT FD.</w:t>
      </w:r>
    </w:p>
  </w:comment>
  <w:comment w:id="2" w:author="Jan Přikryl" w:date="2026-07-08T21:32:00Z" w:initials="JP">
    <w:p w14:paraId="1A5AFED4" w14:textId="77777777" w:rsidR="007D069E" w:rsidRDefault="007D069E" w:rsidP="007D069E">
      <w:pPr>
        <w:pStyle w:val="Textkomente"/>
      </w:pPr>
      <w:r>
        <w:rPr>
          <w:rStyle w:val="Odkaznakoment"/>
        </w:rPr>
        <w:annotationRef/>
      </w:r>
      <w:r>
        <w:t>Možná bude třeba do budoucna rozšířit.</w:t>
      </w:r>
    </w:p>
  </w:comment>
  <w:comment w:id="3" w:author="Jan Přikryl" w:date="2026-07-08T21:38:00Z" w:initials="JP">
    <w:p w14:paraId="32EBE2C2" w14:textId="77777777" w:rsidR="00093B4B" w:rsidRDefault="00093B4B" w:rsidP="00093B4B">
      <w:pPr>
        <w:pStyle w:val="Textkomente"/>
      </w:pPr>
      <w:r>
        <w:rPr>
          <w:rStyle w:val="Odkaznakoment"/>
        </w:rPr>
        <w:annotationRef/>
      </w:r>
      <w:r>
        <w:t>Toto by mohly být ony „kuchařky“, požadované MPO.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CF9F3C" w15:done="0"/>
  <w15:commentEx w15:paraId="0C1C5029" w15:done="0"/>
  <w15:commentEx w15:paraId="1A5AFED4" w15:done="0"/>
  <w15:commentEx w15:paraId="32EBE2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28C0FF" w16cex:dateUtc="2026-07-08T18:00:00Z"/>
  <w16cex:commentExtensible w16cex:durableId="3C0D56E0" w16cex:dateUtc="2026-07-08T19:29:00Z"/>
  <w16cex:commentExtensible w16cex:durableId="57BF4C18" w16cex:dateUtc="2026-07-08T19:32:00Z"/>
  <w16cex:commentExtensible w16cex:durableId="2C5FDE1E" w16cex:dateUtc="2026-07-08T19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CF9F3C" w16cid:durableId="1C28C0FF"/>
  <w16cid:commentId w16cid:paraId="0C1C5029" w16cid:durableId="3C0D56E0"/>
  <w16cid:commentId w16cid:paraId="1A5AFED4" w16cid:durableId="57BF4C18"/>
  <w16cid:commentId w16cid:paraId="32EBE2C2" w16cid:durableId="2C5FDE1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4E0A6" w14:textId="77777777" w:rsidR="002839D8" w:rsidRDefault="002839D8">
      <w:pPr>
        <w:spacing w:after="0" w:line="240" w:lineRule="auto"/>
      </w:pPr>
      <w:r>
        <w:separator/>
      </w:r>
    </w:p>
  </w:endnote>
  <w:endnote w:type="continuationSeparator" w:id="0">
    <w:p w14:paraId="42CB76E4" w14:textId="77777777" w:rsidR="002839D8" w:rsidRDefault="00283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E70E7" w14:textId="448C04E3" w:rsidR="008E17F6" w:rsidRDefault="00000000">
    <w:pPr>
      <w:pStyle w:val="Zpat"/>
      <w:jc w:val="center"/>
    </w:pPr>
    <w:r>
      <w:rPr>
        <w:sz w:val="18"/>
      </w:rPr>
      <w:t xml:space="preserve">Strana </w:t>
    </w:r>
    <w:r>
      <w:fldChar w:fldCharType="begin"/>
    </w:r>
    <w:r>
      <w:instrText>PAGE</w:instrText>
    </w:r>
    <w:r>
      <w:fldChar w:fldCharType="separate"/>
    </w:r>
    <w:r w:rsidR="007D439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76CD6" w14:textId="77777777" w:rsidR="002839D8" w:rsidRDefault="002839D8">
      <w:pPr>
        <w:spacing w:after="0" w:line="240" w:lineRule="auto"/>
      </w:pPr>
      <w:r>
        <w:separator/>
      </w:r>
    </w:p>
  </w:footnote>
  <w:footnote w:type="continuationSeparator" w:id="0">
    <w:p w14:paraId="2E1117D8" w14:textId="77777777" w:rsidR="002839D8" w:rsidRDefault="002839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9A2C13"/>
    <w:multiLevelType w:val="hybridMultilevel"/>
    <w:tmpl w:val="4698BC78"/>
    <w:lvl w:ilvl="0" w:tplc="AA68F9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114846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 w16cid:durableId="1712146693">
    <w:abstractNumId w:val="8"/>
  </w:num>
  <w:num w:numId="2" w16cid:durableId="1849100284">
    <w:abstractNumId w:val="6"/>
  </w:num>
  <w:num w:numId="3" w16cid:durableId="1922178462">
    <w:abstractNumId w:val="5"/>
  </w:num>
  <w:num w:numId="4" w16cid:durableId="1675839442">
    <w:abstractNumId w:val="4"/>
  </w:num>
  <w:num w:numId="5" w16cid:durableId="1670674003">
    <w:abstractNumId w:val="7"/>
  </w:num>
  <w:num w:numId="6" w16cid:durableId="1333143219">
    <w:abstractNumId w:val="3"/>
  </w:num>
  <w:num w:numId="7" w16cid:durableId="1236625987">
    <w:abstractNumId w:val="2"/>
  </w:num>
  <w:num w:numId="8" w16cid:durableId="642585908">
    <w:abstractNumId w:val="1"/>
  </w:num>
  <w:num w:numId="9" w16cid:durableId="112483208">
    <w:abstractNumId w:val="0"/>
  </w:num>
  <w:num w:numId="10" w16cid:durableId="666904310">
    <w:abstractNumId w:val="10"/>
  </w:num>
  <w:num w:numId="11" w16cid:durableId="208151746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n Přikryl">
    <w15:presenceInfo w15:providerId="AD" w15:userId="S::prikryl@office365.zcu.cz::ca44c306-a884-42fb-bbd1-bfd893815a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C1F"/>
    <w:rsid w:val="00055950"/>
    <w:rsid w:val="0006063C"/>
    <w:rsid w:val="000656E0"/>
    <w:rsid w:val="00093842"/>
    <w:rsid w:val="00093B4B"/>
    <w:rsid w:val="000B0B7E"/>
    <w:rsid w:val="000C62AC"/>
    <w:rsid w:val="000D312C"/>
    <w:rsid w:val="001349CF"/>
    <w:rsid w:val="001476E8"/>
    <w:rsid w:val="0015074B"/>
    <w:rsid w:val="00174625"/>
    <w:rsid w:val="001B3E01"/>
    <w:rsid w:val="001C5B4D"/>
    <w:rsid w:val="001E6AE6"/>
    <w:rsid w:val="001F5D45"/>
    <w:rsid w:val="002240F2"/>
    <w:rsid w:val="00246247"/>
    <w:rsid w:val="002839D8"/>
    <w:rsid w:val="0029639D"/>
    <w:rsid w:val="002B7355"/>
    <w:rsid w:val="002C3C3C"/>
    <w:rsid w:val="00326F90"/>
    <w:rsid w:val="00353466"/>
    <w:rsid w:val="003726BB"/>
    <w:rsid w:val="003B4249"/>
    <w:rsid w:val="003D6E83"/>
    <w:rsid w:val="0043259C"/>
    <w:rsid w:val="004815C9"/>
    <w:rsid w:val="00497DE8"/>
    <w:rsid w:val="004A6C45"/>
    <w:rsid w:val="004D3B10"/>
    <w:rsid w:val="004E318E"/>
    <w:rsid w:val="00582BAD"/>
    <w:rsid w:val="005A6DDB"/>
    <w:rsid w:val="005B6196"/>
    <w:rsid w:val="005E0EEA"/>
    <w:rsid w:val="005F2A41"/>
    <w:rsid w:val="00632F99"/>
    <w:rsid w:val="006E71CC"/>
    <w:rsid w:val="0078653B"/>
    <w:rsid w:val="00795D2C"/>
    <w:rsid w:val="007D069E"/>
    <w:rsid w:val="007D439E"/>
    <w:rsid w:val="008322AC"/>
    <w:rsid w:val="0089044D"/>
    <w:rsid w:val="0089758B"/>
    <w:rsid w:val="008E17F6"/>
    <w:rsid w:val="00917AE0"/>
    <w:rsid w:val="009353FF"/>
    <w:rsid w:val="009375A2"/>
    <w:rsid w:val="0097141F"/>
    <w:rsid w:val="009A28FC"/>
    <w:rsid w:val="009D5BBD"/>
    <w:rsid w:val="009F5C9F"/>
    <w:rsid w:val="00A06BBD"/>
    <w:rsid w:val="00A51177"/>
    <w:rsid w:val="00A55B61"/>
    <w:rsid w:val="00AA1D8D"/>
    <w:rsid w:val="00AA792E"/>
    <w:rsid w:val="00AC646E"/>
    <w:rsid w:val="00B0700D"/>
    <w:rsid w:val="00B47730"/>
    <w:rsid w:val="00B861F0"/>
    <w:rsid w:val="00B927C5"/>
    <w:rsid w:val="00C27CAA"/>
    <w:rsid w:val="00C81BB7"/>
    <w:rsid w:val="00C858E2"/>
    <w:rsid w:val="00CB0664"/>
    <w:rsid w:val="00CF07BB"/>
    <w:rsid w:val="00D555D6"/>
    <w:rsid w:val="00D77BF2"/>
    <w:rsid w:val="00E62EE9"/>
    <w:rsid w:val="00E7585B"/>
    <w:rsid w:val="00E84296"/>
    <w:rsid w:val="00EC0143"/>
    <w:rsid w:val="00EF7876"/>
    <w:rsid w:val="00F1013A"/>
    <w:rsid w:val="00F321BB"/>
    <w:rsid w:val="00F42C57"/>
    <w:rsid w:val="00F915B5"/>
    <w:rsid w:val="00FC693F"/>
    <w:rsid w:val="00FD6C99"/>
    <w:rsid w:val="00FE1D10"/>
    <w:rsid w:val="00FF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334B361-A0FD-47BE-B915-934CC38C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97DE8"/>
    <w:pPr>
      <w:spacing w:after="160"/>
    </w:pPr>
    <w:rPr>
      <w:rFonts w:ascii="Aptos" w:eastAsia="Arial" w:hAnsi="Aptos"/>
    </w:rPr>
  </w:style>
  <w:style w:type="paragraph" w:styleId="Nadpis1">
    <w:name w:val="heading 1"/>
    <w:basedOn w:val="Normln"/>
    <w:next w:val="Normln"/>
    <w:link w:val="Nadpis1Char"/>
    <w:uiPriority w:val="9"/>
    <w:qFormat/>
    <w:rsid w:val="001F5D45"/>
    <w:pPr>
      <w:keepNext/>
      <w:keepLines/>
      <w:numPr>
        <w:numId w:val="10"/>
      </w:numPr>
      <w:spacing w:before="360" w:after="200"/>
      <w:outlineLvl w:val="0"/>
    </w:pPr>
    <w:rPr>
      <w:rFonts w:ascii="Aptos Display" w:eastAsiaTheme="majorEastAsia" w:hAnsi="Aptos Display" w:cstheme="majorBidi"/>
      <w:b/>
      <w:bCs/>
      <w:color w:val="17365D" w:themeColor="text2" w:themeShade="BF"/>
      <w:sz w:val="32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B7355"/>
    <w:pPr>
      <w:keepNext/>
      <w:keepLines/>
      <w:numPr>
        <w:ilvl w:val="1"/>
        <w:numId w:val="10"/>
      </w:numPr>
      <w:spacing w:before="280"/>
      <w:outlineLvl w:val="1"/>
    </w:pPr>
    <w:rPr>
      <w:rFonts w:ascii="Aptos Display" w:eastAsiaTheme="majorEastAsia" w:hAnsi="Aptos Display" w:cstheme="majorBidi"/>
      <w:b/>
      <w:bCs/>
      <w:color w:val="17365D" w:themeColor="text2" w:themeShade="BF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D77BF2"/>
    <w:pPr>
      <w:keepNext/>
      <w:keepLines/>
      <w:numPr>
        <w:ilvl w:val="2"/>
        <w:numId w:val="10"/>
      </w:numPr>
      <w:spacing w:before="200" w:after="120"/>
      <w:outlineLvl w:val="2"/>
    </w:pPr>
    <w:rPr>
      <w:rFonts w:ascii="Aptos Display" w:eastAsiaTheme="majorEastAsia" w:hAnsi="Aptos Display" w:cstheme="majorBidi"/>
      <w:b/>
      <w:bCs/>
      <w:color w:val="000000"/>
      <w:sz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F5D45"/>
    <w:pPr>
      <w:keepNext/>
      <w:keepLines/>
      <w:numPr>
        <w:ilvl w:val="3"/>
        <w:numId w:val="10"/>
      </w:numPr>
      <w:spacing w:before="200" w:after="0"/>
      <w:outlineLvl w:val="3"/>
    </w:pPr>
    <w:rPr>
      <w:rFonts w:ascii="Aptos Display" w:eastAsiaTheme="majorEastAsia" w:hAnsi="Aptos Display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1F5D45"/>
    <w:rPr>
      <w:rFonts w:ascii="Aptos Display" w:eastAsiaTheme="majorEastAsia" w:hAnsi="Aptos Display" w:cstheme="majorBidi"/>
      <w:b/>
      <w:bCs/>
      <w:color w:val="17365D" w:themeColor="text2" w:themeShade="BF"/>
      <w:sz w:val="32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2B7355"/>
    <w:rPr>
      <w:rFonts w:ascii="Aptos Display" w:eastAsiaTheme="majorEastAsia" w:hAnsi="Aptos Display" w:cstheme="majorBidi"/>
      <w:b/>
      <w:bCs/>
      <w:color w:val="17365D" w:themeColor="text2" w:themeShade="BF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D77BF2"/>
    <w:rPr>
      <w:rFonts w:ascii="Aptos Display" w:eastAsiaTheme="majorEastAsia" w:hAnsi="Aptos Display" w:cstheme="majorBidi"/>
      <w:b/>
      <w:bCs/>
      <w:color w:val="000000"/>
      <w:sz w:val="24"/>
    </w:rPr>
  </w:style>
  <w:style w:type="paragraph" w:styleId="Nzev">
    <w:name w:val="Title"/>
    <w:basedOn w:val="Normln"/>
    <w:next w:val="Normln"/>
    <w:link w:val="NzevChar"/>
    <w:uiPriority w:val="10"/>
    <w:qFormat/>
    <w:rsid w:val="001F5D45"/>
    <w:pPr>
      <w:spacing w:after="300" w:line="240" w:lineRule="auto"/>
      <w:contextualSpacing/>
    </w:pPr>
    <w:rPr>
      <w:rFonts w:ascii="Aptos ExtraBold" w:eastAsiaTheme="majorEastAsia" w:hAnsi="Aptos ExtraBold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1F5D45"/>
    <w:rPr>
      <w:rFonts w:ascii="Aptos ExtraBold" w:eastAsiaTheme="majorEastAsia" w:hAnsi="Aptos ExtraBold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F5D45"/>
    <w:rPr>
      <w:rFonts w:ascii="Aptos Display" w:eastAsiaTheme="majorEastAsia" w:hAnsi="Aptos Display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Odkaznakoment">
    <w:name w:val="annotation reference"/>
    <w:basedOn w:val="Standardnpsmoodstavce"/>
    <w:uiPriority w:val="99"/>
    <w:semiHidden/>
    <w:unhideWhenUsed/>
    <w:rsid w:val="004A6C4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4A6C45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4A6C45"/>
    <w:rPr>
      <w:rFonts w:ascii="Arial" w:eastAsia="Arial" w:hAnsi="Arial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4A6C4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4A6C45"/>
    <w:rPr>
      <w:rFonts w:ascii="Arial" w:eastAsia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10</Pages>
  <Words>2466</Words>
  <Characters>14554</Characters>
  <Application>Microsoft Office Word</Application>
  <DocSecurity>0</DocSecurity>
  <Lines>121</Lines>
  <Paragraphs>33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Přikryl</cp:lastModifiedBy>
  <cp:revision>74</cp:revision>
  <dcterms:created xsi:type="dcterms:W3CDTF">2013-12-23T23:15:00Z</dcterms:created>
  <dcterms:modified xsi:type="dcterms:W3CDTF">2026-07-09T05:41:00Z</dcterms:modified>
  <cp:category/>
</cp:coreProperties>
</file>