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A2F55"/>
        </w:rPr>
        <w:t xml:space="preserve">OROS Performance Research Report</w:t>
      </w:r>
    </w:p>
    <w:p>
      <w:pPr>
        <w:spacing w:after="120"/>
      </w:pPr>
      <w:r>
        <w:rPr>
          <w:i/>
          <w:iCs/>
          <w:color w:val="666666"/>
          <w:sz w:val="21"/>
          <w:szCs w:val="21"/>
        </w:rPr>
        <w:t xml:space="preserve">An Autonomous Agentic Market Analyst — forward record, July 6 to July 29, 2026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JP Romero · Fordham MSAIB Capstone · prepared July 29, 2026 · simulated paper trading — educational, not financial advice</w:t>
      </w:r>
    </w:p>
    <w:p>
      <w:pPr>
        <w:pStyle w:val="Heading1"/>
      </w:pPr>
      <w:r>
        <w:rPr>
          <w:color w:val="1A2F55"/>
        </w:rPr>
        <w:t xml:space="preserve">1. Headline Results (official, from the July 29 morning report)</w:t>
      </w:r>
    </w:p>
    <w:p>
      <w:pPr>
        <w:spacing w:after="120"/>
      </w:pPr>
      <w:r>
        <w:rPr>
          <w:sz w:val="21"/>
          <w:szCs w:val="21"/>
        </w:rPr>
        <w:t xml:space="preserve">Over 17 journaled trading sessions from a frozen July 6 baseline, three books ran the same simulated $100,000: the LIVE OROS book, rebuilt each morning by the autonomous pipeline, finished at $103,977 (+3.98%); the frozen First Portfolio (buy-and-hold of the July 6 book) finished at $100,602 (+0.60%); and SPY finished at $98,613 (−1.39%). The live book outperformed the index by 5.37 percentage points and its own frozen baseline by 3.38 points. All three lines are computed from the same journaled record; the chain is append-only and nothing is restated. (The race chart below reflects the latest journaled intraday value at the 7/29 build.)</w:t>
      </w:r>
    </w:p>
    <w:p>
      <w:r>
        <w:drawing>
          <wp:inline distT="0" distB="0" distL="0" distR="0">
            <wp:extent cx="59055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A2F55"/>
        </w:rPr>
        <w:t xml:space="preserve">2. Methodology and Provenance</w:t>
      </w:r>
    </w:p>
    <w:p>
      <w:pPr>
        <w:spacing w:after="120"/>
      </w:pPr>
      <w:r>
        <w:rPr>
          <w:sz w:val="21"/>
          <w:szCs w:val="21"/>
        </w:rPr>
        <w:t xml:space="preserve">OROS is a 31-agent system: a nightly scanner grades ~500 liquid names (the OROS 500) into market stages; a regime agent reads the whole market; a construction agent selects and risk-sizes one concentrated book (1.25% risk per name inside a 6% portfolio risk wallet, sector caps, earnings blackouts); and a risk agent holds veto power. Every build is journaled as a JSON file before any surface reports it. The uniformity rule is enforced in code: the emailed report, the glance digest, the app, and both daily broadcasts read one journaled record — the add/drop diff is computed once, by the runner, and written into the record itself. Entries in the daily book are re-journaled each morning; position gains in this report and (as of 7/29) in the daily report measure from each name's FIRST consecutive entry into the book.</w:t>
      </w:r>
    </w:p>
    <w:p>
      <w:pPr>
        <w:spacing w:after="120"/>
      </w:pPr>
      <w:r>
        <w:rPr>
          <w:sz w:val="21"/>
          <w:szCs w:val="21"/>
        </w:rPr>
        <w:t xml:space="preserve">Data sources: SEC EDGAR XBRL and 10-K filings, Nasdaq Trader listings, Yahoo Finance daily prices (cached nightly), FRED, VADER news sentiment, StockTwits attention. Limitations stated: simulated fills at journaled prices (no slippage or commissions), 17 sessions within a single bull regime — this report claims process integrity, not statistical alpha.</w:t>
      </w:r>
    </w:p>
    <w:p>
      <w:pPr>
        <w:pStyle w:val="Heading1"/>
      </w:pPr>
      <w:r>
        <w:rPr>
          <w:color w:val="1A2F55"/>
        </w:rPr>
        <w:t xml:space="preserve">3. Daily Record — the Chained Live Book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2400"/>
        <w:gridCol w:w="1600"/>
        <w:gridCol w:w="1600"/>
      </w:tblGrid>
      <w:tr>
        <w:tc>
          <w:tcPr>
            <w:tcW w:type="dxa" w:w="1600"/>
            <w:shd w:fill="E8EDF5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700"/>
            <w:shd w:fill="E8EDF5" w:val="clear"/>
          </w:tcPr>
          <w:p>
            <w:r>
              <w:rPr>
                <w:b/>
                <w:bCs/>
                <w:sz w:val="18"/>
                <w:szCs w:val="18"/>
              </w:rPr>
              <w:t xml:space="preserve">Live day return</w:t>
            </w:r>
          </w:p>
        </w:tc>
        <w:tc>
          <w:tcPr>
            <w:tcW w:type="dxa" w:w="2400"/>
            <w:shd w:fill="E8EDF5" w:val="clear"/>
          </w:tcPr>
          <w:p>
            <w:r>
              <w:rPr>
                <w:b/>
                <w:bCs/>
                <w:sz w:val="18"/>
                <w:szCs w:val="18"/>
              </w:rPr>
              <w:t xml:space="preserve">Live cumulative ($100k start)</w:t>
            </w:r>
          </w:p>
        </w:tc>
        <w:tc>
          <w:tcPr>
            <w:tcW w:type="dxa" w:w="1600"/>
            <w:shd w:fill="E8EDF5" w:val="clear"/>
          </w:tcPr>
          <w:p>
            <w:r>
              <w:rPr>
                <w:b/>
                <w:bCs/>
                <w:sz w:val="18"/>
                <w:szCs w:val="18"/>
              </w:rPr>
              <w:t xml:space="preserve">Frozen day</w:t>
            </w:r>
          </w:p>
        </w:tc>
        <w:tc>
          <w:tcPr>
            <w:tcW w:type="dxa" w:w="1600"/>
            <w:shd w:fill="E8EDF5" w:val="clear"/>
          </w:tcPr>
          <w:p>
            <w:r>
              <w:rPr>
                <w:b/>
                <w:bCs/>
                <w:sz w:val="18"/>
                <w:szCs w:val="18"/>
              </w:rPr>
              <w:t xml:space="preserve">SPY day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2026-07-09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-0.05%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$99,954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2026-07-10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0.13%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$100,080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2026-07-13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-0.01%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$100,075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2026-07-14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-0.26%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$99,817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-0.36%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0.36%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2026-07-15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-0.11%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$99,710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-0.17%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0.40%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2026-07-16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1.62%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$101,326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0.42%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-0.54%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2026-07-17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0.03%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$101,352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-0.04%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-0.99%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2026-07-20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-0.22%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$101,130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-0.31%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-0.16%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2026-07-21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0.32%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$101,458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0.14%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0.83%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2026-07-22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-0.03%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$101,433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-0.08%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-0.12%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2026-07-23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-0.06%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$101,373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0.16%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-1.23%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2026-07-24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0.44%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$101,815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2026-07-25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0.44%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$102,258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2026-07-26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0.68%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$102,955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2026-07-27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0.09%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$103,046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0.38%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0.12%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2026-07-28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0.63%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$103,693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0.66%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0.24%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2026-07-29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0.55%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$104,261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color w:val="666666"/>
          <w:sz w:val="16"/>
          <w:szCs w:val="16"/>
        </w:rPr>
        <w:t xml:space="preserve">Source: data/journal/capstone_chain.json (17 entries) and data/journal/day_tally.json. Daily frozen/SPY columns begin 7/14 when the evening tally journal was introduced.</w:t>
      </w:r>
    </w:p>
    <w:p>
      <w:pPr>
        <w:pStyle w:val="Heading1"/>
      </w:pPr>
      <w:r>
        <w:rPr>
          <w:color w:val="1A2F55"/>
        </w:rPr>
        <w:t xml:space="preserve">4. Every Autonomous Build — Adds and Drops (the complete log)</w:t>
      </w:r>
    </w:p>
    <w:p>
      <w:pPr>
        <w:spacing w:after="120"/>
      </w:pPr>
      <w:r>
        <w:rPr>
          <w:sz w:val="21"/>
          <w:szCs w:val="21"/>
        </w:rPr>
        <w:t xml:space="preserve">The 46 autonomous builds journaled since go-live. UI experiments are excluded by note-tag; diffs are mandate-aware (each build compared only to the previous build of the same mandate).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700"/>
        <w:gridCol w:w="2800"/>
        <w:gridCol w:w="2800"/>
      </w:tblGrid>
      <w:tr>
        <w:tc>
          <w:tcPr>
            <w:tcW w:type="dxa" w:w="1300"/>
            <w:shd w:fill="E8EDF5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700"/>
            <w:shd w:fill="E8EDF5" w:val="clear"/>
          </w:tcPr>
          <w:p>
            <w:r>
              <w:rPr>
                <w:b/>
                <w:bCs/>
                <w:sz w:val="18"/>
                <w:szCs w:val="18"/>
              </w:rPr>
              <w:t xml:space="preserve">Mandate</w:t>
            </w:r>
          </w:p>
        </w:tc>
        <w:tc>
          <w:tcPr>
            <w:tcW w:type="dxa" w:w="700"/>
            <w:shd w:fill="E8EDF5" w:val="clear"/>
          </w:tcPr>
          <w:p>
            <w:r>
              <w:rPr>
                <w:b/>
                <w:bCs/>
                <w:sz w:val="18"/>
                <w:szCs w:val="18"/>
              </w:rPr>
              <w:t xml:space="preserve">Pos.</w:t>
            </w:r>
          </w:p>
        </w:tc>
        <w:tc>
          <w:tcPr>
            <w:tcW w:type="dxa" w:w="2800"/>
            <w:shd w:fill="E8EDF5" w:val="clear"/>
          </w:tcPr>
          <w:p>
            <w:r>
              <w:rPr>
                <w:b/>
                <w:bCs/>
                <w:sz w:val="18"/>
                <w:szCs w:val="18"/>
              </w:rPr>
              <w:t xml:space="preserve">Added</w:t>
            </w:r>
          </w:p>
        </w:tc>
        <w:tc>
          <w:tcPr>
            <w:tcW w:type="dxa" w:w="2800"/>
            <w:shd w:fill="E8EDF5" w:val="clear"/>
          </w:tcPr>
          <w:p>
            <w:r>
              <w:rPr>
                <w:b/>
                <w:bCs/>
                <w:sz w:val="18"/>
                <w:szCs w:val="18"/>
              </w:rPr>
              <w:t xml:space="preserve">Dropped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2026-06-21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2026-06-21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ARM, ASML, CSCO, INTC, LRCX, MU, MUU, NBIS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AAPL, AMAT, AMD, ANET, NVDA, PWR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2026-06-21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KLAC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CSCO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2026-06-22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BE, CSCO, TSM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INTC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2026-06-27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MRVL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ARM, ASML, BE, CSCO, KLAC, LRCX, MUU, NBIS, TSM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2026-06-29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AAPL, AMAT, AMD, ASML, CAT, LLY, LRCX, NBIS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MRVL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2026-06-30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ALNT, BPOP, CVS, DGII, DRH, EZPW, FCEL, FFBC, MKSI, MYRG, NESR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AAPL, AMAT, AMD, ASML, CAT, LLY, LRCX, NBIS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2026-06-30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EWTX, ICHR, MTZ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DGII, DRH, MU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2026-07-01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COHU, MU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ALNT, MTZ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2026-07-02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CGNX, DGII, ECPG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BPOP, COHU, CVS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2026-07-03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ATEX, BPOP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EWTX, ICHR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2026-07-04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CATY, EWTX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BPOP, MU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2026-07-04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AAL, ANAB, ASTH, BPOP, CAKE, CVS, LLY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EWTX, EZPW, FCEL, FFBC, MKSI, MYRG, NESR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2026-07-06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ALMS, ANET, BATRK, BCRX, BOKF, CSX, DE, EBAY, SPG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AAL, ANAB, ASTH, ATEX, CAKE, CGNX, CVS, DGII, ECPG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2026-07-07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AEP, MET, PSA, TSM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BCRX, BOKF, CSX, DE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2026-07-07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ARWR, BEAM, COKE, CSX, MO, SBUX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AEP, ALMS, ANET, LLY, SPG, TSM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2026-07-08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AAPL, ANET, LIN, LLY, UPS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ARWR, BPOP, CATY, COKE, SBUX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2026-07-08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ANDE, ARWR, CCEP, CMPR, WELL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AAPL, ANET, BATRK, BEAM, PSA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2026-07-09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AAPU, BAC, BPOP, CART, JNJ, KRE, PM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ANDE, ARWR, CCEP, CMPR, LIN, MO, UPS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2026-07-09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ARWR, BATRK, BEAM, CCEP, CMPR, KO, UPS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AAPU, CART, CSX, EBAY, JNJ, KRE, PM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2026-07-10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AAPU, ASND, BCRX, CSX, EBC, JNJ, KRE, SBUX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ARWR, BAC, BATRK, BEAM, CMPR, LLY, UPS, WELL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2026-07-10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CMPR, EBAY, LIN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AAPU, JNJ, KO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2026-07-13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AAPL, CGON, PM, WELL, XBI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ASND, BCRX, CMPR, LIN, SBUX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2026-07-13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ANET, BATRK, CMPR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EBC, PM, XBI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2026-07-14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AAPU, EXEL, LLYVA, LLYVK, MTCH, NBIX, NESR, NTRS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ANET, BATRK, CCEP, CGON, CMPR, CSX, KRE, WELL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2026-07-14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BATRK, BOKF, CCEP, CGON, CSX, KRE, SBUX, WELL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EBAY, EXEL, LLYVA, LLYVK, MTCH, NBIX, NESR, NTRS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2026-07-15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AMLX, ANET, USB, XBI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AAPU, BATRK, BOKF, KRE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2026-07-16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FFBC, HST, KBWB, KSPI, MTCH, NBIX, NTRS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AMLX, ANET, CCEP, CGON, MET, USB, XBI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2026-07-16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CASY, CATY, KO, MET, MO, UNP, XLE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FFBC, HST, KBWB, KSPI, MTCH, NBIX, NTRS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2026-07-17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EBC, KRE, MTCH, NTRS, TGT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CASY, KO, MET, UNP, XLE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2026-07-17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CACC, CASY, MET, NEE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CATY, EBC, MTCH, NTRS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2026-07-20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COLB, EBC, KBWB, LAMR, MNST, NTRS, SPG, USB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AAPL, BPOP, CACC, CASY, CSX, MET, NEE, TGT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2026-07-20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AAPL, BOKF, BPOP, CASY, CATY, CSX, TGT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COLB, EBC, KBWB, LAMR, MNST, NTRS, USB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2026-07-21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DXPE, KBWB, LAMR, MET, MNST, MTCH, NTRS, UNP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BOKF, CASY, CATY, CSX, MO, SBUX, SPG, TGT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2026-07-21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BANR, CASY, CHRW, COLB, DRH, TGT, UPS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KBWB, KRE, LAMR, MET, MNST, MTCH, NTRS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2026-07-22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CSX, KBWB, KRE, MNST, MTCH, NTRS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BANR, CASY, CHRW, DRH, UPS, WELL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2026-07-22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BUSE, CASY, CHRD, IYT, MET, WELL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COLB, KBWB, KRE, MNST, MTCH, NTRS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2026-07-23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COLB, KBWB, KRE, LAMR, MNST, NTRS, UPS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BPOP, BUSE, CASY, CHRD, IYT, MET, WELL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2026-07-23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ANET, APA, BGC, CASY, CHRD, DRH, DRS, ECPG, NVDA, WELL, XOP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AAPL, COLB, CSX, KBWB, KRE, LAMR, MNST, NTRS, TGT, UNP, UPS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2026-07-24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CHRW, HST, HTO, KALU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APA, CHRD, ECPG, NVDA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2026-07-24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AAPL, APA, CHRD, COP, DBC, ECPG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CHRW, DRH, DXPE, HST, HTO, KALU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2026-07-24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CSX, DRH, DXPE, HST, HTO, KALU, PM, SPG, UNP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AAPL, ANET, APA, CHRD, COP, DBC, DRS, ECPG, WELL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2026-07-27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AAPL, APA, CHRD, DRS, FLR, MET, WELL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CASY, CSX, DRH, DXPE, KALU, PM, UNP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2026-07-27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AVT, CASY, MRK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HST, HTO, SPG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2026-07-28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ACGL, CCEP, COKE, CVX, DRH, MO, XLE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APA, AVT, CHRD, FLR, MRK, WELL, XOP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2026-07-29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swing_momentum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DLR, HTO, KO, MRK, PM, UNP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AAPL, ACGL, ARWR, COKE, MET, MTCH</w:t>
            </w:r>
          </w:p>
        </w:tc>
      </w:tr>
    </w:tbl>
    <w:p>
      <w:pPr>
        <w:spacing w:after="120"/>
      </w:pPr>
      <w:r>
        <w:rPr>
          <w:color w:val="666666"/>
          <w:sz w:val="16"/>
          <w:szCs w:val="16"/>
        </w:rPr>
        <w:t xml:space="preserve">Source: data/journal/portfolio_YYYY-MM-DD_*.json — one file per build, each containing holdings, entries, stops, weights, the bench (excluded names with reasons), and since 7/28 the journaled diff itself.</w:t>
      </w:r>
    </w:p>
    <w:p>
      <w:pPr>
        <w:pStyle w:val="Heading1"/>
      </w:pPr>
      <w:r>
        <w:rPr>
          <w:color w:val="1A2F55"/>
        </w:rPr>
        <w:t xml:space="preserve">5. The Picks Ledger and Notable Outcomes</w:t>
      </w:r>
    </w:p>
    <w:p>
      <w:pPr>
        <w:spacing w:after="120"/>
      </w:pPr>
      <w:r>
        <w:rPr>
          <w:sz w:val="21"/>
          <w:szCs w:val="21"/>
        </w:rPr>
        <w:t xml:space="preserve">The morning Top Pick gauntlet (fresh Stage 2 breakout + volume expansion + positive relative strength + not extended) produced picks on 6 of 17 sessions; no-pick days are published as discipline. Documented outcomes include BANR (picked 7/16, triggered up +1.9% versus its buy-stop the same day, graded publicly that evening) and repeated not-triggered days for BANR/BIIB/DBC where the buy-stop was never touched and no capital was ever at risk. On SPY's two worst sessions of the period (−0.99% on 7/17 and −1.23% on 7/23) the live book closed +0.03% and −0.06% respectively — regime-aware exposure functioning as designed. A data-integrity audit on 7/27 found the report's add/drop diff could baseline against the wrong book (48 phantom mentions across 11 reports); it was quantified, fixed the same day, and the fix is itself journaled — self-grading includes the plumbing.</w:t>
      </w:r>
    </w:p>
    <w:p>
      <w:pPr>
        <w:spacing w:after="120"/>
      </w:pPr>
      <w:r>
        <w:rPr>
          <w:color w:val="666666"/>
          <w:sz w:val="16"/>
          <w:szCs w:val="16"/>
        </w:rPr>
        <w:t xml:space="preserve">Source: data/journal/picks_ledger.json, day_tally.json, the emailed Closing Bell reports, and the public YouTube record (OROS Market Desk).</w:t>
      </w:r>
    </w:p>
    <w:p>
      <w:pPr>
        <w:pStyle w:val="Heading1"/>
      </w:pPr>
      <w:r>
        <w:rPr>
          <w:color w:val="1A2F55"/>
        </w:rPr>
        <w:t xml:space="preserve">6. Evidence Inventory (submitted alongside this report)</w:t>
      </w:r>
    </w:p>
    <w:p>
      <w:pPr>
        <w:spacing w:after="120"/>
      </w:pPr>
      <w:r>
        <w:rPr>
          <w:sz w:val="21"/>
          <w:szCs w:val="21"/>
        </w:rPr>
        <w:t xml:space="preserve">capstone_chain.json — 17 append-only daily returns of the live book · capstone_baseline.json — the frozen 7/06 First Portfolio (shares and entries) · day_tally.json — daily live/frozen/SPY comparison · picks_ledger.json — morning picks with trade plans · portfolio_*.json — all 46 autonomous build records (plus UI experiments, note-tagged) · stage_breadth.json — nightly stage census of the OROS 500 · oros500.json — universe membership · the emailed PDF reports and the public, timestamped YouTube episodes. Every number in this document resolves to one of these files.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6b5a076867be4983a4eeb518d9bf7ad5f5edc9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2026-07-29T17:30:38.509Z</dcterms:created>
  <dcterms:modified xsi:type="dcterms:W3CDTF">2026-07-29T17:30:38.509Z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