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left"/>
      </w:pPr>
      <w:r>
        <w:rPr>
          <w:b/>
          <w:bCs/>
          <w:color w:val="1F3864"/>
          <w:sz w:val="52"/>
          <w:szCs w:val="52"/>
        </w:rPr>
        <w:t xml:space="preserve">OROS Stock Analysis Platform</w:t>
      </w:r>
    </w:p>
    <w:p>
      <w:pPr>
        <w:spacing w:after="360"/>
      </w:pPr>
      <w:r>
        <w:rPr>
          <w:color w:val="2E75B6"/>
          <w:sz w:val="28"/>
          <w:szCs w:val="28"/>
        </w:rPr>
        <w:t xml:space="preserve">Project Overview, API Cost Estimate, and Model Improvement Plan</w:t>
      </w:r>
    </w:p>
    <w:p>
      <w:pPr>
        <w:pBdr>
          <w:bottom w:val="single" w:color="2E75B6" w:sz="12" w:space="6"/>
        </w:pBdr>
      </w:pPr>
    </w:p>
    <w:p>
      <w:pPr>
        <w:spacing w:before="120"/>
      </w:pPr>
      <w:r>
        <w:rPr>
          <w:b/>
          <w:bCs/>
          <w:color w:val="1F3864"/>
        </w:rPr>
        <w:t xml:space="preserve">Prepared by:  </w:t>
      </w:r>
      <w:r>
        <w:t xml:space="preserve">Juan (JP) Romero, MS in AI in Business (MSAIB) Capstone</w:t>
      </w:r>
    </w:p>
    <w:p>
      <w:pPr>
        <w:spacing w:before="120"/>
      </w:pPr>
      <w:r>
        <w:rPr>
          <w:b/>
          <w:bCs/>
          <w:color w:val="1F3864"/>
        </w:rPr>
        <w:t xml:space="preserve">Program:  </w:t>
      </w:r>
      <w:r>
        <w:t xml:space="preserve">Gabelli School of Business, Fordham University</w:t>
      </w:r>
    </w:p>
    <w:p>
      <w:pPr>
        <w:spacing w:before="120"/>
      </w:pPr>
      <w:r>
        <w:rPr>
          <w:b/>
          <w:bCs/>
          <w:color w:val="1F3864"/>
        </w:rPr>
        <w:t xml:space="preserve">Project:  </w:t>
      </w:r>
      <w:r>
        <w:t xml:space="preserve">Stock Prediction Capstone</w:t>
      </w:r>
    </w:p>
    <w:p>
      <w:pPr>
        <w:spacing w:before="120"/>
      </w:pPr>
      <w:r>
        <w:rPr>
          <w:b/>
          <w:bCs/>
          <w:color w:val="1F3864"/>
        </w:rPr>
        <w:t xml:space="preserve">Date:  </w:t>
      </w:r>
      <w:r>
        <w:t xml:space="preserve">June 22, 2026</w:t>
      </w:r>
    </w:p>
    <w:p>
      <w:pPr>
        <w:spacing w:before="120"/>
      </w:pPr>
      <w:r>
        <w:rPr>
          <w:b/>
          <w:bCs/>
          <w:color w:val="1F3864"/>
        </w:rPr>
        <w:t xml:space="preserve">Status:  </w:t>
      </w:r>
      <w:r>
        <w:t xml:space="preserve">Working prototype, research and educational use only, no live trading</w:t>
      </w:r>
    </w:p>
    <w:p>
      <w:pPr>
        <w:spacing w:after="120" w:before="240"/>
      </w:pPr>
      <w:r>
        <w:rPr>
          <w:b/>
          <w:bCs/>
          <w:color w:val="595959"/>
        </w:rPr>
        <w:t xml:space="preserve">Disclaimer.  </w:t>
      </w:r>
      <w:r>
        <w:rPr>
          <w:i/>
          <w:iCs/>
          <w:color w:val="595959"/>
        </w:rPr>
        <w:t xml:space="preserve">All outputs of this platform are educational and informational. Nothing here is financial advice, and the system never places trades or moves money. It proposes and journals only.</w:t>
      </w:r>
    </w:p>
    <w:p>
      <w:pPr>
        <w:pageBreakBefore/>
      </w:pPr>
      <w:r>
        <w:t xml:space="preserve"/>
      </w:r>
    </w:p>
    <w:p>
      <w:pPr>
        <w:spacing w:after="160"/>
      </w:pPr>
      <w:r>
        <w:rPr>
          <w:b/>
          <w:bCs/>
          <w:color w:val="1F3864"/>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1"/>
      </w:pPr>
      <w:r>
        <w:t xml:space="preserve">1. Executive Summary</w:t>
      </w:r>
    </w:p>
    <w:p>
      <w:pPr>
        <w:spacing w:after="120" w:line="276"/>
      </w:pPr>
      <w:r>
        <w:t xml:space="preserve">OROS is an agentic stock analysis platform that scans the full universe of US listed equities, evaluates each name through several published trading and investing frameworks, and assembles a transparent research portfolio. It runs with minimal human involvement on a scheduled basis, explains every decision through a visible agent trace, and writes each proposed portfolio to a journal so its track record can be measured honestly out of sample.</w:t>
      </w:r>
    </w:p>
    <w:p>
      <w:pPr>
        <w:spacing w:after="120" w:line="276"/>
      </w:pPr>
      <w:r>
        <w:t xml:space="preserve">The platform is built almost entirely on free data sources (Yahoo Finance, the SEC public filings system, and the Federal Reserve FRED service), so its recurring cost is dominated by a small amount of optional large language model usage from Anthropic. At the project workload described in this report, the estimated cost is roughly 15 to 60 dollars per month depending on how often the deeper research memos are run. We request a school funded budget of 100 to 150 dollars to cover the capstone window through the final presentation on July 29.</w:t>
      </w:r>
    </w:p>
    <w:p>
      <w:pPr>
        <w:spacing w:after="120" w:line="276"/>
      </w:pPr>
      <w:r>
        <w:t xml:space="preserve">This document explains what the platform does, how it works, the realistic token usage and cost, an honest summary of how well it performs today, and a concrete plan to improve the underlying model. The improvement plan is written for review by a quantitative finance audience and does not overstate the current edge.</w:t>
      </w:r>
    </w:p>
    <w:p>
      <w:pPr>
        <w:pStyle w:val="Heading1"/>
      </w:pPr>
      <w:r>
        <w:t xml:space="preserve">2. What the Platform Does</w:t>
      </w:r>
    </w:p>
    <w:p>
      <w:pPr>
        <w:spacing w:after="120" w:line="276"/>
      </w:pPr>
      <w:r>
        <w:t xml:space="preserve">OROS answers one practical question for a research analyst: across the entire US market, which names are setting up well right now, why, and at what risk. It does this end to end without a human picking the starting list.</w:t>
      </w:r>
    </w:p>
    <w:p>
      <w:pPr>
        <w:pStyle w:val="ListParagraph"/>
        <w:numPr>
          <w:ilvl w:val="0"/>
          <w:numId w:val="2"/>
        </w:numPr>
        <w:spacing w:after="60" w:line="276"/>
      </w:pPr>
      <w:r>
        <w:rPr>
          <w:b/>
          <w:bCs/>
        </w:rPr>
        <w:t xml:space="preserve">Scans the whole market. </w:t>
      </w:r>
      <w:r>
        <w:t xml:space="preserve">It pulls the full dynamic universe of US listed tickers (about 11,500 names) and filters to liquid, tradeable names so the output is not dominated by untradeable micro caps.</w:t>
      </w:r>
    </w:p>
    <w:p>
      <w:pPr>
        <w:pStyle w:val="ListParagraph"/>
        <w:numPr>
          <w:ilvl w:val="0"/>
          <w:numId w:val="2"/>
        </w:numPr>
        <w:spacing w:after="60" w:line="276"/>
      </w:pPr>
      <w:r>
        <w:rPr>
          <w:b/>
          <w:bCs/>
        </w:rPr>
        <w:t xml:space="preserve">Scores every name through multiple frameworks. </w:t>
      </w:r>
      <w:r>
        <w:t xml:space="preserve">Each candidate is evaluated by eight peer strategies drawn from well known published methods, then combined rather than relying on a single rule book.</w:t>
      </w:r>
    </w:p>
    <w:p>
      <w:pPr>
        <w:pStyle w:val="ListParagraph"/>
        <w:numPr>
          <w:ilvl w:val="0"/>
          <w:numId w:val="2"/>
        </w:numPr>
        <w:spacing w:after="60" w:line="276"/>
      </w:pPr>
      <w:r>
        <w:rPr>
          <w:b/>
          <w:bCs/>
        </w:rPr>
        <w:t xml:space="preserve">Reads the market regime. </w:t>
      </w:r>
      <w:r>
        <w:t xml:space="preserve">It detects whether the broad market is in a bullish, neutral, or bearish state and tilts which strategies it trusts accordingly.</w:t>
      </w:r>
    </w:p>
    <w:p>
      <w:pPr>
        <w:pStyle w:val="ListParagraph"/>
        <w:numPr>
          <w:ilvl w:val="0"/>
          <w:numId w:val="2"/>
        </w:numPr>
        <w:spacing w:after="60" w:line="276"/>
      </w:pPr>
      <w:r>
        <w:rPr>
          <w:b/>
          <w:bCs/>
        </w:rPr>
        <w:t xml:space="preserve">Builds a risk sized portfolio. </w:t>
      </w:r>
      <w:r>
        <w:t xml:space="preserve">It selects a concentrated set of names, sizes each position by a fixed risk budget, caps exposure per sector, and sets an entry and a protective stop for every holding.</w:t>
      </w:r>
    </w:p>
    <w:p>
      <w:pPr>
        <w:pStyle w:val="ListParagraph"/>
        <w:numPr>
          <w:ilvl w:val="0"/>
          <w:numId w:val="2"/>
        </w:numPr>
        <w:spacing w:after="60" w:line="276"/>
      </w:pPr>
      <w:r>
        <w:rPr>
          <w:b/>
          <w:bCs/>
        </w:rPr>
        <w:t xml:space="preserve">Surfaces fresh opportunities and catalysts. </w:t>
      </w:r>
      <w:r>
        <w:t xml:space="preserve">It tracks newly listed names and recent corporate events so timely setups such as new issues are not missed.</w:t>
      </w:r>
    </w:p>
    <w:p>
      <w:pPr>
        <w:pStyle w:val="ListParagraph"/>
        <w:numPr>
          <w:ilvl w:val="0"/>
          <w:numId w:val="2"/>
        </w:numPr>
        <w:spacing w:after="60" w:line="276"/>
      </w:pPr>
      <w:r>
        <w:rPr>
          <w:b/>
          <w:bCs/>
        </w:rPr>
        <w:t xml:space="preserve">Explains itself. </w:t>
      </w:r>
      <w:r>
        <w:t xml:space="preserve">Every run produces an agent trace showing which data was pulled, which strategy led each pick, and why, so the analyst can audit the reasoning.</w:t>
      </w:r>
    </w:p>
    <w:p>
      <w:pPr>
        <w:pStyle w:val="ListParagraph"/>
        <w:numPr>
          <w:ilvl w:val="0"/>
          <w:numId w:val="2"/>
        </w:numPr>
        <w:spacing w:after="60" w:line="276"/>
      </w:pPr>
      <w:r>
        <w:rPr>
          <w:b/>
          <w:bCs/>
        </w:rPr>
        <w:t xml:space="preserve">Proposes, never trades. </w:t>
      </w:r>
      <w:r>
        <w:t xml:space="preserve">It writes each portfolio to a journal and provides quick links to the user brokerage login, but the human always places any actual order. This is a hard design rule.</w:t>
      </w:r>
    </w:p>
    <w:p>
      <w:pPr>
        <w:pStyle w:val="Heading1"/>
      </w:pPr>
      <w:r>
        <w:t xml:space="preserve">3. How It Works</w:t>
      </w:r>
    </w:p>
    <w:p>
      <w:pPr>
        <w:spacing w:after="120" w:line="276"/>
      </w:pPr>
      <w:r>
        <w:t xml:space="preserve">OROS is a pipeline of cooperating agents. Each stage has a single job and passes a structured result to the next. The flow below mirrors the actual code modules.</w:t>
      </w:r>
    </w:p>
    <w:p>
      <w:pPr>
        <w:pStyle w:val="Heading2"/>
      </w:pPr>
      <w:r>
        <w:t xml:space="preserve">3.1 Data layer</w:t>
      </w:r>
    </w:p>
    <w:p>
      <w:pPr>
        <w:spacing w:after="120" w:line="276"/>
      </w:pPr>
      <w:r>
        <w:t xml:space="preserve">Structured fundamentals come from the SEC XBRL financial data, not scraped PDFs, which keeps them fast and accurate and lets the system reconstruct what was known as of a past filing date. Daily price history is cached locally so the full universe can be scanned without hitting rate limits. Interest rates and credit spreads come from the Federal Reserve FRED service, and sentiment comes from licensed or open endpoints only. The platform does not scrape paywalled or terms restricted sites.</w:t>
      </w:r>
    </w:p>
    <w:p>
      <w:pPr>
        <w:pStyle w:val="Heading2"/>
      </w:pPr>
      <w:r>
        <w:t xml:space="preserve">3.2 Strategy engine</w:t>
      </w:r>
    </w:p>
    <w:p>
      <w:pPr>
        <w:spacing w:after="120" w:line="276"/>
      </w:pPr>
      <w:r>
        <w:t xml:space="preserve">The core of OROS is a registry of eight interchangeable strategies, each of which scores a name from the same shared context. They are treated as equal peers, so no single method is hard coded as the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Strategy</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Heritage</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What it rewards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Stage analysis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Weinstein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Confirmed uptrend above a rising long term moving average</w:t>
            </w:r>
          </w:p>
        </w:tc>
      </w:tr>
      <w:tr>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Trend template</w:t>
            </w:r>
          </w:p>
        </w:tc>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Minervini SEPA</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Strong, orderly trend with tight, healthy structure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Growth leadership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O'Neil CANSLIM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Earnings strength and relative price leadership</w:t>
            </w:r>
          </w:p>
        </w:tc>
      </w:tr>
      <w:tr>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Technical setup</w:t>
            </w:r>
          </w:p>
        </w:tc>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Classic technicals</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Clean breakouts, support, and momentum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Swing setup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Swing trading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Short horizon momentum and timing</w:t>
            </w:r>
          </w:p>
        </w:tc>
      </w:tr>
      <w:tr>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Value</w:t>
            </w:r>
          </w:p>
        </w:tc>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Graham</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Quality at a discount from the fundamentals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Growth at value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Lynch GARP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Reasonable price for the growth on offer</w:t>
            </w:r>
          </w:p>
        </w:tc>
      </w:tr>
      <w:tr>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New issue base</w:t>
            </w:r>
          </w:p>
        </w:tc>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IPO base</w:t>
            </w:r>
          </w:p>
        </w:tc>
        <w:tc>
          <w:tcPr>
            <w:tcW w:type="dxa" w:w="4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Fresh listings building a first base</w:t>
            </w:r>
          </w:p>
        </w:tc>
      </w:tr>
    </w:tbl>
    <w:p>
      <w:pPr>
        <w:spacing w:after="120" w:line="276"/>
      </w:pPr>
      <w:r>
        <w:t xml:space="preserve">Each strategy is coded directly from its published framework, which is public knowledge, so the engine runs whether or not the reference books are loaded. A book grounded reference layer is optional and only enriches the written memos.</w:t>
      </w:r>
    </w:p>
    <w:p>
      <w:pPr>
        <w:pStyle w:val="Heading2"/>
      </w:pPr>
      <w:r>
        <w:t xml:space="preserve">3.3 Regime aware router and memory</w:t>
      </w:r>
    </w:p>
    <w:p>
      <w:pPr>
        <w:spacing w:after="120" w:line="276"/>
      </w:pPr>
      <w:r>
        <w:t xml:space="preserve">A router blends the eight strategy scores into a single conviction for each name. The blend weights are tilted by the detected market regime, so momentum methods carry more weight in a healthy uptrend and value and capital preservation carry more weight when the market is weak. A memory module records how past setups actually resolved and nudges the weights toward what has worked in similar conditions.</w:t>
      </w:r>
    </w:p>
    <w:p>
      <w:pPr>
        <w:pStyle w:val="Heading2"/>
      </w:pPr>
      <w:r>
        <w:t xml:space="preserve">3.4 Multi agent orchestration</w:t>
      </w:r>
    </w:p>
    <w:p>
      <w:pPr>
        <w:spacing w:after="120" w:line="276"/>
      </w:pPr>
      <w:r>
        <w:t xml:space="preserve">A formal orchestrator runs the pipeline as a sequence of named agents, each of which contributes one entry to the visible trace: a data agent, a regime agent, a router agent, a memory agent, a construction agent, and a risk agent. An optional analyst agent provides an independent second opinion from a separate model pass, and it is allowed to disagree with the strategy engine.</w:t>
      </w:r>
    </w:p>
    <w:p>
      <w:pPr>
        <w:pStyle w:val="Heading2"/>
      </w:pPr>
      <w:r>
        <w:t xml:space="preserve">3.5 Portfolio construction and risk</w:t>
      </w:r>
    </w:p>
    <w:p>
      <w:pPr>
        <w:spacing w:after="120" w:line="276"/>
      </w:pPr>
      <w:r>
        <w:t xml:space="preserve">The construction agent selects the highest conviction names subject to liquidity, sizes each by a fixed risk per trade against its stop distance, caps the number of names per sector, and removes any position too small to size cleanly. The result is a concentrated, risk budgeted portfolio with an explicit entry and stop for each holding, plus a clear statement of how much of the account is invested versus held in cash.</w:t>
      </w:r>
    </w:p>
    <w:p>
      <w:pPr>
        <w:pStyle w:val="Heading2"/>
      </w:pPr>
      <w:r>
        <w:t xml:space="preserve">3.6 Operation, journaling, and notifications</w:t>
      </w:r>
    </w:p>
    <w:p>
      <w:pPr>
        <w:spacing w:after="120" w:line="276"/>
      </w:pPr>
      <w:r>
        <w:t xml:space="preserve">The platform is designed to run two to three times per day on a schedule with minimal human involvement. Each run refreshes prices, ranks liquidity, orchestrates the portfolio, journals the proposal, updates outcomes on earlier proposals, scans for changes and fresh opportunities, collects a point in time training snapshot for later model work, and notifies the user by email. The user interface presents three connected tabs: a Portfolio tab that builds and explains the book, a Trader tab that runs the stage analysis on those exact names, and a Research tab for deeper single name work.</w:t>
      </w:r>
    </w:p>
    <w:p>
      <w:pPr>
        <w:pStyle w:val="Heading1"/>
      </w:pPr>
      <w:r>
        <w:t xml:space="preserve">4. Data Sources</w:t>
      </w:r>
    </w:p>
    <w:p>
      <w:pPr>
        <w:spacing w:after="120" w:line="276"/>
      </w:pPr>
      <w:r>
        <w:t xml:space="preserve">Every data source below is free or used within its licensed terms. This is the reason the platform carries almost no recurring data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Source</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Use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Cost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Yahoo Finance (yfinance)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Daily prices, sector, basic fundamentals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SEC EDGAR (XBRL, submissions)</w:t>
            </w:r>
          </w:p>
        </w:tc>
        <w:tc>
          <w:tcPr>
            <w:tcW w:type="dxa" w:w="4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Point in time financials, filings, corporate events</w:t>
            </w:r>
          </w:p>
        </w:tc>
        <w:tc>
          <w:tcPr>
            <w:tcW w:type="dxa" w:w="2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Free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Federal Reserve FRED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Interest rates, credit spreads, macro context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key required</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Alpha Vantage news sentiment</w:t>
            </w:r>
          </w:p>
        </w:tc>
        <w:tc>
          <w:tcPr>
            <w:tcW w:type="dxa" w:w="4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Optional headline sentiment</w:t>
            </w:r>
          </w:p>
        </w:tc>
        <w:tc>
          <w:tcPr>
            <w:tcW w:type="dxa" w:w="2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Free tier, 25 per day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StockTwits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Optional social sentiment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open</w:t>
            </w:r>
          </w:p>
        </w:tc>
      </w:tr>
      <w:tr>
        <w:tc>
          <w:tcPr>
            <w:tcW w:type="dxa" w:w="3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Anthropic Claude API</w:t>
            </w:r>
          </w:p>
        </w:tc>
        <w:tc>
          <w:tcPr>
            <w:tcW w:type="dxa" w:w="4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Classification, analyst opinion, written memos</w:t>
            </w:r>
          </w:p>
        </w:tc>
        <w:tc>
          <w:tcPr>
            <w:tcW w:type="dxa" w:w="2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Usage based, see Section 5</w:t>
            </w:r>
          </w:p>
        </w:tc>
      </w:tr>
    </w:tbl>
    <w:p>
      <w:pPr>
        <w:pStyle w:val="Heading1"/>
      </w:pPr>
      <w:r>
        <w:t xml:space="preserve">5. API Token Usage and Cost Estimate</w:t>
      </w:r>
    </w:p>
    <w:p>
      <w:pPr>
        <w:spacing w:after="120" w:line="276"/>
      </w:pPr>
      <w:r>
        <w:t xml:space="preserve">The scanning, scoring, portfolio construction, journaling, and model training run as local computation and consume no API tokens. The only metered cost is the optional Anthropic large language model usage, which is limited to three jobs: classifying a new ticker, producing an independent analyst opinion on each holding, and writing a deep research memo on demand.</w:t>
      </w:r>
    </w:p>
    <w:p>
      <w:pPr>
        <w:spacing w:after="120" w:line="276"/>
      </w:pPr>
      <w:r>
        <w:t xml:space="preserve">Current Anthropic list prices, confirmed June 2026, are 1.00 dollar input and 5.00 dollars output per million tokens for Claude Haiku 4.5, and 3.00 dollars input and 15.00 dollars output per million tokens for Claude Sonnet 4.6. Output tokens cost five times input across the lineup. Two cost levers apply directly to this workload: the batch API runs the same requests at 50 percent off, and prompt caching cuts repeated context by up to 90 percent.</w:t>
      </w:r>
    </w:p>
    <w:p>
      <w:pPr>
        <w:pStyle w:val="Heading2"/>
      </w:pPr>
      <w:r>
        <w:t xml:space="preserve">5.1 Per operation token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700"/>
        <w:gridCol w:w="1560"/>
        <w:gridCol w:w="1900"/>
      </w:tblGrid>
      <w:tr>
        <w:trPr>
          <w:tblHeader/>
        </w:trP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Operation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Model</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Tokens in / out</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Cost per op</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Typical frequency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Classify a new ticker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Haiku 4.5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1,500 / 300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~$0.003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few per day</w:t>
            </w:r>
          </w:p>
        </w:tc>
      </w:tr>
      <w:tr>
        <w:tc>
          <w:tcPr>
            <w:tcW w:type="dxa" w:w="2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Analyst opinion (per holding)</w:t>
            </w:r>
          </w:p>
        </w:tc>
        <w:tc>
          <w:tcPr>
            <w:tcW w:type="dxa" w:w="1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Haiku 4.5</w:t>
            </w:r>
          </w:p>
        </w:tc>
        <w:tc>
          <w:tcPr>
            <w:tcW w:type="dxa" w:w="1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1,200 / 400</w:t>
            </w:r>
          </w:p>
        </w:tc>
        <w:tc>
          <w:tcPr>
            <w:tcW w:type="dxa" w:w="1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~$0.003</w:t>
            </w:r>
          </w:p>
        </w:tc>
        <w:tc>
          <w:tcPr>
            <w:tcW w:type="dxa" w:w="19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15 per portfolio run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Deep research memo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Sonnet 4.6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50,000 / 5,000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~$0.23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 demand</w:t>
            </w:r>
          </w:p>
        </w:tc>
      </w:tr>
      <w:tr>
        <w:tc>
          <w:tcPr>
            <w:tcW w:type="dxa" w:w="2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Scan, score, build, journal, train</w:t>
            </w:r>
          </w:p>
        </w:tc>
        <w:tc>
          <w:tcPr>
            <w:tcW w:type="dxa" w:w="1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None (local)</w:t>
            </w:r>
          </w:p>
        </w:tc>
        <w:tc>
          <w:tcPr>
            <w:tcW w:type="dxa" w:w="1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0 / 0</w:t>
            </w:r>
          </w:p>
        </w:tc>
        <w:tc>
          <w:tcPr>
            <w:tcW w:type="dxa" w:w="15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$0.00</w:t>
            </w:r>
          </w:p>
        </w:tc>
        <w:tc>
          <w:tcPr>
            <w:tcW w:type="dxa" w:w="19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Continuous</w:t>
            </w:r>
          </w:p>
        </w:tc>
      </w:tr>
    </w:tbl>
    <w:p>
      <w:pPr>
        <w:pStyle w:val="Heading2"/>
      </w:pPr>
      <w:r>
        <w:t xml:space="preserve">5.2 Monthly cost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60"/>
        <w:gridCol w:w="25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Scenario</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What it covers</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Estimated monthly cost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Light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Scheduled runs, daily analyst opinions, a few memos per week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 to $20</w:t>
            </w:r>
          </w:p>
        </w:tc>
      </w:tr>
      <w:tr>
        <w:tc>
          <w:tcPr>
            <w:tcW w:type="dxa" w:w="2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Active (expected)</w:t>
            </w:r>
          </w:p>
        </w:tc>
        <w:tc>
          <w:tcPr>
            <w:tcW w:type="dxa" w:w="48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Three runs per day, analyst on every holding, about 40 memos</w:t>
            </w:r>
          </w:p>
        </w:tc>
        <w:tc>
          <w:tcPr>
            <w:tcW w:type="dxa" w:w="25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sz w:val="20"/>
                <w:szCs w:val="20"/>
              </w:rPr>
              <w:t xml:space="preserve">$25 to $40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Heavy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Frequent deep memos across many names, full analyst coverage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$45 to $60</w:t>
            </w:r>
          </w:p>
        </w:tc>
      </w:tr>
    </w:tbl>
    <w:p>
      <w:pPr>
        <w:spacing w:after="120" w:line="276"/>
      </w:pPr>
      <w:r>
        <w:t xml:space="preserve">These figures use list prices and ignore the batch and caching discounts, so they are deliberately conservative. Applying the batch API alone would cut the metered cost by roughly half.</w:t>
      </w:r>
    </w:p>
    <w:p>
      <w:pPr>
        <w:pStyle w:val="Heading2"/>
      </w:pPr>
      <w:r>
        <w:t xml:space="preserve">5.3 Requested budget</w:t>
      </w:r>
    </w:p>
    <w:p>
      <w:pPr>
        <w:spacing w:after="120" w:line="276"/>
      </w:pPr>
      <w:r>
        <w:t xml:space="preserve">For the capstone window from now through the final presentation on July 29, we request a school funded API budget of 100 to 150 dollars. This comfortably covers the active scenario for the full project with headroom for additional deep research during the build and the presentation rehearsal, and it leaves margin for the heavy scenario in the final weeks. Spend is metered and visible in the Anthropic console, so usage can be capped if needed.</w:t>
      </w:r>
    </w:p>
    <w:p>
      <w:pPr>
        <w:pStyle w:val="Heading1"/>
      </w:pPr>
      <w:r>
        <w:t xml:space="preserve">6. Evaluation and Honest Findings</w:t>
      </w:r>
    </w:p>
    <w:p>
      <w:pPr>
        <w:spacing w:after="120" w:line="276"/>
      </w:pPr>
      <w:r>
        <w:t xml:space="preserve">The platform is deliberately in a propose and journal phase, not a live trading phase, because the measured edge is not yet proven to a quantitative standard. Reporting this honestly is part of the project discipline.</w:t>
      </w:r>
    </w:p>
    <w:p>
      <w:pPr>
        <w:pStyle w:val="ListParagraph"/>
        <w:numPr>
          <w:ilvl w:val="0"/>
          <w:numId w:val="2"/>
        </w:numPr>
        <w:spacing w:after="60" w:line="276"/>
      </w:pPr>
      <w:r>
        <w:rPr>
          <w:b/>
          <w:bCs/>
        </w:rPr>
        <w:t xml:space="preserve">Signal strength is not yet significant. </w:t>
      </w:r>
      <w:r>
        <w:t xml:space="preserve">On the data tested so far the rank information coefficient is small and its t statistic is around 0.5, which is not statistically significant. We do not claim a proven predictive edge today.</w:t>
      </w:r>
    </w:p>
    <w:p>
      <w:pPr>
        <w:pStyle w:val="ListParagraph"/>
        <w:numPr>
          <w:ilvl w:val="0"/>
          <w:numId w:val="2"/>
        </w:numPr>
        <w:spacing w:after="60" w:line="276"/>
      </w:pPr>
      <w:r>
        <w:rPr>
          <w:b/>
          <w:bCs/>
        </w:rPr>
        <w:t xml:space="preserve">The learned model has not beaten the baseline. </w:t>
      </w:r>
      <w:r>
        <w:t xml:space="preserve">An early machine learning model did not outperform the simple strategy baseline, which is a common and expected result early in a quant research program and a reason to keep collecting data.</w:t>
      </w:r>
    </w:p>
    <w:p>
      <w:pPr>
        <w:pStyle w:val="ListParagraph"/>
        <w:numPr>
          <w:ilvl w:val="0"/>
          <w:numId w:val="2"/>
        </w:numPr>
        <w:spacing w:after="60" w:line="276"/>
      </w:pPr>
      <w:r>
        <w:rPr>
          <w:b/>
          <w:bCs/>
        </w:rPr>
        <w:t xml:space="preserve">Large language model signals cannot be back tested cleanly. </w:t>
      </w:r>
      <w:r>
        <w:t xml:space="preserve">Because the language model has a training cutoff, using it inside a historical back test would leak future knowledge. The analyst opinions are therefore evaluated forward only, not retrofitted.</w:t>
      </w:r>
    </w:p>
    <w:p>
      <w:pPr>
        <w:pStyle w:val="ListParagraph"/>
        <w:numPr>
          <w:ilvl w:val="0"/>
          <w:numId w:val="2"/>
        </w:numPr>
        <w:spacing w:after="60" w:line="276"/>
      </w:pPr>
      <w:r>
        <w:rPr>
          <w:b/>
          <w:bCs/>
        </w:rPr>
        <w:t xml:space="preserve">Forward record is being accumulated. </w:t>
      </w:r>
      <w:r>
        <w:t xml:space="preserve">Every proposed portfolio is journaled with entries and stops so realized returns and hit rates can be filled in later and compared across mandates, for example swing versus fast momentum.</w:t>
      </w:r>
    </w:p>
    <w:p>
      <w:pPr>
        <w:spacing w:after="120" w:line="276"/>
      </w:pPr>
      <w:r>
        <w:t xml:space="preserve">In short, the engineering is sound and fully transparent, the construction and risk rules are conservative, and the system is honest about the fact that it has not yet demonstrated a statistically significant edge. That honesty is what makes the forward paper record meaningful.</w:t>
      </w:r>
    </w:p>
    <w:p>
      <w:pPr>
        <w:pStyle w:val="Heading1"/>
      </w:pPr>
      <w:r>
        <w:t xml:space="preserve">7. Clear Ways to Improve the Model</w:t>
      </w:r>
    </w:p>
    <w:p>
      <w:pPr>
        <w:spacing w:after="120" w:line="276"/>
      </w:pPr>
      <w:r>
        <w:t xml:space="preserve">The following improvements are ordered by expected impact on predictive quality and would form the natural next phase of work. Each is concrete and measurable.</w:t>
      </w:r>
    </w:p>
    <w:p>
      <w:pPr>
        <w:pStyle w:val="ListParagraph"/>
        <w:numPr>
          <w:ilvl w:val="0"/>
          <w:numId w:val="3"/>
        </w:numPr>
        <w:spacing w:after="80" w:line="276"/>
      </w:pPr>
      <w:r>
        <w:t xml:space="preserve">Increase breadth to lift the information ratio. By Grinold fundamental law, the information ratio scales with the information coefficient times the square root of the number of independent bets. Scanning the full universe and scoring more names per period raises breadth and is the single most reliable lever available.</w:t>
      </w:r>
    </w:p>
    <w:p>
      <w:pPr>
        <w:pStyle w:val="ListParagraph"/>
        <w:numPr>
          <w:ilvl w:val="0"/>
          <w:numId w:val="3"/>
        </w:numPr>
        <w:spacing w:after="80" w:line="276"/>
      </w:pPr>
      <w:r>
        <w:t xml:space="preserve">Use purged and embargoed walk forward validation. Adopt the Lopez de Prado method of purging overlapping label windows and embargoing the period right after each test fold. This removes the subtle leakage that inflates naive back test results and gives a defensible out of sample number.</w:t>
      </w:r>
    </w:p>
    <w:p>
      <w:pPr>
        <w:pStyle w:val="ListParagraph"/>
        <w:numPr>
          <w:ilvl w:val="0"/>
          <w:numId w:val="3"/>
        </w:numPr>
        <w:spacing w:after="80" w:line="276"/>
      </w:pPr>
      <w:r>
        <w:t xml:space="preserve">Guarantee point in time, survivorship free features. Build every feature from the data as it was known on the filing date, and include delisted names in the historical universe, so the model is never accidentally trained on hindsight.</w:t>
      </w:r>
    </w:p>
    <w:p>
      <w:pPr>
        <w:pStyle w:val="ListParagraph"/>
        <w:numPr>
          <w:ilvl w:val="0"/>
          <w:numId w:val="3"/>
        </w:numPr>
        <w:spacing w:after="80" w:line="276"/>
      </w:pPr>
      <w:r>
        <w:t xml:space="preserve">Add a learned meta model on top of the strategies. Layer an unsupervised regime discovery step (for example a hidden Markov or mixture model over market states) feeding a supervised learner such as gradient boosting or TabPFN that learns when to trust each strategy, rather than using fixed regime tilts.</w:t>
      </w:r>
    </w:p>
    <w:p>
      <w:pPr>
        <w:pStyle w:val="ListParagraph"/>
        <w:numPr>
          <w:ilvl w:val="0"/>
          <w:numId w:val="3"/>
        </w:numPr>
        <w:spacing w:after="80" w:line="276"/>
      </w:pPr>
      <w:r>
        <w:t xml:space="preserve">Add a modern time series model as a peer strategy. Introduce a sequence model such as a temporal transformer as one additional voting strategy, evaluated by the same information coefficient test, so it competes on equal footing rather than replacing the framework.</w:t>
      </w:r>
    </w:p>
    <w:p>
      <w:pPr>
        <w:pStyle w:val="ListParagraph"/>
        <w:numPr>
          <w:ilvl w:val="0"/>
          <w:numId w:val="3"/>
        </w:numPr>
        <w:spacing w:after="80" w:line="276"/>
      </w:pPr>
      <w:r>
        <w:t xml:space="preserve">Model transaction costs and slippage realistically. Apply realistic spread and impact assumptions in the back test so that any apparent edge survives the cost of trading, which is where many paper strategies fail.</w:t>
      </w:r>
    </w:p>
    <w:p>
      <w:pPr>
        <w:pStyle w:val="ListParagraph"/>
        <w:numPr>
          <w:ilvl w:val="0"/>
          <w:numId w:val="3"/>
        </w:numPr>
        <w:spacing w:after="80" w:line="276"/>
      </w:pPr>
      <w:r>
        <w:t xml:space="preserve">Make portfolio construction correlation aware. Add a correlation and concentration check and a drawdown kill switch so the book does not unknowingly hold one bet expressed across several tickers.</w:t>
      </w:r>
    </w:p>
    <w:p>
      <w:pPr>
        <w:pStyle w:val="ListParagraph"/>
        <w:numPr>
          <w:ilvl w:val="0"/>
          <w:numId w:val="3"/>
        </w:numPr>
        <w:spacing w:after="80" w:line="276"/>
      </w:pPr>
      <w:r>
        <w:t xml:space="preserve">Improve data quality controls. Add automatic outlier and stale price checks to catch the occasional bad print before it reaches a score or a chart.</w:t>
      </w:r>
    </w:p>
    <w:p>
      <w:pPr>
        <w:pStyle w:val="ListParagraph"/>
        <w:numPr>
          <w:ilvl w:val="0"/>
          <w:numId w:val="3"/>
        </w:numPr>
        <w:spacing w:after="80" w:line="276"/>
      </w:pPr>
      <w:r>
        <w:t xml:space="preserve">Tune conviction to size mapping. Calibrate how conviction maps to position size against the realized journal so that higher conviction names are sized in proportion to their actual forward edge.</w:t>
      </w:r>
    </w:p>
    <w:p>
      <w:pPr>
        <w:pStyle w:val="ListParagraph"/>
        <w:numPr>
          <w:ilvl w:val="0"/>
          <w:numId w:val="3"/>
        </w:numPr>
        <w:spacing w:after="80" w:line="276"/>
      </w:pPr>
      <w:r>
        <w:t xml:space="preserve">Treat the analyst opinion as a measured feature. Once enough forward runs accumulate, test whether the language model second opinion adds information beyond the strategies, and weight it only if it earns its place.</w:t>
      </w:r>
    </w:p>
    <w:p>
      <w:pPr>
        <w:pStyle w:val="Heading1"/>
      </w:pPr>
      <w:r>
        <w:t xml:space="preserve">8. Limitations and Compliance</w:t>
      </w:r>
    </w:p>
    <w:p>
      <w:pPr>
        <w:pStyle w:val="ListParagraph"/>
        <w:numPr>
          <w:ilvl w:val="0"/>
          <w:numId w:val="2"/>
        </w:numPr>
        <w:spacing w:after="60" w:line="276"/>
      </w:pPr>
      <w:r>
        <w:rPr>
          <w:b/>
          <w:bCs/>
        </w:rPr>
        <w:t xml:space="preserve">Educational use only. </w:t>
      </w:r>
      <w:r>
        <w:t xml:space="preserve">Outputs are for research and learning. They are not financial advice and carry no guarantee of returns.</w:t>
      </w:r>
    </w:p>
    <w:p>
      <w:pPr>
        <w:pStyle w:val="ListParagraph"/>
        <w:numPr>
          <w:ilvl w:val="0"/>
          <w:numId w:val="2"/>
        </w:numPr>
        <w:spacing w:after="60" w:line="276"/>
      </w:pPr>
      <w:r>
        <w:rPr>
          <w:b/>
          <w:bCs/>
        </w:rPr>
        <w:t xml:space="preserve">No execution. </w:t>
      </w:r>
      <w:r>
        <w:t xml:space="preserve">The platform never places orders or moves money. The human reviews each proposal and acts independently through their own brokerage.</w:t>
      </w:r>
    </w:p>
    <w:p>
      <w:pPr>
        <w:pStyle w:val="ListParagraph"/>
        <w:numPr>
          <w:ilvl w:val="0"/>
          <w:numId w:val="2"/>
        </w:numPr>
        <w:spacing w:after="60" w:line="276"/>
      </w:pPr>
      <w:r>
        <w:rPr>
          <w:b/>
          <w:bCs/>
        </w:rPr>
        <w:t xml:space="preserve">Licensed data only. </w:t>
      </w:r>
      <w:r>
        <w:t xml:space="preserve">The system uses free and licensed endpoints. It does not scrape paywalled or terms restricted sites for prices, news, or book content.</w:t>
      </w:r>
    </w:p>
    <w:p>
      <w:pPr>
        <w:pStyle w:val="ListParagraph"/>
        <w:numPr>
          <w:ilvl w:val="0"/>
          <w:numId w:val="2"/>
        </w:numPr>
        <w:spacing w:after="60" w:line="276"/>
      </w:pPr>
      <w:r>
        <w:rPr>
          <w:b/>
          <w:bCs/>
        </w:rPr>
        <w:t xml:space="preserve">Secrets are protected. </w:t>
      </w:r>
      <w:r>
        <w:t xml:space="preserve">API keys are stored in the user keychain or a local environment file that is excluded from version control, and they are never printed or saved into outputs.</w:t>
      </w:r>
    </w:p>
    <w:p>
      <w:pPr>
        <w:pStyle w:val="ListParagraph"/>
        <w:numPr>
          <w:ilvl w:val="0"/>
          <w:numId w:val="2"/>
        </w:numPr>
        <w:spacing w:after="60" w:line="276"/>
      </w:pPr>
      <w:r>
        <w:rPr>
          <w:b/>
          <w:bCs/>
        </w:rPr>
        <w:t xml:space="preserve">Unproven edge. </w:t>
      </w:r>
      <w:r>
        <w:t xml:space="preserve">As stated in Section 6, the predictive edge is not yet statistically established, which is precisely why the system is restricted to paper proposals.</w:t>
      </w:r>
    </w:p>
    <w:p>
      <w:pPr>
        <w:pStyle w:val="Heading1"/>
      </w:pPr>
      <w:r>
        <w:t xml:space="preserve">9. Summary and Request</w:t>
      </w:r>
    </w:p>
    <w:p>
      <w:pPr>
        <w:spacing w:after="120" w:line="276"/>
      </w:pPr>
      <w:r>
        <w:t xml:space="preserve">OROS is a working, transparent, multi agent research platform that scans the entire US market, reasons through several established frameworks, and proposes a risk managed portfolio while never trading on its own. It runs on free data, so its only metered cost is a modest amount of Anthropic language model usage estimated at 25 to 40 dollars per month for the expected workload.</w:t>
      </w:r>
    </w:p>
    <w:p>
      <w:pPr>
        <w:spacing w:after="120" w:line="276"/>
      </w:pPr>
      <w:r>
        <w:t xml:space="preserve">We request a school funded API budget of 100 to 150 dollars to cover the capstone through the July 29 presentation. The improvement plan in Section 7 sets the path from a transparent prototype toward a statistically defensible research model, and the forward journal keeps the project honest along the way.</w:t>
      </w:r>
    </w:p>
    <w:p>
      <w:pPr>
        <w:pBdr>
          <w:top w:val="single" w:color="CCCCCC" w:sz="6" w:space="6"/>
        </w:pBdr>
        <w:spacing w:before="240"/>
      </w:pPr>
      <w:r>
        <w:rPr>
          <w:b/>
          <w:bCs/>
          <w:color w:val="595959"/>
          <w:sz w:val="18"/>
          <w:szCs w:val="18"/>
        </w:rPr>
        <w:t xml:space="preserve">Pricing reference: </w:t>
      </w:r>
      <w:r>
        <w:rPr>
          <w:color w:val="595959"/>
          <w:sz w:val="18"/>
          <w:szCs w:val="18"/>
        </w:rPr>
        <w:t xml:space="preserve">Anthropic Claude API pricing, confirmed June 2026 (Haiku 4.5, Sonnet 4.6, Opus 4.8). List prices subject to change; actual spend is metered in the Anthropic console.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Educational and research use only. Not financial advice.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color w:val="595959"/>
        <w:sz w:val="16"/>
        <w:szCs w:val="16"/>
      </w:rPr>
      <w:t xml:space="preserve">OROS Stock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OROS Stock Analysis Platform</dc:title>
  <dc:creator>JP Romero</dc:creator>
  <cp:lastModifiedBy>Un-named</cp:lastModifiedBy>
  <cp:revision>1</cp:revision>
  <dcterms:created xsi:type="dcterms:W3CDTF">2026-06-22T05:55:17.887Z</dcterms:created>
  <dcterms:modified xsi:type="dcterms:W3CDTF">2026-06-22T05:55:17.888Z</dcterms:modified>
</cp:coreProperties>
</file>

<file path=docProps/custom.xml><?xml version="1.0" encoding="utf-8"?>
<Properties xmlns="http://schemas.openxmlformats.org/officeDocument/2006/custom-properties" xmlns:vt="http://schemas.openxmlformats.org/officeDocument/2006/docPropsVTypes"/>
</file>