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doc_index="1">
      <w:pPr>
        <w:pStyle w:val="Subtitle"/>
      </w:pPr>
      <w:r w:run_index="1">
        <w:drawing w:run_content_index="1">
          <wp:inline>
            <wp:extent cx="1828800" cy="609600"/>
            <wp:effectExtent b="0" l="0" r="0" t="0"/>
            <wp:docPr descr="" title="" id="19" name="Picture"/>
            <a:graphic>
              <a:graphicData uri="http://schemas.openxmlformats.org/drawingml/2006/picture">
                <pic:pic>
                  <pic:nvPicPr>
                    <pic:cNvPr descr="assets/logo.png" id="20" name="Picture"/>
                    <pic:cNvPicPr>
                      <a:picLocks noChangeArrowheads="1" noChangeAspect="1"/>
                    </pic:cNvPicPr>
                  </pic:nvPicPr>
                  <pic:blipFill>
                    <a:blip r:embed="rId18"/>
                    <a:stretch>
                      <a:fillRect/>
                    </a:stretch>
                  </pic:blipFill>
                  <pic:spPr bwMode="auto">
                    <a:xfrm>
                      <a:off x="0" y="0"/>
                      <a:ext cx="1828800" cy="609600"/>
                    </a:xfrm>
                    <a:prstGeom prst="rect">
                      <a:avLst/>
                    </a:prstGeom>
                    <a:noFill/>
                    <a:ln w="9525">
                      <a:noFill/>
                      <a:headEnd/>
                      <a:tailEnd/>
                    </a:ln>
                  </pic:spPr>
                </pic:pic>
              </a:graphicData>
            </a:graphic>
          </wp:inline>
        </w:drawing>
      </w:r>
    </w:p>
    <w:p w:doc_index="2">
      <w:pPr>
        <w:pStyle w:val="Subtitle"/>
      </w:pPr>
      <w:r w:run_index="2">
        <w:t xml:space="preserve" w:run_content_index="2">MODELING ANALYSIS REPORT</w:t>
      </w:r>
    </w:p>
    <w:p w:doc_index="3">
      <w:pPr>
        <w:pStyle w:val="Title"/>
      </w:pPr>
      <w:r w:run_index="3">
        <w:t xml:space="preserve" w:run_content_index="3">Population Pharmacokinetics of Theophylline</w:t>
      </w:r>
    </w:p>
    <w:p w:doc_index="4">
      <w:pPr>
        <w:pStyle w:val="Heading1"/>
        <w:spacing w:before="0" w:after="0" w:line="20" w:lineRule="exact"/>
      </w:pPr>
      <w:r w:run_index="4">
        <w:rPr>
          <w:sz w:val="2"/>
          <w:szCs w:val="2"/>
          <w:color w:val="FFFFFF"/>
        </w:rPr>
        <w:t xml:space="preserve" w:run_content_index="4">Title Page</w:t>
      </w:r>
    </w:p>
    <w:p w:doc_index="5">
      <w:pPr>
        <w:pStyle w:val="Subtitle"/>
      </w:pPr>
      <w:r w:run_index="5">
        <w:t xml:space="preserve" w:run_content_index="5">Demonstration Report</w:t>
      </w:r>
    </w:p>
    <w:p w:doc_index="6">
      <w:pPr>
        <w:pBdr>
          <w:top w:val="single" w:sz="8" w:space="6" w:color="000000"/>
          <w:left w:val="single" w:sz="8" w:space="6" w:color="000000"/>
          <w:bottom w:val="single" w:sz="8" w:space="6" w:color="000000"/>
          <w:right w:val="single" w:sz="8" w:space="6" w:color="000000"/>
        </w:pBdr>
        <w:jc w:val="center"/>
        <w:spacing w:before="120" w:after="240"/>
      </w:pPr>
      <w:r w:run_index="6">
        <w:rPr>
          <w:b/>
        </w:rPr>
        <w:t xml:space="preserve" w:run_content_index="6">FINAL</w:t>
      </w:r>
    </w:p>
    <w:p w:doc_index="7"/>
    <w:tbl w:table_index="1">
      <w:tblPr>
        <w:tblStyle w:val="TableNormal"/>
        <w:tblW w:w="5000" w:type="pct"/>
        <w:tblLook w:val="0000" w:firstRow="0" w:lastRow="0" w:firstColumn="0" w:lastColumn="0" w:noHBand="0" w:noVBand="1"/>
      </w:tblPr>
      <w:tblGrid>
        <w:gridCol/>
        <w:gridCol/>
      </w:tblGrid>
      <w:tr w:tr_index="1">
        <w:tc w:tc_index="1">
          <w:tcPr>
            <w:tcW w:w="1500" w:type="pct"/>
          </w:tcPr>
          <w:p w:doc_index="8">
            <w:pPr>
              <w:jc w:val="left"/>
            </w:pPr>
            <w:r w:run_index="7">
              <w:rPr>
                <w:b/>
              </w:rPr>
              <w:t xml:space="preserve" w:run_content_index="7">Date</w:t>
            </w:r>
          </w:p>
        </w:tc>
        <w:tc w:tc_index="2">
          <w:tcPr>
            <w:tcW w:w="3500" w:type="pct"/>
          </w:tcPr>
          <w:p w:doc_index="9">
            <w:pPr>
              <w:jc w:val="left"/>
            </w:pPr>
            <w:r w:run_index="8">
              <w:t xml:space="preserve" w:run_content_index="8">2026-08-11</w:t>
            </w:r>
          </w:p>
        </w:tc>
      </w:tr>
      <w:tr w:tr_index="2">
        <w:tc w:tc_index="3">
          <w:tcPr>
            <w:tcW w:w="1500" w:type="pct"/>
          </w:tcPr>
          <w:p w:doc_index="10">
            <w:pPr>
              <w:jc w:val="left"/>
            </w:pPr>
            <w:r w:run_index="9">
              <w:rPr>
                <w:b/>
              </w:rPr>
              <w:t xml:space="preserve" w:run_content_index="9">Lead Scientist</w:t>
            </w:r>
          </w:p>
        </w:tc>
        <w:tc w:tc_index="4">
          <w:tcPr>
            <w:tcW w:w="3500" w:type="pct"/>
          </w:tcPr>
          <w:p w:doc_index="11">
            <w:pPr>
              <w:jc w:val="left"/>
            </w:pPr>
            <w:r w:run_index="10">
              <w:t xml:space="preserve" w:run_content_index="10">Jane Doe, PharmD</w:t>
            </w:r>
          </w:p>
        </w:tc>
      </w:tr>
      <w:tr w:tr_index="3">
        <w:tc w:tc_index="5">
          <w:tcPr>
            <w:tcW w:w="1500" w:type="pct"/>
          </w:tcPr>
          <w:p w:doc_index="12">
            <w:pPr>
              <w:jc w:val="left"/>
            </w:pPr>
            <w:r w:run_index="11">
              <w:rPr>
                <w:b/>
              </w:rPr>
              <w:t xml:space="preserve" w:run_content_index="11">Version</w:t>
            </w:r>
          </w:p>
        </w:tc>
        <w:tc w:tc_index="6">
          <w:tcPr>
            <w:tcW w:w="3500" w:type="pct"/>
          </w:tcPr>
          <w:p w:doc_index="13">
            <w:pPr>
              <w:jc w:val="left"/>
            </w:pPr>
            <w:r w:run_index="12">
              <w:t xml:space="preserve" w:run_content_index="12">1.0</w:t>
            </w:r>
          </w:p>
        </w:tc>
      </w:tr>
      <w:tr w:tr_index="4">
        <w:tc w:tc_index="7">
          <w:tcPr>
            <w:tcW w:w="1500" w:type="pct"/>
          </w:tcPr>
          <w:p w:doc_index="14">
            <w:pPr>
              <w:jc w:val="left"/>
            </w:pPr>
            <w:r w:run_index="13">
              <w:rPr>
                <w:b/>
              </w:rPr>
              <w:t xml:space="preserve" w:run_content_index="13">Confidentiality</w:t>
            </w:r>
          </w:p>
        </w:tc>
        <w:tc w:tc_index="8">
          <w:tcPr>
            <w:tcW w:w="3500" w:type="pct"/>
          </w:tcPr>
          <w:p w:doc_index="15">
            <w:pPr>
              <w:jc w:val="left"/>
            </w:pPr>
            <w:r w:run_index="14">
              <w:t xml:space="preserve" w:run_content_index="14">Confidential — Do Not Distribute</w:t>
            </w:r>
          </w:p>
        </w:tc>
      </w:tr>
      <w:tr w:tr_index="5">
        <w:tc w:tc_index="9">
          <w:tcPr>
            <w:tcW w:w="1500" w:type="pct"/>
          </w:tcPr>
          <w:p w:doc_index="16">
            <w:pPr>
              <w:jc w:val="left"/>
            </w:pPr>
            <w:r w:run_index="15">
              <w:rPr>
                <w:b/>
              </w:rPr>
              <w:t xml:space="preserve" w:run_content_index="15">Address</w:t>
            </w:r>
          </w:p>
        </w:tc>
        <w:tc w:tc_index="10">
          <w:tcPr>
            <w:tcW w:w="3500" w:type="pct"/>
          </w:tcPr>
          <w:p w:doc_index="17">
            <w:pPr>
              <w:jc w:val="left"/>
            </w:pPr>
            <w:r w:run_index="16">
              <w:t xml:space="preserve" w:run_content_index="16">quartifyr Demo Sponsor</w:t>
              <w:br w:run_content_index="17"/>
              <w:t xml:space="preserve" w:run_content_index="18">123 Research Parkway, Suite 400</w:t>
              <w:br w:run_content_index="19"/>
              <w:t xml:space="preserve" w:run_content_index="20">Raleigh, NC 27609</w:t>
            </w:r>
          </w:p>
        </w:tc>
      </w:tr>
      <w:tr w:tr_index="6">
        <w:tc w:tc_index="11">
          <w:tcPr>
            <w:tcW w:w="1500" w:type="pct"/>
          </w:tcPr>
          <w:p w:doc_index="18">
            <w:pPr>
              <w:jc w:val="left"/>
            </w:pPr>
            <w:r w:run_index="17">
              <w:rPr>
                <w:b/>
              </w:rPr>
              <w:t xml:space="preserve" w:run_content_index="21">Sponsor</w:t>
            </w:r>
          </w:p>
        </w:tc>
        <w:tc w:tc_index="12">
          <w:tcPr>
            <w:tcW w:w="3500" w:type="pct"/>
          </w:tcPr>
          <w:p w:doc_index="19">
            <w:pPr>
              <w:jc w:val="left"/>
            </w:pPr>
            <w:r w:run_index="18">
              <w:t xml:space="preserve" w:run_content_index="22">quartifyr Demo Sponsor</w:t>
            </w:r>
          </w:p>
        </w:tc>
      </w:tr>
      <w:tr w:tr_index="7">
        <w:tc w:tc_index="13">
          <w:tcPr>
            <w:tcW w:w="1500" w:type="pct"/>
          </w:tcPr>
          <w:p w:doc_index="20">
            <w:pPr>
              <w:jc w:val="left"/>
            </w:pPr>
            <w:r w:run_index="19">
              <w:rPr>
                <w:b/>
              </w:rPr>
              <w:t xml:space="preserve" w:run_content_index="23">Report Number</w:t>
            </w:r>
          </w:p>
        </w:tc>
        <w:tc w:tc_index="14">
          <w:tcPr>
            <w:tcW w:w="3500" w:type="pct"/>
          </w:tcPr>
          <w:p w:doc_index="21">
            <w:pPr>
              <w:jc w:val="left"/>
            </w:pPr>
            <w:r w:run_index="20">
              <w:t xml:space="preserve" w:run_content_index="24">RPT-2026-014</w:t>
            </w:r>
          </w:p>
        </w:tc>
      </w:tr>
    </w:tbl>
    <w:p w:doc_index="22">
      <w:r w:run_index="21">
        <w:br w:type="page" w:run_content_index="25"/>
      </w:r>
    </w:p>
    <w:p w:doc_index="23">
      <w:pPr>
        <w:sectPr w:rsidR="00FC693F" w:rsidRPr="0006063C" w:rsidSect="00034616">
          <w:headerReference w:type="default" r:id="rId1"/>
          <w:footerReference w:type="default" r:id="rId4"/>
          <w:pgSz w:h="15840" w:w="12240"/>
          <w:pgMar w:bottom="1440" w:footer="720" w:gutter="0" w:header="720" w:left="1440" w:right="1440" w:top="1440"/>
          <w:cols w:space="720"/>
          <w:docGrid w:linePitch="360"/>
          <w:pgNumType w:start="1" w:fmt="lowerRoman"/>
        </w:sectPr>
      </w:pPr>
      <w:bookmarkStart w:id="800002" w:name="quartifyr-front-matter-start"/>
      <w:bookmarkEnd w:id="800002"/>
    </w:p>
    <w:p w:doc_index="24">
      <w:pPr>
        <w:pStyle w:val="Heading1"/>
      </w:pPr>
      <w:r w:run_index="22">
        <w:t xml:space="preserve" w:run_content_index="26">Signatures</w:t>
      </w:r>
    </w:p>
    <w:p w:doc_index="25">
      <w:pPr>
        <w:spacing w:before="240" w:after="120"/>
      </w:pPr>
      <w:r w:run_index="23">
        <w:rPr>
          <w:b/>
          <w:sz w:val="26"/>
        </w:rPr>
        <w:t xml:space="preserve" w:run_content_index="27">Contributors</w:t>
      </w:r>
    </w:p>
    <w:tbl w:table_index="2">
      <w:tblPr>
        <w:tblStyle w:val="TableGrid"/>
        <w:tblW w:w="5000" w:type="pct"/>
        <w:tblLook w:val="04A0" w:firstRow="0" w:lastRow="0" w:firstColumn="0" w:lastColumn="0" w:noHBand="0" w:noVBand="1"/>
      </w:tblPr>
      <w:tblGrid>
        <w:gridCol/>
        <w:gridCol/>
      </w:tblGrid>
      <w:tr w:tr_index="8">
        <w:trPr>
          <w:trHeight w:val="720" w:hRule="atLeast"/>
        </w:trPr>
        <w:tc w:tc_index="15">
          <w:tcPr>
            <w:tcW w:w="3750" w:type="pct"/>
          </w:tcPr>
          <w:p w:doc_index="26"/>
        </w:tc>
        <w:tc w:tc_index="16">
          <w:tcPr>
            <w:tcW w:w="1250" w:type="pct"/>
            <w:vMerge w:val="restart"/>
            <w:vAlign w:val="center"/>
          </w:tcPr>
          <w:p w:doc_index="27">
            <w:pPr>
              <w:jc w:val="center"/>
            </w:pPr>
            <w:r w:run_index="24">
              <w:rPr>
                <w:b/>
              </w:rPr>
              <w:t xml:space="preserve" w:run_content_index="28">Author</w:t>
            </w:r>
          </w:p>
        </w:tc>
      </w:tr>
      <w:tr w:tr_index="9">
        <w:tc w:tc_index="17">
          <w:tcPr>
            <w:tcW w:w="3750" w:type="pct"/>
          </w:tcPr>
          <w:p w:doc_index="28">
            <w:r w:run_index="25">
              <w:t xml:space="preserve" w:run_content_index="29">Jane Doe, PharmD</w:t>
            </w:r>
          </w:p>
        </w:tc>
        <w:tc w:tc_index="18">
          <w:tcPr>
            <w:tcW w:w="1250" w:type="pct"/>
            <w:vMerge/>
          </w:tcPr>
          <w:p w:doc_index="29"/>
        </w:tc>
      </w:tr>
      <w:tr w:tr_index="10">
        <w:tc w:tc_index="19">
          <w:tcPr>
            <w:tcW w:w="3750" w:type="pct"/>
          </w:tcPr>
          <w:p w:doc_index="30">
            <w:r w:run_index="26">
              <w:rPr>
                <w:i/>
              </w:rPr>
              <w:t xml:space="preserve" w:run_content_index="30">Lead Scientist</w:t>
            </w:r>
          </w:p>
        </w:tc>
        <w:tc w:tc_index="20">
          <w:tcPr>
            <w:tcW w:w="1250" w:type="pct"/>
            <w:vMerge/>
          </w:tcPr>
          <w:p w:doc_index="31"/>
        </w:tc>
      </w:tr>
    </w:tbl>
    <w:p w:doc_index="32"/>
    <w:tbl w:table_index="3">
      <w:tblPr>
        <w:tblStyle w:val="TableGrid"/>
        <w:tblW w:w="5000" w:type="pct"/>
        <w:tblLook w:val="04A0" w:firstRow="0" w:lastRow="0" w:firstColumn="0" w:lastColumn="0" w:noHBand="0" w:noVBand="1"/>
      </w:tblPr>
      <w:tblGrid>
        <w:gridCol/>
        <w:gridCol/>
      </w:tblGrid>
      <w:tr w:tr_index="11">
        <w:trPr>
          <w:trHeight w:val="720" w:hRule="atLeast"/>
        </w:trPr>
        <w:tc w:tc_index="21">
          <w:tcPr>
            <w:tcW w:w="3750" w:type="pct"/>
          </w:tcPr>
          <w:p w:doc_index="33"/>
        </w:tc>
        <w:tc w:tc_index="22">
          <w:tcPr>
            <w:tcW w:w="1250" w:type="pct"/>
            <w:vMerge w:val="restart"/>
            <w:vAlign w:val="center"/>
          </w:tcPr>
          <w:p w:doc_index="34">
            <w:pPr>
              <w:jc w:val="center"/>
            </w:pPr>
            <w:r w:run_index="27">
              <w:rPr>
                <w:b/>
              </w:rPr>
              <w:t xml:space="preserve" w:run_content_index="31">Reviewer</w:t>
            </w:r>
          </w:p>
        </w:tc>
      </w:tr>
      <w:tr w:tr_index="12">
        <w:tc w:tc_index="23">
          <w:tcPr>
            <w:tcW w:w="3750" w:type="pct"/>
          </w:tcPr>
          <w:p w:doc_index="35">
            <w:r w:run_index="28">
              <w:t xml:space="preserve" w:run_content_index="32">John Smith, PhD</w:t>
            </w:r>
          </w:p>
        </w:tc>
        <w:tc w:tc_index="24">
          <w:tcPr>
            <w:tcW w:w="1250" w:type="pct"/>
            <w:vMerge/>
          </w:tcPr>
          <w:p w:doc_index="36"/>
        </w:tc>
      </w:tr>
      <w:tr w:tr_index="13">
        <w:tc w:tc_index="25">
          <w:tcPr>
            <w:tcW w:w="3750" w:type="pct"/>
          </w:tcPr>
          <w:p w:doc_index="37">
            <w:r w:run_index="29">
              <w:rPr>
                <w:i/>
              </w:rPr>
              <w:t xml:space="preserve" w:run_content_index="33">Senior Biostatistician</w:t>
            </w:r>
          </w:p>
        </w:tc>
        <w:tc w:tc_index="26">
          <w:tcPr>
            <w:tcW w:w="1250" w:type="pct"/>
            <w:vMerge/>
          </w:tcPr>
          <w:p w:doc_index="38"/>
        </w:tc>
      </w:tr>
    </w:tbl>
    <w:p w:doc_index="39"/>
    <w:p w:doc_index="40">
      <w:pPr>
        <w:spacing w:before="240" w:after="120"/>
      </w:pPr>
      <w:r w:run_index="30">
        <w:rPr>
          <w:b/>
          <w:sz w:val="26"/>
        </w:rPr>
        <w:t xml:space="preserve" w:run_content_index="34">Approvers</w:t>
      </w:r>
    </w:p>
    <w:tbl w:table_index="4">
      <w:tblPr>
        <w:tblStyle w:val="TableGrid"/>
        <w:tblW w:w="5000" w:type="pct"/>
        <w:tblLook w:val="04A0" w:firstRow="0" w:lastRow="0" w:firstColumn="0" w:lastColumn="0" w:noHBand="0" w:noVBand="1"/>
      </w:tblPr>
      <w:tblGrid>
        <w:gridCol/>
        <w:gridCol/>
      </w:tblGrid>
      <w:tr w:tr_index="14">
        <w:trPr>
          <w:trHeight w:val="720" w:hRule="atLeast"/>
        </w:trPr>
        <w:tc w:tc_index="27">
          <w:tcPr>
            <w:tcW w:w="3750" w:type="pct"/>
          </w:tcPr>
          <w:p w:doc_index="41"/>
        </w:tc>
        <w:tc w:tc_index="28">
          <w:tcPr>
            <w:tcW w:w="1250" w:type="pct"/>
            <w:vMerge w:val="restart"/>
            <w:vAlign w:val="center"/>
          </w:tcPr>
          <w:p w:doc_index="42">
            <w:pPr>
              <w:jc w:val="center"/>
            </w:pPr>
            <w:r w:run_index="31">
              <w:rPr>
                <w:b/>
              </w:rPr>
              <w:t xml:space="preserve" w:run_content_index="35">Medical Director</w:t>
            </w:r>
          </w:p>
        </w:tc>
      </w:tr>
      <w:tr w:tr_index="15">
        <w:tc w:tc_index="29">
          <w:tcPr>
            <w:tcW w:w="3750" w:type="pct"/>
          </w:tcPr>
          <w:p w:doc_index="43">
            <w:r w:run_index="32">
              <w:t xml:space="preserve" w:run_content_index="36">Alice Lee, MD</w:t>
            </w:r>
          </w:p>
        </w:tc>
        <w:tc w:tc_index="30">
          <w:tcPr>
            <w:tcW w:w="1250" w:type="pct"/>
            <w:vMerge/>
          </w:tcPr>
          <w:p w:doc_index="44"/>
        </w:tc>
      </w:tr>
    </w:tbl>
    <w:p w:doc_index="45"/>
    <w:p w:doc_index="46">
      <w:r w:run_index="33">
        <w:br w:type="page" w:run_content_index="37"/>
      </w:r>
    </w:p>
    <w:p w:doc_index="47">
      <w:pPr>
        <w:pStyle w:val="Heading1"/>
      </w:pPr>
      <w:r w:run_index="34">
        <w:t xml:space="preserve" w:run_content_index="38">Synopsis</w:t>
      </w:r>
    </w:p>
    <w:p w:doc_index="48">
      <w:pPr>
        <w:pStyle w:val="SynopsisLabel"/>
      </w:pPr>
      <w:r w:run_index="35">
        <w:rPr>
          <w:rStyle w:val="SynopsisInlineLabel"/>
          <w:b/>
        </w:rPr>
        <w:t xml:space="preserve" w:run_content_index="39">Title:</w:t>
      </w:r>
      <w:r w:run_index="36">
        <w:rPr>
          <w:b w:val="0"/>
        </w:rPr>
        <w:t xml:space="preserve" w:run_content_index="40">  Population Pharmacokinetics of Theophylline</w:t>
      </w:r>
    </w:p>
    <w:p w:doc_index="49">
      <w:pPr>
        <w:pStyle w:val="SynopsisLabel"/>
      </w:pPr>
      <w:r w:run_index="37">
        <w:rPr>
          <w:rStyle w:val="SynopsisInlineLabel"/>
          <w:b/>
        </w:rPr>
        <w:t xml:space="preserve" w:run_content_index="41">Objectives:</w:t>
      </w:r>
      <w:r w:run_index="38">
        <w:rPr>
          <w:b w:val="0"/>
        </w:rPr>
        <w:t xml:space="preserve" w:run_content_index="42">  To characterize the pharmacokinetics of theophylline following oral administration.</w:t>
      </w:r>
    </w:p>
    <w:p w:doc_index="50">
      <w:pPr>
        <w:pStyle w:val="SynopsisLabel"/>
      </w:pPr>
      <w:r w:run_index="39">
        <w:rPr>
          <w:rStyle w:val="SynopsisInlineLabel"/>
          <w:b/>
        </w:rPr>
        <w:t xml:space="preserve" w:run_content_index="43">Methods:</w:t>
      </w:r>
      <w:r w:run_index="40">
        <w:rPr>
          <w:b w:val="0"/>
        </w:rPr>
        <w:t xml:space="preserve" w:run_content_index="44">  Individual concentration-time profiles were summarized descriptively from the built-in Theoph dataset; no model-based estimation was performed for this demonstration report.</w:t>
      </w:r>
    </w:p>
    <w:p w:doc_index="51">
      <w:pPr>
        <w:pStyle w:val="SynopsisLabel"/>
      </w:pPr>
      <w:r w:run_index="41">
        <w:rPr>
          <w:rStyle w:val="SynopsisInlineLabel"/>
          <w:b/>
        </w:rPr>
        <w:t xml:space="preserve" w:run_content_index="45">Results:</w:t>
      </w:r>
      <w:r w:run_index="42">
        <w:rPr>
          <w:b w:val="0"/>
        </w:rPr>
        <w:t xml:space="preserve" w:run_content_index="46">  Peak concentrations and inter-participant variability are summarized in Table 1 and Figure 1. Individual profiles show wide variability in both peak concentration and time to peak across participants, consistent with typical oral absorption variability for this compound.</w:t>
      </w:r>
    </w:p>
    <w:p w:doc_index="52">
      <w:pPr>
        <w:pStyle w:val="SynopsisValue"/>
        <w:ind w:left="0"/>
      </w:pPr>
      <w:r w:run_index="43">
        <w:t xml:space="preserve" w:run_content_index="47">The synopsis figure below is a duplicate rendering of that same concentration-time profile – demonstrating multi-line values with an embedded figure, not a numbered figure of its own (it’s excluded from the List of Figures, unlike Figure 1 in the body). It’s a separate saved copy (conc-time-synopsis.png) rather than a second reference to conc-time.png, since reportifyr dedupes figure metadata footnotes by filename document-wide and Figure 1’s own footnote should win that dedup, not the synopsis preview’s.</w:t>
      </w:r>
    </w:p>
    <w:p>
      <w:pPr>
        <w:jc w:val="center"/>
      </w:pPr>
      <w:r>
        <w:drawing>
          <wp:inline>
            <wp:extent cx="3657600" cy="2438400"/>
            <wp:docPr id="22" name="Picture 22" descr="{rpfy}:conc-time-synopsis.png&lt;width: 4&gt; [hash:4ccc1a256f3997dfff3ac476e6012db9399bcb75412f338b44e51c78d77e28f3]"/>
            <wp:cNvGraphicFramePr>
              <a:graphicFrameLocks noChangeAspect="1"/>
            </wp:cNvGraphicFramePr>
            <a:graphic>
              <a:graphicData uri="http://schemas.openxmlformats.org/drawingml/2006/picture">
                <pic:pic>
                  <pic:nvPicPr>
                    <pic:cNvPr id="0" name="conc-time.png"/>
                    <pic:cNvPicPr/>
                  </pic:nvPicPr>
                  <pic:blipFill>
                    <a:blip r:embed="rId6"/>
                    <a:stretch>
                      <a:fillRect/>
                    </a:stretch>
                  </pic:blipFill>
                  <pic:spPr>
                    <a:xfrm>
                      <a:off x="0" y="0"/>
                      <a:ext cx="3657600" cy="2438400"/>
                    </a:xfrm>
                    <a:prstGeom prst="rect"/>
                  </pic:spPr>
                </pic:pic>
              </a:graphicData>
            </a:graphic>
          </wp:inline>
        </w:drawing>
      </w:r>
    </w:p>
    <w:p>
      <w:r>
        <w:rPr>
          <w:rFonts w:ascii="Times New Roman" w:hAnsi="Times New Roman" w:cs="Times New Roman"/>
          <w:sz w:val="18"/>
        </w:rPr>
        <w:t>[Source: scripts/01_analysis.R 2026-08-11 22:28:55]</w:t>
      </w:r>
      <w:r>
        <w:br/>
      </w:r>
      <w:r>
        <w:rPr>
          <w:rFonts w:ascii="Times New Roman" w:hAnsi="Times New Roman" w:cs="Times New Roman"/>
          <w:sz w:val="18"/>
        </w:rPr>
        <w:t>Notes: This plot shows individual concentration-time trajectories for subjects in the study. The x-axis represents time (hours) and the y-axis shows drug concentration (ng/mL). Each line corresponds to a subject's concentration profile, illustrating variability in pharmacokinetics across the population. Key points like peak concentration (Cmax) and time to peak (Tmax) can be identified visually. No aggregation or smoothing has been applied, preserving the raw individual data. Synopsis preview of the concentration-time profile shown in full as Figure 1.</w:t>
      </w:r>
      <w:r>
        <w:br/>
      </w:r>
      <w:r>
        <w:rPr>
          <w:rFonts w:ascii="Times New Roman" w:hAnsi="Times New Roman" w:cs="Times New Roman"/>
          <w:sz w:val="18"/>
        </w:rPr>
        <w:t>Abbreviations: PK: pharmacokinetic.</w:t>
      </w:r>
    </w:p>
    <w:p w:doc_index="54">
      <w:r w:run_index="45">
        <w:br w:type="page" w:run_content_index="49"/>
      </w:r>
    </w:p>
    <w:p w:doc_index="55">
      <w:pPr>
        <w:pStyle w:val="Heading1"/>
      </w:pPr>
      <w:r w:run_index="46">
        <w:t xml:space="preserve" w:run_content_index="50">Table of Contents</w:t>
      </w:r>
    </w:p>
    <w:p w:doc_index="56">
      <w:r w:run_index="47">
        <w:fldChar w:fldCharType="begin" w:dirty="true" w:run_content_index="51"/>
      </w:r>
      <w:r w:run_index="48">
        <w:instrText xml:space="preserve" w:run_content_index="52"> TOC \o "1-3" \h \z \u </w:instrText>
      </w:r>
      <w:r w:run_index="49">
        <w:fldChar w:fldCharType="separate" w:run_content_index="53"/>
      </w:r>
      <w:r w:run_index="50">
        <w:t w:run_content_index="54">Right-click to update field</w:t>
      </w:r>
      <w:r w:run_index="51">
        <w:fldChar w:fldCharType="end" w:run_content_index="55"/>
      </w:r>
    </w:p>
    <w:p w:doc_index="57">
      <w:r w:run_index="52">
        <w:br w:type="page" w:run_content_index="56"/>
      </w:r>
    </w:p>
    <w:p w:doc_index="58">
      <w:pPr>
        <w:pStyle w:val="Heading1"/>
      </w:pPr>
      <w:r w:run_index="53">
        <w:t xml:space="preserve" w:run_content_index="57">List of Figures</w:t>
      </w:r>
    </w:p>
    <w:p w:doc_index="59">
      <w:r w:run_index="54">
        <w:fldChar w:fldCharType="begin" w:dirty="true" w:run_content_index="58"/>
      </w:r>
      <w:r w:run_index="55">
        <w:instrText xml:space="preserve" w:run_content_index="59"> TOC \h \z \c "Figure" </w:instrText>
      </w:r>
      <w:r w:run_index="56">
        <w:fldChar w:fldCharType="end" w:run_content_index="60"/>
      </w:r>
    </w:p>
    <w:p w:doc_index="60">
      <w:r w:run_index="57">
        <w:br w:type="page" w:run_content_index="61"/>
      </w:r>
    </w:p>
    <w:p w:doc_index="61">
      <w:pPr>
        <w:pStyle w:val="Heading1"/>
      </w:pPr>
      <w:r w:run_index="58">
        <w:t xml:space="preserve" w:run_content_index="62">List of Tables</w:t>
      </w:r>
    </w:p>
    <w:p w:doc_index="62">
      <w:r w:run_index="59">
        <w:fldChar w:fldCharType="begin" w:dirty="true" w:run_content_index="63"/>
      </w:r>
      <w:r w:run_index="60">
        <w:instrText xml:space="preserve" w:run_content_index="64"> TOC \h \z \c "Table" </w:instrText>
      </w:r>
      <w:r w:run_index="61">
        <w:fldChar w:fldCharType="end" w:run_content_index="65"/>
      </w:r>
    </w:p>
    <w:p w:doc_index="63">
      <w:r w:run_index="62">
        <w:br w:type="page" w:run_content_index="66"/>
      </w:r>
    </w:p>
    <w:p w:doc_index="64">
      <w:pPr>
        <w:pStyle w:val="Heading1"/>
      </w:pPr>
      <w:r w:run_index="63">
        <w:t xml:space="preserve" w:run_content_index="67">List of Figures (All)</w:t>
      </w:r>
    </w:p>
    <w:p w:doc_index="65">
      <w:bookmarkStart w:id="800003" w:name="quartifyr-list-of-figures"/>
      <w:bookmarkEnd w:id="800003"/>
    </w:p>
    <w:p w:doc_index="66">
      <w:pPr>
        <w:pStyle w:val="TOC1"/>
      </w:pPr>
      <w:hyperlink w:anchor="FigConcTime">
        <w:r w:run_index="64">
          <w:rPr>
            <w:rStyle w:val="Hyperlink"/>
          </w:rPr>
          <w:fldChar w:fldCharType="begin" w:dirty="true" w:run_content_index="68"/>
        </w:r>
        <w:r w:run_index="65">
          <w:rPr>
            <w:rStyle w:val="Hyperlink"/>
          </w:rPr>
          <w:instrText xml:space="preserve" w:run_content_index="69"> REF FigConcTime \h </w:instrText>
        </w:r>
        <w:r w:run_index="66">
          <w:rPr>
            <w:rStyle w:val="Hyperlink"/>
          </w:rPr>
          <w:fldChar w:fldCharType="separate" w:run_content_index="70"/>
        </w:r>
        <w:r w:run_index="67">
          <w:rPr>
            <w:rStyle w:val="Hyperlink"/>
          </w:rPr>
          <w:t xml:space="preserve" w:run_content_index="71">Figure ?</w:t>
        </w:r>
        <w:r w:run_index="68">
          <w:rPr>
            <w:rStyle w:val="Hyperlink"/>
          </w:rPr>
          <w:fldChar w:fldCharType="end" w:run_content_index="72"/>
        </w:r>
        <w:r w:run_index="69">
          <w:rPr>
            <w:rStyle w:val="Hyperlink"/>
          </w:rPr>
          <w:t xml:space="preserve" w:run_content_index="73"> Concentration-time profile</w:t>
        </w:r>
        <w:r w:run_index="70">
          <w:rPr>
            <w:rStyle w:val="Hyperlink"/>
          </w:rPr>
          <w:tab w:run_content_index="74"/>
        </w:r>
        <w:r w:run_index="71">
          <w:rPr>
            <w:rStyle w:val="Hyperlink"/>
          </w:rPr>
          <w:fldChar w:fldCharType="begin" w:dirty="true" w:run_content_index="75"/>
        </w:r>
        <w:r w:run_index="72">
          <w:rPr>
            <w:rStyle w:val="Hyperlink"/>
          </w:rPr>
          <w:instrText xml:space="preserve" w:run_content_index="76"> PAGEREF FigConcTime \h </w:instrText>
        </w:r>
        <w:r w:run_index="73">
          <w:rPr>
            <w:rStyle w:val="Hyperlink"/>
          </w:rPr>
          <w:fldChar w:fldCharType="separate" w:run_content_index="77"/>
        </w:r>
        <w:r w:run_index="74">
          <w:rPr>
            <w:rStyle w:val="Hyperlink"/>
          </w:rPr>
          <w:t xml:space="preserve" w:run_content_index="78">?</w:t>
        </w:r>
        <w:r w:run_index="75">
          <w:rPr>
            <w:rStyle w:val="Hyperlink"/>
          </w:rPr>
          <w:fldChar w:fldCharType="end" w:run_content_index="79"/>
        </w:r>
      </w:hyperlink>
    </w:p>
    <w:p w:doc_index="67">
      <w:pPr>
        <w:pStyle w:val="TOC1"/>
      </w:pPr>
      <w:hyperlink w:anchor="FigMainSectionExample">
        <w:r w:run_index="76">
          <w:rPr>
            <w:rStyle w:val="Hyperlink"/>
          </w:rPr>
          <w:fldChar w:fldCharType="begin" w:dirty="true" w:run_content_index="80"/>
        </w:r>
        <w:r w:run_index="77">
          <w:rPr>
            <w:rStyle w:val="Hyperlink"/>
          </w:rPr>
          <w:instrText xml:space="preserve" w:run_content_index="81"> REF FigMainSectionExample \h </w:instrText>
        </w:r>
        <w:r w:run_index="78">
          <w:rPr>
            <w:rStyle w:val="Hyperlink"/>
          </w:rPr>
          <w:fldChar w:fldCharType="separate" w:run_content_index="82"/>
        </w:r>
        <w:r w:run_index="79">
          <w:rPr>
            <w:rStyle w:val="Hyperlink"/>
          </w:rPr>
          <w:t xml:space="preserve" w:run_content_index="83">Figure ?</w:t>
        </w:r>
        <w:r w:run_index="80">
          <w:rPr>
            <w:rStyle w:val="Hyperlink"/>
          </w:rPr>
          <w:fldChar w:fldCharType="end" w:run_content_index="84"/>
        </w:r>
        <w:r w:run_index="81">
          <w:rPr>
            <w:rStyle w:val="Hyperlink"/>
          </w:rPr>
          <w:t xml:space="preserve" w:run_content_index="85"> Example main-body section-scoped figure</w:t>
        </w:r>
        <w:r w:run_index="82">
          <w:rPr>
            <w:rStyle w:val="Hyperlink"/>
          </w:rPr>
          <w:tab w:run_content_index="86"/>
        </w:r>
        <w:r w:run_index="83">
          <w:rPr>
            <w:rStyle w:val="Hyperlink"/>
          </w:rPr>
          <w:fldChar w:fldCharType="begin" w:dirty="true" w:run_content_index="87"/>
        </w:r>
        <w:r w:run_index="84">
          <w:rPr>
            <w:rStyle w:val="Hyperlink"/>
          </w:rPr>
          <w:instrText xml:space="preserve" w:run_content_index="88"> PAGEREF FigMainSectionExample \h </w:instrText>
        </w:r>
        <w:r w:run_index="85">
          <w:rPr>
            <w:rStyle w:val="Hyperlink"/>
          </w:rPr>
          <w:fldChar w:fldCharType="separate" w:run_content_index="89"/>
        </w:r>
        <w:r w:run_index="86">
          <w:rPr>
            <w:rStyle w:val="Hyperlink"/>
          </w:rPr>
          <w:t xml:space="preserve" w:run_content_index="90">?</w:t>
        </w:r>
        <w:r w:run_index="87">
          <w:rPr>
            <w:rStyle w:val="Hyperlink"/>
          </w:rPr>
          <w:fldChar w:fldCharType="end" w:run_content_index="91"/>
        </w:r>
      </w:hyperlink>
    </w:p>
    <w:p w:doc_index="68">
      <w:pPr>
        <w:pStyle w:val="TOC1"/>
      </w:pPr>
      <w:hyperlink w:anchor="FigMainSubsectionExample">
        <w:r w:run_index="88">
          <w:rPr>
            <w:rStyle w:val="Hyperlink"/>
          </w:rPr>
          <w:fldChar w:fldCharType="begin" w:dirty="true" w:run_content_index="92"/>
        </w:r>
        <w:r w:run_index="89">
          <w:rPr>
            <w:rStyle w:val="Hyperlink"/>
          </w:rPr>
          <w:instrText xml:space="preserve" w:run_content_index="93"> REF FigMainSubsectionExample \h </w:instrText>
        </w:r>
        <w:r w:run_index="90">
          <w:rPr>
            <w:rStyle w:val="Hyperlink"/>
          </w:rPr>
          <w:fldChar w:fldCharType="separate" w:run_content_index="94"/>
        </w:r>
        <w:r w:run_index="91">
          <w:rPr>
            <w:rStyle w:val="Hyperlink"/>
          </w:rPr>
          <w:t xml:space="preserve" w:run_content_index="95">Figure ?</w:t>
        </w:r>
        <w:r w:run_index="92">
          <w:rPr>
            <w:rStyle w:val="Hyperlink"/>
          </w:rPr>
          <w:fldChar w:fldCharType="end" w:run_content_index="96"/>
        </w:r>
        <w:r w:run_index="93">
          <w:rPr>
            <w:rStyle w:val="Hyperlink"/>
          </w:rPr>
          <w:t xml:space="preserve" w:run_content_index="97"> Example main-body subsection-scoped figure</w:t>
        </w:r>
        <w:r w:run_index="94">
          <w:rPr>
            <w:rStyle w:val="Hyperlink"/>
          </w:rPr>
          <w:tab w:run_content_index="98"/>
        </w:r>
        <w:r w:run_index="95">
          <w:rPr>
            <w:rStyle w:val="Hyperlink"/>
          </w:rPr>
          <w:fldChar w:fldCharType="begin" w:dirty="true" w:run_content_index="99"/>
        </w:r>
        <w:r w:run_index="96">
          <w:rPr>
            <w:rStyle w:val="Hyperlink"/>
          </w:rPr>
          <w:instrText xml:space="preserve" w:run_content_index="100"> PAGEREF FigMainSubsectionExample \h </w:instrText>
        </w:r>
        <w:r w:run_index="97">
          <w:rPr>
            <w:rStyle w:val="Hyperlink"/>
          </w:rPr>
          <w:fldChar w:fldCharType="separate" w:run_content_index="101"/>
        </w:r>
        <w:r w:run_index="98">
          <w:rPr>
            <w:rStyle w:val="Hyperlink"/>
          </w:rPr>
          <w:t xml:space="preserve" w:run_content_index="102">?</w:t>
        </w:r>
        <w:r w:run_index="99">
          <w:rPr>
            <w:rStyle w:val="Hyperlink"/>
          </w:rPr>
          <w:fldChar w:fldCharType="end" w:run_content_index="103"/>
        </w:r>
      </w:hyperlink>
    </w:p>
    <w:p w:doc_index="69">
      <w:pPr>
        <w:pStyle w:val="TOC1"/>
      </w:pPr>
      <w:hyperlink w:anchor="FigAppendixExample">
        <w:r w:run_index="100">
          <w:rPr>
            <w:rStyle w:val="Hyperlink"/>
          </w:rPr>
          <w:fldChar w:fldCharType="begin" w:dirty="true" w:run_content_index="104"/>
        </w:r>
        <w:r w:run_index="101">
          <w:rPr>
            <w:rStyle w:val="Hyperlink"/>
          </w:rPr>
          <w:instrText xml:space="preserve" w:run_content_index="105"> REF FigAppendixExample \h </w:instrText>
        </w:r>
        <w:r w:run_index="102">
          <w:rPr>
            <w:rStyle w:val="Hyperlink"/>
          </w:rPr>
          <w:fldChar w:fldCharType="separate" w:run_content_index="106"/>
        </w:r>
        <w:r w:run_index="103">
          <w:rPr>
            <w:rStyle w:val="Hyperlink"/>
          </w:rPr>
          <w:t xml:space="preserve" w:run_content_index="107">Figure ?</w:t>
        </w:r>
        <w:r w:run_index="104">
          <w:rPr>
            <w:rStyle w:val="Hyperlink"/>
          </w:rPr>
          <w:fldChar w:fldCharType="end" w:run_content_index="108"/>
        </w:r>
        <w:r w:run_index="105">
          <w:rPr>
            <w:rStyle w:val="Hyperlink"/>
          </w:rPr>
          <w:t xml:space="preserve" w:run_content_index="109"> Example appendix-scoped figure</w:t>
        </w:r>
        <w:r w:run_index="106">
          <w:rPr>
            <w:rStyle w:val="Hyperlink"/>
          </w:rPr>
          <w:tab w:run_content_index="110"/>
        </w:r>
        <w:r w:run_index="107">
          <w:rPr>
            <w:rStyle w:val="Hyperlink"/>
          </w:rPr>
          <w:fldChar w:fldCharType="begin" w:dirty="true" w:run_content_index="111"/>
        </w:r>
        <w:r w:run_index="108">
          <w:rPr>
            <w:rStyle w:val="Hyperlink"/>
          </w:rPr>
          <w:instrText xml:space="preserve" w:run_content_index="112"> PAGEREF FigAppendixExample \h </w:instrText>
        </w:r>
        <w:r w:run_index="109">
          <w:rPr>
            <w:rStyle w:val="Hyperlink"/>
          </w:rPr>
          <w:fldChar w:fldCharType="separate" w:run_content_index="113"/>
        </w:r>
        <w:r w:run_index="110">
          <w:rPr>
            <w:rStyle w:val="Hyperlink"/>
          </w:rPr>
          <w:t xml:space="preserve" w:run_content_index="114">?</w:t>
        </w:r>
        <w:r w:run_index="111">
          <w:rPr>
            <w:rStyle w:val="Hyperlink"/>
          </w:rPr>
          <w:fldChar w:fldCharType="end" w:run_content_index="115"/>
        </w:r>
      </w:hyperlink>
    </w:p>
    <w:p w:doc_index="70">
      <w:pPr>
        <w:pStyle w:val="TOC1"/>
      </w:pPr>
      <w:hyperlink w:anchor="FigSectionExample">
        <w:r w:run_index="112">
          <w:rPr>
            <w:rStyle w:val="Hyperlink"/>
          </w:rPr>
          <w:fldChar w:fldCharType="begin" w:dirty="true" w:run_content_index="116"/>
        </w:r>
        <w:r w:run_index="113">
          <w:rPr>
            <w:rStyle w:val="Hyperlink"/>
          </w:rPr>
          <w:instrText xml:space="preserve" w:run_content_index="117"> REF FigSectionExample \h </w:instrText>
        </w:r>
        <w:r w:run_index="114">
          <w:rPr>
            <w:rStyle w:val="Hyperlink"/>
          </w:rPr>
          <w:fldChar w:fldCharType="separate" w:run_content_index="118"/>
        </w:r>
        <w:r w:run_index="115">
          <w:rPr>
            <w:rStyle w:val="Hyperlink"/>
          </w:rPr>
          <w:t xml:space="preserve" w:run_content_index="119">Figure ?</w:t>
        </w:r>
        <w:r w:run_index="116">
          <w:rPr>
            <w:rStyle w:val="Hyperlink"/>
          </w:rPr>
          <w:fldChar w:fldCharType="end" w:run_content_index="120"/>
        </w:r>
        <w:r w:run_index="117">
          <w:rPr>
            <w:rStyle w:val="Hyperlink"/>
          </w:rPr>
          <w:t xml:space="preserve" w:run_content_index="121"> Example section-scoped figure</w:t>
        </w:r>
        <w:r w:run_index="118">
          <w:rPr>
            <w:rStyle w:val="Hyperlink"/>
          </w:rPr>
          <w:tab w:run_content_index="122"/>
        </w:r>
        <w:r w:run_index="119">
          <w:rPr>
            <w:rStyle w:val="Hyperlink"/>
          </w:rPr>
          <w:fldChar w:fldCharType="begin" w:dirty="true" w:run_content_index="123"/>
        </w:r>
        <w:r w:run_index="120">
          <w:rPr>
            <w:rStyle w:val="Hyperlink"/>
          </w:rPr>
          <w:instrText xml:space="preserve" w:run_content_index="124"> PAGEREF FigSectionExample \h </w:instrText>
        </w:r>
        <w:r w:run_index="121">
          <w:rPr>
            <w:rStyle w:val="Hyperlink"/>
          </w:rPr>
          <w:fldChar w:fldCharType="separate" w:run_content_index="125"/>
        </w:r>
        <w:r w:run_index="122">
          <w:rPr>
            <w:rStyle w:val="Hyperlink"/>
          </w:rPr>
          <w:t xml:space="preserve" w:run_content_index="126">?</w:t>
        </w:r>
        <w:r w:run_index="123">
          <w:rPr>
            <w:rStyle w:val="Hyperlink"/>
          </w:rPr>
          <w:fldChar w:fldCharType="end" w:run_content_index="127"/>
        </w:r>
      </w:hyperlink>
    </w:p>
    <w:p w:doc_index="71">
      <w:pPr>
        <w:pStyle w:val="TOC1"/>
      </w:pPr>
      <w:hyperlink w:anchor="FigSubsectionExample">
        <w:r w:run_index="124">
          <w:rPr>
            <w:rStyle w:val="Hyperlink"/>
          </w:rPr>
          <w:fldChar w:fldCharType="begin" w:dirty="true" w:run_content_index="128"/>
        </w:r>
        <w:r w:run_index="125">
          <w:rPr>
            <w:rStyle w:val="Hyperlink"/>
          </w:rPr>
          <w:instrText xml:space="preserve" w:run_content_index="129"> REF FigSubsectionExample \h </w:instrText>
        </w:r>
        <w:r w:run_index="126">
          <w:rPr>
            <w:rStyle w:val="Hyperlink"/>
          </w:rPr>
          <w:fldChar w:fldCharType="separate" w:run_content_index="130"/>
        </w:r>
        <w:r w:run_index="127">
          <w:rPr>
            <w:rStyle w:val="Hyperlink"/>
          </w:rPr>
          <w:t xml:space="preserve" w:run_content_index="131">Figure ?</w:t>
        </w:r>
        <w:r w:run_index="128">
          <w:rPr>
            <w:rStyle w:val="Hyperlink"/>
          </w:rPr>
          <w:fldChar w:fldCharType="end" w:run_content_index="132"/>
        </w:r>
        <w:r w:run_index="129">
          <w:rPr>
            <w:rStyle w:val="Hyperlink"/>
          </w:rPr>
          <w:t xml:space="preserve" w:run_content_index="133"> Example subsection-scoped figure</w:t>
        </w:r>
        <w:r w:run_index="130">
          <w:rPr>
            <w:rStyle w:val="Hyperlink"/>
          </w:rPr>
          <w:tab w:run_content_index="134"/>
        </w:r>
        <w:r w:run_index="131">
          <w:rPr>
            <w:rStyle w:val="Hyperlink"/>
          </w:rPr>
          <w:fldChar w:fldCharType="begin" w:dirty="true" w:run_content_index="135"/>
        </w:r>
        <w:r w:run_index="132">
          <w:rPr>
            <w:rStyle w:val="Hyperlink"/>
          </w:rPr>
          <w:instrText xml:space="preserve" w:run_content_index="136"> PAGEREF FigSubsectionExample \h </w:instrText>
        </w:r>
        <w:r w:run_index="133">
          <w:rPr>
            <w:rStyle w:val="Hyperlink"/>
          </w:rPr>
          <w:fldChar w:fldCharType="separate" w:run_content_index="137"/>
        </w:r>
        <w:r w:run_index="134">
          <w:rPr>
            <w:rStyle w:val="Hyperlink"/>
          </w:rPr>
          <w:t xml:space="preserve" w:run_content_index="138">?</w:t>
        </w:r>
        <w:r w:run_index="135">
          <w:rPr>
            <w:rStyle w:val="Hyperlink"/>
          </w:rPr>
          <w:fldChar w:fldCharType="end" w:run_content_index="139"/>
        </w:r>
      </w:hyperlink>
    </w:p>
    <w:p w:doc_index="72">
      <w:r w:run_index="136">
        <w:br w:type="page" w:run_content_index="140"/>
      </w:r>
    </w:p>
    <w:p w:doc_index="73">
      <w:pPr>
        <w:pStyle w:val="Heading1"/>
      </w:pPr>
      <w:r w:run_index="137">
        <w:t xml:space="preserve" w:run_content_index="141">List of Tables (All)</w:t>
      </w:r>
    </w:p>
    <w:p w:doc_index="74">
      <w:bookmarkStart w:id="800004" w:name="quartifyr-list-of-tables"/>
      <w:bookmarkEnd w:id="800004"/>
    </w:p>
    <w:p w:doc_index="75">
      <w:pPr>
        <w:pStyle w:val="TOC1"/>
      </w:pPr>
      <w:hyperlink w:anchor="TblPkSummary">
        <w:r w:run_index="138">
          <w:rPr>
            <w:rStyle w:val="Hyperlink"/>
          </w:rPr>
          <w:fldChar w:fldCharType="begin" w:dirty="true" w:run_content_index="142"/>
        </w:r>
        <w:r w:run_index="139">
          <w:rPr>
            <w:rStyle w:val="Hyperlink"/>
          </w:rPr>
          <w:instrText xml:space="preserve" w:run_content_index="143"> REF TblPkSummary \h </w:instrText>
        </w:r>
        <w:r w:run_index="140">
          <w:rPr>
            <w:rStyle w:val="Hyperlink"/>
          </w:rPr>
          <w:fldChar w:fldCharType="separate" w:run_content_index="144"/>
        </w:r>
        <w:r w:run_index="141">
          <w:rPr>
            <w:rStyle w:val="Hyperlink"/>
          </w:rPr>
          <w:t xml:space="preserve" w:run_content_index="145">Table ?</w:t>
        </w:r>
        <w:r w:run_index="142">
          <w:rPr>
            <w:rStyle w:val="Hyperlink"/>
          </w:rPr>
          <w:fldChar w:fldCharType="end" w:run_content_index="146"/>
        </w:r>
        <w:r w:run_index="143">
          <w:rPr>
            <w:rStyle w:val="Hyperlink"/>
          </w:rPr>
          <w:t xml:space="preserve" w:run_content_index="147"> Per-participant PK summary statistics</w:t>
        </w:r>
        <w:r w:run_index="144">
          <w:rPr>
            <w:rStyle w:val="Hyperlink"/>
          </w:rPr>
          <w:tab w:run_content_index="148"/>
        </w:r>
        <w:r w:run_index="145">
          <w:rPr>
            <w:rStyle w:val="Hyperlink"/>
          </w:rPr>
          <w:fldChar w:fldCharType="begin" w:dirty="true" w:run_content_index="149"/>
        </w:r>
        <w:r w:run_index="146">
          <w:rPr>
            <w:rStyle w:val="Hyperlink"/>
          </w:rPr>
          <w:instrText xml:space="preserve" w:run_content_index="150"> PAGEREF TblPkSummary \h </w:instrText>
        </w:r>
        <w:r w:run_index="147">
          <w:rPr>
            <w:rStyle w:val="Hyperlink"/>
          </w:rPr>
          <w:fldChar w:fldCharType="separate" w:run_content_index="151"/>
        </w:r>
        <w:r w:run_index="148">
          <w:rPr>
            <w:rStyle w:val="Hyperlink"/>
          </w:rPr>
          <w:t xml:space="preserve" w:run_content_index="152">?</w:t>
        </w:r>
        <w:r w:run_index="149">
          <w:rPr>
            <w:rStyle w:val="Hyperlink"/>
          </w:rPr>
          <w:fldChar w:fldCharType="end" w:run_content_index="153"/>
        </w:r>
      </w:hyperlink>
    </w:p>
    <w:p w:doc_index="76">
      <w:pPr>
        <w:pStyle w:val="TOC1"/>
      </w:pPr>
      <w:hyperlink w:anchor="TblDemographics">
        <w:r w:run_index="150">
          <w:rPr>
            <w:rStyle w:val="Hyperlink"/>
          </w:rPr>
          <w:fldChar w:fldCharType="begin" w:dirty="true" w:run_content_index="154"/>
        </w:r>
        <w:r w:run_index="151">
          <w:rPr>
            <w:rStyle w:val="Hyperlink"/>
          </w:rPr>
          <w:instrText xml:space="preserve" w:run_content_index="155"> REF TblDemographics \h </w:instrText>
        </w:r>
        <w:r w:run_index="152">
          <w:rPr>
            <w:rStyle w:val="Hyperlink"/>
          </w:rPr>
          <w:fldChar w:fldCharType="separate" w:run_content_index="156"/>
        </w:r>
        <w:r w:run_index="153">
          <w:rPr>
            <w:rStyle w:val="Hyperlink"/>
          </w:rPr>
          <w:t xml:space="preserve" w:run_content_index="157">Table ?</w:t>
        </w:r>
        <w:r w:run_index="154">
          <w:rPr>
            <w:rStyle w:val="Hyperlink"/>
          </w:rPr>
          <w:fldChar w:fldCharType="end" w:run_content_index="158"/>
        </w:r>
        <w:r w:run_index="155">
          <w:rPr>
            <w:rStyle w:val="Hyperlink"/>
          </w:rPr>
          <w:t xml:space="preserve" w:run_content_index="159"> Participant demographic and dosing summary</w:t>
        </w:r>
        <w:r w:run_index="156">
          <w:rPr>
            <w:rStyle w:val="Hyperlink"/>
          </w:rPr>
          <w:tab w:run_content_index="160"/>
        </w:r>
        <w:r w:run_index="157">
          <w:rPr>
            <w:rStyle w:val="Hyperlink"/>
          </w:rPr>
          <w:fldChar w:fldCharType="begin" w:dirty="true" w:run_content_index="161"/>
        </w:r>
        <w:r w:run_index="158">
          <w:rPr>
            <w:rStyle w:val="Hyperlink"/>
          </w:rPr>
          <w:instrText xml:space="preserve" w:run_content_index="162"> PAGEREF TblDemographics \h </w:instrText>
        </w:r>
        <w:r w:run_index="159">
          <w:rPr>
            <w:rStyle w:val="Hyperlink"/>
          </w:rPr>
          <w:fldChar w:fldCharType="separate" w:run_content_index="163"/>
        </w:r>
        <w:r w:run_index="160">
          <w:rPr>
            <w:rStyle w:val="Hyperlink"/>
          </w:rPr>
          <w:t xml:space="preserve" w:run_content_index="164">?</w:t>
        </w:r>
        <w:r w:run_index="161">
          <w:rPr>
            <w:rStyle w:val="Hyperlink"/>
          </w:rPr>
          <w:fldChar w:fldCharType="end" w:run_content_index="165"/>
        </w:r>
      </w:hyperlink>
    </w:p>
    <w:p w:doc_index="77">
      <w:pPr>
        <w:pStyle w:val="TOC1"/>
      </w:pPr>
      <w:hyperlink w:anchor="TblAppendixExample">
        <w:r w:run_index="162">
          <w:rPr>
            <w:rStyle w:val="Hyperlink"/>
          </w:rPr>
          <w:fldChar w:fldCharType="begin" w:dirty="true" w:run_content_index="166"/>
        </w:r>
        <w:r w:run_index="163">
          <w:rPr>
            <w:rStyle w:val="Hyperlink"/>
          </w:rPr>
          <w:instrText xml:space="preserve" w:run_content_index="167"> REF TblAppendixExample \h </w:instrText>
        </w:r>
        <w:r w:run_index="164">
          <w:rPr>
            <w:rStyle w:val="Hyperlink"/>
          </w:rPr>
          <w:fldChar w:fldCharType="separate" w:run_content_index="168"/>
        </w:r>
        <w:r w:run_index="165">
          <w:rPr>
            <w:rStyle w:val="Hyperlink"/>
          </w:rPr>
          <w:t xml:space="preserve" w:run_content_index="169">Table ?</w:t>
        </w:r>
        <w:r w:run_index="166">
          <w:rPr>
            <w:rStyle w:val="Hyperlink"/>
          </w:rPr>
          <w:fldChar w:fldCharType="end" w:run_content_index="170"/>
        </w:r>
        <w:r w:run_index="167">
          <w:rPr>
            <w:rStyle w:val="Hyperlink"/>
          </w:rPr>
          <w:t xml:space="preserve" w:run_content_index="171"> Example appendix-scoped table</w:t>
        </w:r>
        <w:r w:run_index="168">
          <w:rPr>
            <w:rStyle w:val="Hyperlink"/>
          </w:rPr>
          <w:tab w:run_content_index="172"/>
        </w:r>
        <w:r w:run_index="169">
          <w:rPr>
            <w:rStyle w:val="Hyperlink"/>
          </w:rPr>
          <w:fldChar w:fldCharType="begin" w:dirty="true" w:run_content_index="173"/>
        </w:r>
        <w:r w:run_index="170">
          <w:rPr>
            <w:rStyle w:val="Hyperlink"/>
          </w:rPr>
          <w:instrText xml:space="preserve" w:run_content_index="174"> PAGEREF TblAppendixExample \h </w:instrText>
        </w:r>
        <w:r w:run_index="171">
          <w:rPr>
            <w:rStyle w:val="Hyperlink"/>
          </w:rPr>
          <w:fldChar w:fldCharType="separate" w:run_content_index="175"/>
        </w:r>
        <w:r w:run_index="172">
          <w:rPr>
            <w:rStyle w:val="Hyperlink"/>
          </w:rPr>
          <w:t xml:space="preserve" w:run_content_index="176">?</w:t>
        </w:r>
        <w:r w:run_index="173">
          <w:rPr>
            <w:rStyle w:val="Hyperlink"/>
          </w:rPr>
          <w:fldChar w:fldCharType="end" w:run_content_index="177"/>
        </w:r>
      </w:hyperlink>
    </w:p>
    <w:p w:doc_index="78">
      <w:r w:run_index="174">
        <w:br w:type="page" w:run_content_index="178"/>
      </w:r>
    </w:p>
    <w:p w:doc_index="79">
      <w:pPr>
        <w:pStyle w:val="Heading1"/>
      </w:pPr>
      <w:r w:run_index="175">
        <w:t xml:space="preserve" w:run_content_index="179">Abbreviations</w:t>
      </w:r>
    </w:p>
    <w:p w:doc_index="80">
      <w:pPr>
        <w:pStyle w:val="BodyText"/>
      </w:pPr>
      <w:r w:run_index="176">
        <w:t xml:space="preserve" w:run_content_index="180">Terms and abbreviations used in this report are listed below.</w:t>
      </w:r>
    </w:p>
    <w:tbl w:table_index="5">
      <w:tblPr>
        <w:tblStyle w:val="Table"/>
        <w:tblW w:type="auto" w:w="0"/>
        <w:tblLook w:firstRow="0" w:lastRow="0" w:firstColumn="0" w:lastColumn="0" w:noHBand="0" w:noVBand="0" w:val="0000"/>
      </w:tblPr>
      <w:tblGrid>
        <w:gridCol w:w="3960"/>
        <w:gridCol w:w="3960"/>
      </w:tblGrid>
      <w:tr w:tr_index="16">
        <w:tc w:tc_index="31">
          <w:tcPr/>
          <w:p w:doc_index="81">
            <w:pPr>
              <w:pStyle w:val="Compact"/>
              <w:jc w:val="left"/>
            </w:pPr>
            <w:r w:run_index="177">
              <w:t xml:space="preserve" w:run_content_index="181">PK</w:t>
            </w:r>
          </w:p>
        </w:tc>
        <w:tc w:tc_index="32">
          <w:tcPr/>
          <w:p w:doc_index="82">
            <w:pPr>
              <w:pStyle w:val="Compact"/>
              <w:jc w:val="left"/>
            </w:pPr>
            <w:r w:run_index="178">
              <w:t xml:space="preserve" w:run_content_index="182">Pharmacokinetic</w:t>
            </w:r>
          </w:p>
        </w:tc>
      </w:tr>
    </w:tbl>
    <w:p w:doc_index="83">
      <w:r w:run_index="179">
        <w:br w:type="page" w:run_content_index="183"/>
      </w:r>
    </w:p>
    <w:p w:doc_index="84">
      <w:pPr>
        <w:sectPr w:rsidR="00FC693F" w:rsidRPr="0006063C" w:rsidSect="00034616">
          <w:headerReference w:type="default" r:id="rId2"/>
          <w:footerReference w:type="default" r:id="rId5"/>
          <w:pgSz w:h="15840" w:w="12240"/>
          <w:pgMar w:bottom="1440" w:footer="720" w:gutter="0" w:header="720" w:left="1440" w:right="1440" w:top="1440"/>
          <w:cols w:space="720"/>
          <w:docGrid w:linePitch="360"/>
          <w:pgNumType w:start="2" w:fmt="lowerRoman"/>
        </w:sectPr>
      </w:pPr>
      <w:bookmarkStart w:id="800001" w:name="quartifyr-body-start"/>
      <w:bookmarkEnd w:id="800001"/>
    </w:p>
    <w:bookmarkStart w:id="21" w:name="introduction"/>
    <w:p w:doc_index="85">
      <w:pPr>
        <w:pStyle w:val="Heading1"/>
      </w:pPr>
      <w:r w:run_index="180">
        <w:t xml:space="preserve" w:run_content_index="184">1. 	Introduction</w:t>
      </w:r>
    </w:p>
    <w:p w:doc_index="86">
      <w:pPr>
        <w:pStyle w:val="FirstParagraph"/>
      </w:pPr>
      <w:r w:run_index="181">
        <w:t xml:space="preserve" w:run_content_index="185">This demonstration report summarizes a pharmacokinetic (PK) analysis of theophylline</w:t>
      </w:r>
      <w:r w:run_index="182">
        <w:t xml:space="preserve" w:run_content_index="186"> </w:t>
      </w:r>
      <w:r w:run_index="183">
        <w:t xml:space="preserve" w:run_content_index="187">concentrations from the built-in</w:t>
      </w:r>
      <w:r w:run_index="184">
        <w:t xml:space="preserve" w:run_content_index="188"> </w:t>
      </w:r>
      <w:r w:run_index="185">
        <w:rPr>
          <w:rStyle w:val="VerbatimChar"/>
        </w:rPr>
        <w:t xml:space="preserve" w:run_content_index="189">Theoph</w:t>
      </w:r>
      <w:r w:run_index="186">
        <w:t xml:space="preserve" w:run_content_index="190"> </w:t>
      </w:r>
      <w:r w:run_index="187">
        <w:t xml:space="preserve" w:run_content_index="191">dataset</w:t>
      </w:r>
      <w:r w:run_index="188">
        <w:t xml:space="preserve" w:run_content_index="192"> </w:t>
      </w:r>
      <w:r w:run_index="189">
        <w:t xml:space="preserve" w:run_content_index="193">[</w:t>
      </w:r>
      <w:hyperlink w:anchor="ref-boeckmann1994">
        <w:r w:run_index="190">
          <w:rPr>
            <w:rStyle w:val="Hyperlink"/>
          </w:rPr>
          <w:t xml:space="preserve" w:run_content_index="194">1</w:t>
        </w:r>
      </w:hyperlink>
      <w:r w:run_index="191">
        <w:t xml:space="preserve" w:run_content_index="195">]</w:t>
      </w:r>
      <w:r w:run_index="192">
        <w:t xml:space="preserve" w:run_content_index="196">,</w:t>
      </w:r>
      <w:r w:run_index="193">
        <w:t xml:space="preserve" w:run_content_index="197"> </w:t>
      </w:r>
      <w:r w:run_index="194">
        <w:t xml:space="preserve" w:run_content_index="198">rendered end to end through quartifyr’s two-pass shell/fill pipeline.</w:t>
      </w:r>
    </w:p>
    <w:p w:doc_index="87">
      <w:r w:run_index="195">
        <w:br w:type="page" w:run_content_index="199"/>
      </w:r>
    </w:p>
    <w:bookmarkEnd w:id="21"/>
    <w:bookmarkStart w:id="32" w:name="results"/>
    <w:p w:doc_index="88">
      <w:pPr>
        <w:pStyle w:val="Heading1"/>
      </w:pPr>
      <w:r w:run_index="196">
        <w:t xml:space="preserve" w:run_content_index="200">2. 	Results</w:t>
      </w:r>
    </w:p>
    <w:bookmarkStart w:id="22" w:name="summary-statistics"/>
    <w:p w:doc_index="89">
      <w:pPr>
        <w:pStyle w:val="Heading2"/>
      </w:pPr>
      <w:r w:run_index="197">
        <w:t xml:space="preserve" w:run_content_index="201">2.1 	Summary Statistics</w:t>
      </w:r>
    </w:p>
    <w:p w:doc_index="90">
      <w:pPr>
        <w:pStyle w:val="Caption"/>
        <w:keepNext/>
      </w:pPr>
      <w:bookmarkStart w:id="1" w:name="TblPkSummary"/>
      <w:r w:run_index="198">
        <w:t w:run_content_index="202">Table</w:t>
      </w:r>
      <w:r w:run_index="199">
        <w:t xml:space="preserve" w:run_content_index="203"> </w:t>
      </w:r>
      <w:r w:run_index="200">
        <w:fldChar w:fldCharType="begin" w:dirty="true" w:run_content_index="204"/>
      </w:r>
      <w:r w:run_index="201">
        <w:instrText xml:space="preserve" w:run_content_index="205"> SEQ Table \* ARABIC </w:instrText>
      </w:r>
      <w:r w:run_index="202">
        <w:fldChar w:fldCharType="separate" w:run_content_index="206"/>
      </w:r>
      <w:r w:run_index="203">
        <w:t w:run_content_index="207">1</w:t>
      </w:r>
      <w:r w:run_index="204">
        <w:fldChar w:fldCharType="end" w:run_content_index="208"/>
      </w:r>
      <w:bookmarkEnd w:id="1"/>
      <w:r w:run_index="205">
        <w:tab w:run_content_index="209"/>
        <w:t w:run_content_index="210">Per-participant PK summary statistics</w:t>
      </w:r>
    </w:p>
    <w:tbl xmlns:w14="http://schemas.microsoft.com/office/word/2010/wordml">
      <w:tblPr>
        <w:tblLayout w:type="autofit"/>
        <w:jc w:val="center"/>
        <w:tblW w:type="pct" w:w="5000"/>
        <w:tblLook w:firstRow="1" w:lastRow="0" w:firstColumn="0" w:lastColumn="0" w:noHBand="0" w:noVBand="1"/>
        <w:tblDescription w:val="{rpfy}:pk-summary.csv [hash:61294773c8f4ce56a73ed8502a8a778667c877e21ce4f36e76415e22bb2aadc4]&#10;[content_hash:454675723b8529daa019f67c8a80fcfa4b4d28bc6a6cc1006e5d807c4456ec28]&#10;[grid:H4sIAJX9hmoC/0XOyREEMQgDwDcEQyEOY/JPbPDuHE+6JGDRkghSUSWXdC4q0R5ADjR4D+T6J0KsGKB9hlsS7AN2Q06bbcD9SWzjGFhvpYObWvRLNMNGKp8lAYYSVAxDFkPtjCN59lT8HuckQOK9XfsCHNUwudEAAAA=]"/>
      </w:tblPr>
      <w:tr>
        <w:trPr>
          <w:cantSplit/>
          <w:trHeight w:val="444" w:hRule="auto"/>
          <w:tblHeader/>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Participant</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Cmax</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Cmin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Cavg</w:t>
            </w:r>
          </w:p>
        </w:tc>
      </w:tr>
      <w:tr>
        <w:trPr>
          <w:cantSplit/>
          <w:trHeight w:val="444"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6.44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3.53</w:t>
            </w:r>
          </w:p>
        </w:tc>
      </w:tr>
      <w:tr>
        <w:trPr>
          <w:cantSplit/>
          <w:trHeight w:val="444"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7.09</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0.15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3.91</w:t>
            </w:r>
          </w:p>
        </w:tc>
      </w:tr>
      <w:tr>
        <w:trPr>
          <w:cantSplit/>
          <w:trHeight w:val="444"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8</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7.56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4.27</w:t>
            </w:r>
          </w:p>
        </w:tc>
      </w:tr>
      <w:tr>
        <w:trPr>
          <w:cantSplit/>
          <w:trHeight w:val="444"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8.00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4.51</w:t>
            </w:r>
          </w:p>
        </w:tc>
      </w:tr>
      <w:tr>
        <w:trPr>
          <w:cantSplit/>
          <w:trHeight w:val="444"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8.20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5.09</w:t>
            </w:r>
          </w:p>
        </w:tc>
      </w:tr>
      <w:tr>
        <w:trPr>
          <w:cantSplit/>
          <w:trHeight w:val="444"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8.33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4.82</w:t>
            </w:r>
          </w:p>
        </w:tc>
      </w:tr>
      <w:tr>
        <w:trPr>
          <w:cantSplit/>
          <w:trHeight w:val="444"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8.60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4.94</w:t>
            </w:r>
          </w:p>
        </w:tc>
      </w:tr>
      <w:tr>
        <w:trPr>
          <w:cantSplit/>
          <w:trHeight w:val="444"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9</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9.03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4.89</w:t>
            </w:r>
          </w:p>
        </w:tc>
      </w:tr>
      <w:tr>
        <w:trPr>
          <w:cantSplit/>
          <w:trHeight w:val="444"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9.75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5.41</w:t>
            </w:r>
          </w:p>
        </w:tc>
      </w:tr>
      <w:tr>
        <w:trPr>
          <w:cantSplit/>
          <w:trHeight w:val="444"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10.21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0.24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5.93</w:t>
            </w:r>
          </w:p>
        </w:tc>
      </w:tr>
      <w:tr>
        <w:trPr>
          <w:cantSplit/>
          <w:trHeight w:val="444"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10.50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0.74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6.44</w:t>
            </w:r>
          </w:p>
        </w:tc>
      </w:tr>
      <w:tr>
        <w:trPr>
          <w:cantSplit/>
          <w:trHeight w:val="444"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11.40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5.78</w:t>
            </w:r>
          </w:p>
        </w:tc>
      </w:tr>
    </w:tbl>
    <w:p>
      <w:r>
        <w:rPr>
          <w:rFonts w:ascii="Times New Roman" w:hAnsi="Times New Roman" w:cs="Times New Roman"/>
          <w:sz w:val="18"/>
        </w:rPr>
        <w:t>[Source: scripts/01_analysis.R 2026-08-12 20:55:43]</w:t>
      </w:r>
      <w:r>
        <w:br/>
      </w:r>
      <w:r>
        <w:rPr>
          <w:rFonts w:ascii="Times New Roman" w:hAnsi="Times New Roman" w:cs="Times New Roman"/>
          <w:sz w:val="18"/>
        </w:rPr>
        <w:t xml:space="preserve">Notes: Values are per-participant summary statistics computed directly from observed concentrations; no imputation or model-based estimation was performed. This table is filled from a plain data frame, so reportifyr renders it in its own default table styling (Arial Narrow) rather than this report's own body font -- contrast with the participant demographics table below, filled from a pre-styled flextable object. </w:t>
      </w:r>
      <w:r>
        <w:br/>
      </w:r>
      <w:r>
        <w:rPr>
          <w:rFonts w:ascii="Times New Roman" w:hAnsi="Times New Roman" w:cs="Times New Roman"/>
          <w:sz w:val="18"/>
        </w:rPr>
        <w:t>Abbreviations: PK: pharmacokinetic.</w:t>
      </w:r>
    </w:p>
    <w:p w:doc_index="92">
      <w:pPr>
        <w:pStyle w:val="BodyText"/>
      </w:pPr>
      <w:r w:run_index="207">
        <w:t xml:space="preserve" w:run_content_index="212">Per-participant maximum, minimum, and average observed concentration across</w:t>
      </w:r>
      <w:r w:run_index="208">
        <w:t xml:space="preserve" w:run_content_index="213"> </w:t>
      </w:r>
      <w:r w:run_index="209">
        <w:t xml:space="preserve" w:run_content_index="214">the sampling period.</w:t>
      </w:r>
    </w:p>
    <w:bookmarkStart w:id="23" w:name="concentration-time-profile"/>
    <w:p w:doc_index="93">
      <w:pPr>
        <w:pStyle w:val="Heading2"/>
      </w:pPr>
      <w:r w:run_index="210">
        <w:t xml:space="preserve" w:run_content_index="215">2.2 	Concentration-Time Profile</w:t>
      </w:r>
    </w:p>
    <w:p w:doc_index="94">
      <w:pPr>
        <w:pStyle w:val="Caption"/>
        <w:keepNext/>
      </w:pPr>
      <w:bookmarkStart w:id="2" w:name="FigConcTime"/>
      <w:r w:run_index="211">
        <w:t w:run_content_index="216">Figure</w:t>
      </w:r>
      <w:r w:run_index="212">
        <w:t xml:space="preserve" w:run_content_index="217"> </w:t>
      </w:r>
      <w:r w:run_index="213">
        <w:fldChar w:fldCharType="begin" w:dirty="true" w:run_content_index="218"/>
      </w:r>
      <w:r w:run_index="214">
        <w:instrText xml:space="preserve" w:run_content_index="219"> SEQ Figure \* ARABIC </w:instrText>
      </w:r>
      <w:r w:run_index="215">
        <w:fldChar w:fldCharType="separate" w:run_content_index="220"/>
      </w:r>
      <w:r w:run_index="216">
        <w:t w:run_content_index="221">1</w:t>
      </w:r>
      <w:r w:run_index="217">
        <w:fldChar w:fldCharType="end" w:run_content_index="222"/>
      </w:r>
      <w:bookmarkEnd w:id="2"/>
      <w:r w:run_index="218">
        <w:tab w:run_content_index="223"/>
        <w:t w:run_content_index="224">Concentration-time profile</w:t>
      </w:r>
    </w:p>
    <w:p>
      <w:pPr>
        <w:jc w:val="center"/>
      </w:pPr>
      <w:r>
        <w:drawing>
          <wp:inline>
            <wp:extent cx="5486400" cy="3657600"/>
            <wp:docPr id="21" name="Picture 21" descr="{rpfy}:conc-time.png [hash:4ccc1a256f3997dfff3ac476e6012db9399bcb75412f338b44e51c78d77e28f3]"/>
            <wp:cNvGraphicFramePr>
              <a:graphicFrameLocks noChangeAspect="1"/>
            </wp:cNvGraphicFramePr>
            <a:graphic>
              <a:graphicData uri="http://schemas.openxmlformats.org/drawingml/2006/picture">
                <pic:pic>
                  <pic:nvPicPr>
                    <pic:cNvPr id="0" name="conc-time.png"/>
                    <pic:cNvPicPr/>
                  </pic:nvPicPr>
                  <pic:blipFill>
                    <a:blip r:embed="rId6"/>
                    <a:stretch>
                      <a:fillRect/>
                    </a:stretch>
                  </pic:blipFill>
                  <pic:spPr>
                    <a:xfrm>
                      <a:off x="0" y="0"/>
                      <a:ext cx="5486400" cy="3657600"/>
                    </a:xfrm>
                    <a:prstGeom prst="rect"/>
                  </pic:spPr>
                </pic:pic>
              </a:graphicData>
            </a:graphic>
          </wp:inline>
        </w:drawing>
      </w:r>
    </w:p>
    <w:p>
      <w:r>
        <w:rPr>
          <w:rFonts w:ascii="Times New Roman" w:hAnsi="Times New Roman" w:cs="Times New Roman"/>
          <w:sz w:val="18"/>
        </w:rPr>
        <w:t>[Source: scripts/01_analysis.R 2026-08-11 22:28:55]</w:t>
      </w:r>
      <w:r>
        <w:br/>
      </w:r>
      <w:r>
        <w:rPr>
          <w:rFonts w:ascii="Times New Roman" w:hAnsi="Times New Roman" w:cs="Times New Roman"/>
          <w:sz w:val="18"/>
        </w:rPr>
        <w:t>Notes: This plot shows individual concentration-time trajectories for subjects in the study. The x-axis represents time (hours) and the y-axis shows drug concentration (ng/mL). Each line corresponds to a subject's concentration profile, illustrating variability in pharmacokinetics across the population. Key points like peak concentration (Cmax) and time to peak (Tmax) can be identified visually. No aggregation or smoothing has been applied, preserving the raw individual data. Data are from the built-in Theoph dataset.</w:t>
      </w:r>
      <w:r>
        <w:br/>
      </w:r>
      <w:r>
        <w:rPr>
          <w:rFonts w:ascii="Times New Roman" w:hAnsi="Times New Roman" w:cs="Times New Roman"/>
          <w:sz w:val="18"/>
        </w:rPr>
        <w:t>Abbreviations: PK: pharmacokinetic.</w:t>
      </w:r>
    </w:p>
    <w:p w:doc_index="96">
      <w:pPr>
        <w:pStyle w:val="BodyText"/>
      </w:pPr>
      <w:r w:run_index="220">
        <w:t xml:space="preserve" w:run_content_index="226">Individual concentration-time trajectories for all participants in the study,</w:t>
      </w:r>
      <w:r w:run_index="221">
        <w:t xml:space="preserve" w:run_content_index="227"> </w:t>
      </w:r>
      <w:r w:run_index="222">
        <w:t xml:space="preserve" w:run_content_index="228">plotted on the same axes, summarized numerically in</w:t>
      </w:r>
      <w:r w:run_index="223">
        <w:t xml:space="preserve" w:run_content_index="229"> </w:t>
      </w:r>
      <w:r w:run_index="224">
        <w:fldChar w:fldCharType="begin" w:run_content_index="230"/>
      </w:r>
      <w:r w:run_index="225">
        <w:instrText xml:space="preserve" w:run_content_index="231"> REF TblPkSummary \h </w:instrText>
      </w:r>
      <w:r w:run_index="226">
        <w:fldChar w:fldCharType="separate" w:run_content_index="232"/>
      </w:r>
      <w:r w:run_index="227">
        <w:t w:run_content_index="233">Table 1</w:t>
      </w:r>
      <w:r w:run_index="228">
        <w:fldChar w:fldCharType="end" w:run_content_index="234"/>
      </w:r>
      <w:r w:run_index="229">
        <w:t xml:space="preserve" w:run_content_index="235">.</w:t>
      </w:r>
    </w:p>
    <w:bookmarkEnd w:id="23"/>
    <w:bookmarkStart w:id="24" w:name="participant-demographics"/>
    <w:p w:doc_index="97">
      <w:pPr>
        <w:pStyle w:val="Heading2"/>
      </w:pPr>
      <w:r w:run_index="230">
        <w:t xml:space="preserve" w:run_content_index="236">2.3 	Participant Demographics</w:t>
      </w:r>
    </w:p>
    <w:p w:doc_index="98">
      <w:pPr>
        <w:pStyle w:val="Caption"/>
        <w:keepNext/>
      </w:pPr>
      <w:bookmarkStart w:id="3" w:name="TblDemographics"/>
      <w:r w:run_index="231">
        <w:t w:run_content_index="237">Table</w:t>
      </w:r>
      <w:r w:run_index="232">
        <w:t xml:space="preserve" w:run_content_index="238"> </w:t>
      </w:r>
      <w:r w:run_index="233">
        <w:fldChar w:fldCharType="begin" w:dirty="true" w:run_content_index="239"/>
      </w:r>
      <w:r w:run_index="234">
        <w:instrText xml:space="preserve" w:run_content_index="240"> SEQ Table \* ARABIC </w:instrText>
      </w:r>
      <w:r w:run_index="235">
        <w:fldChar w:fldCharType="separate" w:run_content_index="241"/>
      </w:r>
      <w:r w:run_index="236">
        <w:t w:run_content_index="242">2</w:t>
      </w:r>
      <w:r w:run_index="237">
        <w:fldChar w:fldCharType="end" w:run_content_index="243"/>
      </w:r>
      <w:bookmarkEnd w:id="3"/>
      <w:r w:run_index="238">
        <w:tab w:run_content_index="244"/>
        <w:t w:run_content_index="245">Participant demographic and dosing summary</w:t>
      </w:r>
    </w:p>
    <w:tbl xmlns:w14="http://schemas.microsoft.com/office/word/2010/wordml">
      <w:tblPr>
        <w:tblLayout w:type="autofit"/>
        <w:jc w:val="center"/>
        <w:tblW w:type="pct" w:w="5000"/>
        <w:tblLook w:firstRow="1" w:lastRow="0" w:firstColumn="0" w:lastColumn="0" w:noHBand="0" w:noVBand="1"/>
        <w:tblDescription w:val="{rpfy}:participant-demographics.rds [hash:d51cb7686202041f01cec77c560e34426706250ca5406ffa6e118b31f7593884]&#10;[content_hash:fa74420755e1f2879320157f769c21ef577d415c79bac8510dbaa24e6732d604]&#10;[grid:H4sIAJX9hmoC/03MsRHAMAgDwFoMwwFGYO+/WHDSpBM6Xo4+Wki1kECH5uQ0WWhTTuaSvH1/PcGcf+ouKWxTu9akUfnuHMr+2YNds7nUTdzArTGYcziKrz4hHqhLqMseI8tIpJIAAAA=]"/>
      </w:tblPr>
      <w:tr>
        <w:trPr>
          <w:cantSplit/>
          <w:trHeight w:val="360" w:hRule="auto"/>
          <w:tblHeader/>
        </w:trPr>
        <w:tc>
          <w:tcPr>
            <w:tcBorders>
              <w:bottom w:val="single" w:sz="8" w:space="0" w:color="000000"/>
              <w:top w:val="single" w:sz="8" w:space="0" w:color="000000"/>
              <w:left w:val="single" w:sz="8" w:space="0" w:color="000000"/>
              <w:right w:val="single" w:sz="8"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Participant</w:t>
            </w:r>
          </w:p>
        </w:tc>
        <w:tc>
          <w:tcPr>
            <w:tcBorders>
              <w:bottom w:val="single" w:sz="8" w:space="0" w:color="000000"/>
              <w:top w:val="single" w:sz="8" w:space="0" w:color="000000"/>
              <w:left w:val="single" w:sz="8" w:space="0" w:color="000000"/>
              <w:right w:val="single" w:sz="8"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Weight (kg)</w:t>
            </w:r>
          </w:p>
        </w:tc>
        <w:tc>
          <w:tcPr>
            <w:tcBorders>
              <w:bottom w:val="single" w:sz="8" w:space="0" w:color="000000"/>
              <w:top w:val="single" w:sz="8" w:space="0" w:color="000000"/>
              <w:left w:val="single" w:sz="8" w:space="0" w:color="000000"/>
              <w:right w:val="single" w:sz="8"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Dose (mg/kg)</w:t>
            </w:r>
          </w:p>
        </w:tc>
      </w:tr>
      <w:tr>
        <w:trPr>
          <w:cantSplit/>
          <w:trHeight w:val="360"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79.6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4.02</w:t>
            </w:r>
          </w:p>
        </w:tc>
      </w:tr>
      <w:tr>
        <w:trPr>
          <w:cantSplit/>
          <w:trHeight w:val="360"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72.4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4.40</w:t>
            </w:r>
          </w:p>
        </w:tc>
      </w:tr>
      <w:tr>
        <w:trPr>
          <w:cantSplit/>
          <w:trHeight w:val="360"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70.5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4.53</w:t>
            </w:r>
          </w:p>
        </w:tc>
      </w:tr>
      <w:tr>
        <w:trPr>
          <w:cantSplit/>
          <w:trHeight w:val="360"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72.7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4.40</w:t>
            </w:r>
          </w:p>
        </w:tc>
      </w:tr>
      <w:tr>
        <w:trPr>
          <w:cantSplit/>
          <w:trHeight w:val="360"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54.6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5.86</w:t>
            </w:r>
          </w:p>
        </w:tc>
      </w:tr>
      <w:tr>
        <w:trPr>
          <w:cantSplit/>
          <w:trHeight w:val="360"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r>
      <w:tr>
        <w:trPr>
          <w:cantSplit/>
          <w:trHeight w:val="360"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64.6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4.95</w:t>
            </w:r>
          </w:p>
        </w:tc>
      </w:tr>
      <w:tr>
        <w:trPr>
          <w:cantSplit/>
          <w:trHeight w:val="360"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70.5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4.53</w:t>
            </w:r>
          </w:p>
        </w:tc>
      </w:tr>
      <w:tr>
        <w:trPr>
          <w:cantSplit/>
          <w:trHeight w:val="360"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3.10</w:t>
            </w:r>
          </w:p>
        </w:tc>
      </w:tr>
      <w:tr>
        <w:trPr>
          <w:cantSplit/>
          <w:trHeight w:val="360"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58.2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5.50</w:t>
            </w:r>
          </w:p>
        </w:tc>
      </w:tr>
      <w:tr>
        <w:trPr>
          <w:cantSplit/>
          <w:trHeight w:val="360"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65.0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4.92</w:t>
            </w:r>
          </w:p>
        </w:tc>
      </w:tr>
      <w:tr>
        <w:trPr>
          <w:cantSplit/>
          <w:trHeight w:val="360" w:hRule="auto"/>
        </w:trPr>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60.5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76"/>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5.30</w:t>
            </w:r>
          </w:p>
        </w:tc>
      </w:tr>
    </w:tbl>
    <w:p>
      <w:r>
        <w:rPr>
          <w:rFonts w:ascii="Times New Roman" w:hAnsi="Times New Roman" w:cs="Times New Roman"/>
          <w:sz w:val="18"/>
        </w:rPr>
        <w:t>[Source: scripts/01_analysis.R 2026-08-12 20:55:43]</w:t>
      </w:r>
      <w:r>
        <w:br/>
      </w:r>
      <w:r>
        <w:rPr>
          <w:rFonts w:ascii="Times New Roman" w:hAnsi="Times New Roman" w:cs="Times New Roman"/>
          <w:sz w:val="18"/>
        </w:rPr>
        <w:t xml:space="preserve">Notes: Body weight and weight-normalized dose for each participant. Unlike the PK summary table above, this table is filled from a pre-built, hand-styled flextable object rather than a plain data frame, so it renders in this report's own reference-doc font (Times New Roman) instead of reportifyr's default table styling. </w:t>
      </w:r>
      <w:r>
        <w:br/>
      </w:r>
      <w:r>
        <w:rPr>
          <w:rFonts w:ascii="Times New Roman" w:hAnsi="Times New Roman" w:cs="Times New Roman"/>
          <w:sz w:val="18"/>
        </w:rPr>
        <w:t>Abbreviations: N/A</w:t>
      </w:r>
    </w:p>
    <w:p w:doc_index="100">
      <w:pPr>
        <w:pStyle w:val="BodyText"/>
      </w:pPr>
      <w:r w:run_index="240">
        <w:t xml:space="preserve" w:run_content_index="247">Body weight and weight-normalized dose for each participant in the study.</w:t>
      </w:r>
    </w:p>
    <w:bookmarkEnd w:id="24"/>
    <w:bookmarkStart w:id="29" w:name="scoped-numbering-example"/>
    <w:p w:doc_index="101">
      <w:pPr>
        <w:pStyle w:val="Heading2"/>
      </w:pPr>
      <w:r w:run_index="241">
        <w:t xml:space="preserve" w:run_content_index="248">2.4 	Scoped Numbering Example</w:t>
      </w:r>
    </w:p>
    <w:p w:doc_index="102">
      <w:pPr>
        <w:pStyle w:val="Caption"/>
        <w:keepNext/>
      </w:pPr>
      <w:bookmarkStart w:id="900001" w:name="FigMainSectionExample"/>
      <w:r w:run_index="242">
        <w:t xml:space="preserve" w:run_content_index="249">Figure </w:t>
      </w:r>
      <w:r w:run_index="243">
        <w:t xml:space="preserve" w:run_content_index="250">1.</w:t>
      </w:r>
      <w:r w:run_index="244">
        <w:fldChar w:fldCharType="begin" w:dirty="true" w:run_content_index="251"/>
      </w:r>
      <w:r w:run_index="245">
        <w:instrText xml:space="preserve" w:run_content_index="252"> SEQ SectionFigure \* ARABIC \r 1 </w:instrText>
      </w:r>
      <w:r w:run_index="246">
        <w:fldChar w:fldCharType="separate" w:run_content_index="253"/>
      </w:r>
      <w:r w:run_index="247">
        <w:t w:run_content_index="254">1</w:t>
      </w:r>
      <w:r w:run_index="248">
        <w:fldChar w:fldCharType="end" w:run_content_index="255"/>
      </w:r>
      <w:bookmarkEnd w:id="900001"/>
      <w:r w:run_index="249">
        <w:tab w:run_content_index="256"/>
        <w:t w:run_content_index="257">Example main-body section-scoped figure</w:t>
      </w:r>
    </w:p>
    <w:p w:doc_index="103">
      <w:pPr>
        <w:pStyle w:val="FirstParagraph"/>
      </w:pPr>
      <w:r w:run_index="250">
        <w:t xml:space="preserve" w:run_content_index="258">Numbered against this section’s own position in the main body, with no</w:t>
      </w:r>
      <w:r w:run_index="251">
        <w:t xml:space="preserve" w:run_content_index="259"> </w:t>
      </w:r>
      <w:r w:run_index="252">
        <w:t xml:space="preserve" w:run_content_index="260">appendix designator – contrast with the same shortcode used inside an</w:t>
      </w:r>
      <w:r w:run_index="253">
        <w:t xml:space="preserve" w:run_content_index="261"> </w:t>
      </w:r>
      <w:r w:run_index="254">
        <w:t xml:space="preserve" w:run_content_index="262">appendix, further down.</w:t>
      </w:r>
    </w:p>
    <w:bookmarkStart w:id="28" w:name="subsection-scoped-example"/>
    <w:p w:doc_index="104">
      <w:pPr>
        <w:pStyle w:val="Heading3"/>
      </w:pPr>
      <w:r w:run_index="255">
        <w:t xml:space="preserve" w:run_content_index="263">2.4.1 	Subsection-Scoped Example</w:t>
      </w:r>
    </w:p>
    <w:p w:doc_index="105">
      <w:pPr>
        <w:pStyle w:val="Caption"/>
        <w:keepNext/>
      </w:pPr>
      <w:bookmarkStart w:id="900002" w:name="FigMainSubsectionExample"/>
      <w:r w:run_index="256">
        <w:t xml:space="preserve" w:run_content_index="264">Figure </w:t>
      </w:r>
      <w:r w:run_index="257">
        <w:t xml:space="preserve" w:run_content_index="265">1.1.</w:t>
      </w:r>
      <w:r w:run_index="258">
        <w:fldChar w:fldCharType="begin" w:dirty="true" w:run_content_index="266"/>
      </w:r>
      <w:r w:run_index="259">
        <w:instrText xml:space="preserve" w:run_content_index="267"> SEQ SubsectionFigure \* ARABIC \r 1 </w:instrText>
      </w:r>
      <w:r w:run_index="260">
        <w:fldChar w:fldCharType="separate" w:run_content_index="268"/>
      </w:r>
      <w:r w:run_index="261">
        <w:t w:run_content_index="269">1</w:t>
      </w:r>
      <w:r w:run_index="262">
        <w:fldChar w:fldCharType="end" w:run_content_index="270"/>
      </w:r>
      <w:bookmarkEnd w:id="900002"/>
      <w:r w:run_index="263">
        <w:tab w:run_content_index="271"/>
        <w:t w:run_content_index="272">Example main-body subsection-scoped figure</w:t>
      </w:r>
    </w:p>
    <w:p w:doc_index="106">
      <w:pPr>
        <w:pStyle w:val="FirstParagraph"/>
      </w:pPr>
      <w:r w:run_index="264">
        <w:t xml:space="preserve" w:run_content_index="273">Referenced as</w:t>
      </w:r>
      <w:r w:run_index="265">
        <w:t xml:space="preserve" w:run_content_index="274"> </w:t>
      </w:r>
      <w:r w:run_index="266">
        <w:fldChar w:fldCharType="begin" w:dirty="true" w:run_content_index="275"/>
      </w:r>
      <w:r w:run_index="267">
        <w:instrText xml:space="preserve" w:run_content_index="276"> REF FigMainSectionExample \h </w:instrText>
      </w:r>
      <w:r w:run_index="268">
        <w:fldChar w:fldCharType="separate" w:run_content_index="277"/>
      </w:r>
      <w:r w:run_index="269">
        <w:t w:run_content_index="278">Figure 1.1</w:t>
      </w:r>
      <w:r w:run_index="270">
        <w:fldChar w:fldCharType="end" w:run_content_index="279"/>
      </w:r>
      <w:r w:run_index="271">
        <w:t xml:space="preserve" w:run_content_index="280"> </w:t>
      </w:r>
      <w:r w:run_index="272">
        <w:t xml:space="preserve" w:run_content_index="281">and</w:t>
      </w:r>
      <w:r w:run_index="273">
        <w:t xml:space="preserve" w:run_content_index="282"> </w:t>
      </w:r>
      <w:r w:run_index="274">
        <w:fldChar w:fldCharType="begin" w:dirty="true" w:run_content_index="283"/>
      </w:r>
      <w:r w:run_index="275">
        <w:instrText xml:space="preserve" w:run_content_index="284"> REF FigMainSubsectionExample \h </w:instrText>
      </w:r>
      <w:r w:run_index="276">
        <w:fldChar w:fldCharType="separate" w:run_content_index="285"/>
      </w:r>
      <w:r w:run_index="277">
        <w:t w:run_content_index="286">Figure 1.1.1</w:t>
      </w:r>
      <w:r w:run_index="278">
        <w:fldChar w:fldCharType="end" w:run_content_index="287"/>
      </w:r>
      <w:r w:run_index="279">
        <w:t xml:space="preserve" w:run_content_index="288">.</w:t>
      </w:r>
    </w:p>
    <w:p w:doc_index="107">
      <w:r w:run_index="280">
        <w:br w:type="page" w:run_content_index="289"/>
      </w:r>
    </w:p>
    <w:p w:doc_index="108">
      <w:pPr>
        <w:pStyle w:val="Heading1"/>
      </w:pPr>
      <w:r w:run_index="281">
        <w:t xml:space="preserve" w:run_content_index="290">References</w:t>
      </w:r>
    </w:p>
    <w:bookmarkStart w:id="27" w:name="refs"/>
    <w:bookmarkStart w:id="25" w:name="ref-boeckmann1994"/>
    <w:p w:doc_index="109">
      <w:pPr>
        <w:pStyle w:val="Bibliography"/>
      </w:pPr>
      <w:r w:run_index="282">
        <w:t xml:space="preserve" w:run_content_index="291">1.</w:t>
      </w:r>
      <w:r w:run_index="283">
        <w:t xml:space="preserve" w:run_content_index="292"> </w:t>
      </w:r>
      <w:r w:run_index="284">
        <w:t xml:space="preserve" w:run_content_index="293">	</w:t>
      </w:r>
      <w:r w:run_index="285">
        <w:t xml:space="preserve" w:run_content_index="294">Boeckmann AJ, Sheiner LB, Beal SL. Theoph: An nlme dataset for theophylline kinetics. NONMEM Users Guide. 1994;5.</w:t>
      </w:r>
    </w:p>
    <w:bookmarkEnd w:id="25"/>
    <w:bookmarkStart w:id="26" w:name="ref-pinheiro1995"/>
    <w:p w:doc_index="110">
      <w:pPr>
        <w:pStyle w:val="Bibliography"/>
      </w:pPr>
      <w:r w:run_index="286">
        <w:t xml:space="preserve" w:run_content_index="295">2.</w:t>
      </w:r>
      <w:r w:run_index="287">
        <w:t xml:space="preserve" w:run_content_index="296"> </w:t>
      </w:r>
      <w:r w:run_index="288">
        <w:t xml:space="preserve" w:run_content_index="297">	</w:t>
      </w:r>
      <w:r w:run_index="289">
        <w:t xml:space="preserve" w:run_content_index="298">Pinheiro JC, Bates DM. Approximations to the log-likelihood function in the nonlinear mixed-effects model. Journal of Computational and Graphical Statistics. 1995;4(1):12–35.</w:t>
      </w:r>
    </w:p>
    <w:bookmarkEnd w:id="26"/>
    <w:bookmarkEnd w:id="27"/>
    <w:p w:doc_index="111">
      <w:r w:run_index="290">
        <w:br w:type="page" w:run_content_index="299"/>
      </w:r>
    </w:p>
    <w:p w:doc_index="112">
      <w:pPr>
        <w:pStyle w:val="Heading1"/>
      </w:pPr>
      <w:bookmarkStart w:id="900003" w:name="StatisticalMethods"/>
      <w:r w:run_index="291">
        <w:t xml:space="preserve" w:run_content_index="300">Appendix </w:t>
      </w:r>
      <w:r w:run_index="292">
        <w:fldChar w:fldCharType="begin" w:dirty="true" w:run_content_index="301"/>
      </w:r>
      <w:r w:run_index="293">
        <w:instrText xml:space="preserve" w:run_content_index="302"> SEQ Appendix \* ALPHABETIC </w:instrText>
      </w:r>
      <w:r w:run_index="294">
        <w:fldChar w:fldCharType="separate" w:run_content_index="303"/>
      </w:r>
      <w:r w:run_index="295">
        <w:t w:run_content_index="304">A</w:t>
      </w:r>
      <w:r w:run_index="296">
        <w:fldChar w:fldCharType="end" w:run_content_index="305"/>
      </w:r>
      <w:bookmarkEnd w:id="900003"/>
      <w:r w:run_index="297">
        <w:t xml:space="preserve" w:run_content_index="306">: Statistical Methods</w:t>
      </w:r>
    </w:p>
    <w:p w:doc_index="113">
      <w:pPr>
        <w:pStyle w:val="BodyText"/>
      </w:pPr>
      <w:r w:run_index="298">
        <w:t xml:space="preserve" w:run_content_index="307">Per-participant summary statistics were computed directly from the observed</w:t>
      </w:r>
      <w:r w:run_index="299">
        <w:t xml:space="preserve" w:run_content_index="308"> </w:t>
      </w:r>
      <w:r w:run_index="300">
        <w:t xml:space="preserve" w:run_content_index="309">concentration-time data; no model-based estimation (e.g. the nonlinear</w:t>
      </w:r>
      <w:r w:run_index="301">
        <w:t xml:space="preserve" w:run_content_index="310"> </w:t>
      </w:r>
      <w:r w:run_index="302">
        <w:t xml:space="preserve" w:run_content_index="311">mixed-effects approach in</w:t>
      </w:r>
      <w:r w:run_index="303">
        <w:t xml:space="preserve" w:run_content_index="312"> </w:t>
      </w:r>
      <w:r w:run_index="304">
        <w:t xml:space="preserve" w:run_content_index="313">[</w:t>
      </w:r>
      <w:hyperlink w:anchor="ref-pinheiro1995">
        <w:r w:run_index="305">
          <w:rPr>
            <w:rStyle w:val="Hyperlink"/>
          </w:rPr>
          <w:t xml:space="preserve" w:run_content_index="314">2</w:t>
        </w:r>
      </w:hyperlink>
      <w:r w:run_index="306">
        <w:t xml:space="preserve" w:run_content_index="315">]</w:t>
      </w:r>
      <w:r w:run_index="307">
        <w:t xml:space="preserve" w:run_content_index="316">) was performed for this</w:t>
      </w:r>
      <w:r w:run_index="308">
        <w:t xml:space="preserve" w:run_content_index="317"> </w:t>
      </w:r>
      <w:r w:run_index="309">
        <w:t xml:space="preserve" w:run_content_index="318">demonstration report. See</w:t>
      </w:r>
      <w:r w:run_index="310">
        <w:t xml:space="preserve" w:run_content_index="319"> </w:t>
      </w:r>
      <w:r w:run_index="311">
        <w:fldChar w:fldCharType="begin" w:dirty="true" w:run_content_index="320"/>
      </w:r>
      <w:r w:run_index="312">
        <w:instrText xml:space="preserve" w:run_content_index="321"> REF StatisticalMethods \h </w:instrText>
      </w:r>
      <w:r w:run_index="313">
        <w:fldChar w:fldCharType="separate" w:run_content_index="322"/>
      </w:r>
      <w:r w:run_index="314">
        <w:t w:run_content_index="323">Appendix ?</w:t>
      </w:r>
      <w:r w:run_index="315">
        <w:fldChar w:fldCharType="end" w:run_content_index="324"/>
      </w:r>
      <w:r w:run_index="316">
        <w:t xml:space="preserve" w:run_content_index="325"> </w:t>
      </w:r>
      <w:r w:run_index="317">
        <w:t xml:space="preserve" w:run_content_index="326">for the complete methodology.</w:t>
      </w:r>
    </w:p>
    <w:p w:doc_index="114">
      <w:r w:run_index="318">
        <w:br w:type="page" w:run_content_index="327"/>
      </w:r>
    </w:p>
    <w:p w:doc_index="115">
      <w:pPr>
        <w:pStyle w:val="Heading1"/>
      </w:pPr>
      <w:bookmarkStart w:id="900004" w:name="AnalysisCode"/>
      <w:r w:run_index="319">
        <w:t xml:space="preserve" w:run_content_index="328">Appendix </w:t>
      </w:r>
      <w:r w:run_index="320">
        <w:fldChar w:fldCharType="begin" w:dirty="true" w:run_content_index="329"/>
      </w:r>
      <w:r w:run_index="321">
        <w:instrText xml:space="preserve" w:run_content_index="330"> SEQ Appendix \* ALPHABETIC </w:instrText>
      </w:r>
      <w:r w:run_index="322">
        <w:fldChar w:fldCharType="separate" w:run_content_index="331"/>
      </w:r>
      <w:r w:run_index="323">
        <w:t w:run_content_index="332">B</w:t>
      </w:r>
      <w:r w:run_index="324">
        <w:fldChar w:fldCharType="end" w:run_content_index="333"/>
      </w:r>
      <w:bookmarkEnd w:id="900004"/>
      <w:r w:run_index="325">
        <w:t xml:space="preserve" w:run_content_index="334">: Analysis Code</w:t>
      </w:r>
    </w:p>
    <w:p w:doc_index="116">
      <w:pPr>
        <w:pStyle w:val="BodyText"/>
      </w:pPr>
      <w:r w:run_index="326">
        <w:t xml:space="preserve" w:run_content_index="335">The complete R script used to produce this report’s tables and figure</w:t>
      </w:r>
      <w:r w:run_index="327">
        <w:t xml:space="preserve" w:run_content_index="336"> </w:t>
      </w:r>
      <w:r w:run_index="328">
        <w:t xml:space="preserve" w:run_content_index="337">(</w:t>
      </w:r>
      <w:r w:run_index="329">
        <w:fldChar w:fldCharType="begin" w:dirty="true" w:run_content_index="338"/>
      </w:r>
      <w:r w:run_index="330">
        <w:instrText xml:space="preserve" w:run_content_index="339"> REF StatisticalMethods \h </w:instrText>
      </w:r>
      <w:r w:run_index="331">
        <w:fldChar w:fldCharType="separate" w:run_content_index="340"/>
      </w:r>
      <w:r w:run_index="332">
        <w:t w:run_content_index="341">Appendix ?</w:t>
      </w:r>
      <w:r w:run_index="333">
        <w:fldChar w:fldCharType="end" w:run_content_index="342"/>
      </w:r>
      <w:r w:run_index="334">
        <w:t xml:space="preserve" w:run_content_index="343"> </w:t>
      </w:r>
      <w:r w:run_index="335">
        <w:t xml:space="preserve" w:run_content_index="344">above) is reproduced</w:t>
      </w:r>
      <w:r w:run_index="336">
        <w:t xml:space="preserve" w:run_content_index="345"> </w:t>
      </w:r>
      <w:r w:run_index="337">
        <w:t xml:space="preserve" w:run_content_index="346">below for reference.</w:t>
      </w:r>
    </w:p>
    <w:p w:doc_index="117">
      <w:pPr>
        <w:pStyle w:val="SourceCode"/>
      </w:pPr>
      <w:r w:run_index="338">
        <w:rPr>
          <w:rStyle w:val="CommentTok"/>
        </w:rPr>
        <w:t xml:space="preserve" w:run_content_index="347"># Generates the demo report's artifacts: a PK parameter summary table, a</w:t>
      </w:r>
      <w:r w:run_index="339">
        <w:br w:run_content_index="348"/>
      </w:r>
      <w:r w:run_index="340">
        <w:rPr>
          <w:rStyle w:val="CommentTok"/>
        </w:rPr>
        <w:t xml:space="preserve" w:run_content_index="349"># participant demographics table, and a concentration-time figure, using</w:t>
      </w:r>
      <w:r w:run_index="341">
        <w:br w:run_content_index="350"/>
      </w:r>
      <w:r w:run_index="342">
        <w:rPr>
          <w:rStyle w:val="CommentTok"/>
        </w:rPr>
        <w:t xml:space="preserve" w:run_content_index="351"># base R's built-in Theoph dataset (the same one reportifyr's own README/</w:t>
      </w:r>
      <w:r w:run_index="343">
        <w:br w:run_content_index="352"/>
      </w:r>
      <w:r w:run_index="344">
        <w:rPr>
          <w:rStyle w:val="CommentTok"/>
        </w:rPr>
        <w:t xml:space="preserve" w:run_content_index="353"># examples use). Run from this project's root (examples/demo-report/), e.g.:</w:t>
      </w:r>
      <w:r w:run_index="345">
        <w:br w:run_content_index="354"/>
      </w:r>
      <w:r w:run_index="346">
        <w:rPr>
          <w:rStyle w:val="CommentTok"/>
        </w:rPr>
        <w:t xml:space="preserve" w:run_content_index="355">#</w:t>
      </w:r>
      <w:r w:run_index="347">
        <w:br w:run_content_index="356"/>
      </w:r>
      <w:r w:run_index="348">
        <w:rPr>
          <w:rStyle w:val="CommentTok"/>
        </w:rPr>
        <w:t xml:space="preserve" w:run_content_index="357">#   cd examples/demo-report &amp;&amp; Rscript scripts/01_analysis.R</w:t>
      </w:r>
      <w:r w:run_index="349">
        <w:br w:run_content_index="358"/>
      </w:r>
      <w:r w:run_index="350">
        <w:br w:run_content_index="359"/>
      </w:r>
      <w:r w:run_index="351">
        <w:rPr>
          <w:rStyle w:val="FunctionTok"/>
        </w:rPr>
        <w:t xml:space="preserve" w:run_content_index="360">library</w:t>
      </w:r>
      <w:r w:run_index="352">
        <w:rPr>
          <w:rStyle w:val="NormalTok"/>
        </w:rPr>
        <w:t xml:space="preserve" w:run_content_index="361">(reportifyr)</w:t>
      </w:r>
      <w:r w:run_index="353">
        <w:br w:run_content_index="362"/>
      </w:r>
      <w:r w:run_index="354">
        <w:rPr>
          <w:rStyle w:val="FunctionTok"/>
        </w:rPr>
        <w:t xml:space="preserve" w:run_content_index="363">library</w:t>
      </w:r>
      <w:r w:run_index="355">
        <w:rPr>
          <w:rStyle w:val="NormalTok"/>
        </w:rPr>
        <w:t xml:space="preserve" w:run_content_index="364">(ggplot2)</w:t>
      </w:r>
      <w:r w:run_index="356">
        <w:br w:run_content_index="365"/>
      </w:r>
      <w:r w:run_index="357">
        <w:rPr>
          <w:rStyle w:val="FunctionTok"/>
        </w:rPr>
        <w:t xml:space="preserve" w:run_content_index="366">library</w:t>
      </w:r>
      <w:r w:run_index="358">
        <w:rPr>
          <w:rStyle w:val="NormalTok"/>
        </w:rPr>
        <w:t xml:space="preserve" w:run_content_index="367">(flextable)</w:t>
      </w:r>
      <w:r w:run_index="359">
        <w:br w:run_content_index="368"/>
      </w:r>
      <w:r w:run_index="360">
        <w:rPr>
          <w:rStyle w:val="FunctionTok"/>
        </w:rPr>
        <w:t xml:space="preserve" w:run_content_index="369">library</w:t>
      </w:r>
      <w:r w:run_index="361">
        <w:rPr>
          <w:rStyle w:val="NormalTok"/>
        </w:rPr>
        <w:t xml:space="preserve" w:run_content_index="370">(officer)</w:t>
      </w:r>
      <w:r w:run_index="362">
        <w:br w:run_content_index="371"/>
      </w:r>
      <w:r w:run_index="363">
        <w:br w:run_content_index="372"/>
      </w:r>
      <w:r w:run_index="364">
        <w:rPr>
          <w:rStyle w:val="FunctionTok"/>
        </w:rPr>
        <w:t xml:space="preserve" w:run_content_index="373">stopifnot</w:t>
      </w:r>
      <w:r w:run_index="365">
        <w:rPr>
          <w:rStyle w:val="NormalTok"/>
        </w:rPr>
        <w:t xml:space="preserve" w:run_content_index="374">(</w:t>
      </w:r>
      <w:r w:run_index="366">
        <w:rPr>
          <w:rStyle w:val="FunctionTok"/>
        </w:rPr>
        <w:t xml:space="preserve" w:run_content_index="375">basename</w:t>
      </w:r>
      <w:r w:run_index="367">
        <w:rPr>
          <w:rStyle w:val="NormalTok"/>
        </w:rPr>
        <w:t xml:space="preserve" w:run_content_index="376">(</w:t>
      </w:r>
      <w:r w:run_index="368">
        <w:rPr>
          <w:rStyle w:val="FunctionTok"/>
        </w:rPr>
        <w:t xml:space="preserve" w:run_content_index="377">getwd</w:t>
      </w:r>
      <w:r w:run_index="369">
        <w:rPr>
          <w:rStyle w:val="NormalTok"/>
        </w:rPr>
        <w:t xml:space="preserve" w:run_content_index="378">()) </w:t>
      </w:r>
      <w:r w:run_index="370">
        <w:rPr>
          <w:rStyle w:val="SpecialCharTok"/>
        </w:rPr>
        <w:t xml:space="preserve" w:run_content_index="379">==</w:t>
      </w:r>
      <w:r w:run_index="371">
        <w:rPr>
          <w:rStyle w:val="NormalTok"/>
        </w:rPr>
        <w:t xml:space="preserve" w:run_content_index="380"> </w:t>
      </w:r>
      <w:r w:run_index="372">
        <w:rPr>
          <w:rStyle w:val="StringTok"/>
        </w:rPr>
        <w:t xml:space="preserve" w:run_content_index="381">"demo-report"</w:t>
      </w:r>
      <w:r w:run_index="373">
        <w:rPr>
          <w:rStyle w:val="NormalTok"/>
        </w:rPr>
        <w:t xml:space="preserve" w:run_content_index="382">)</w:t>
      </w:r>
      <w:r w:run_index="374">
        <w:br w:run_content_index="383"/>
      </w:r>
      <w:r w:run_index="375">
        <w:br w:run_content_index="384"/>
      </w:r>
      <w:r w:run_index="376">
        <w:rPr>
          <w:rStyle w:val="NormalTok"/>
        </w:rPr>
        <w:t xml:space="preserve" w:run_content_index="385">config_yaml </w:t>
      </w:r>
      <w:r w:run_index="377">
        <w:rPr>
          <w:rStyle w:val="OtherTok"/>
        </w:rPr>
        <w:t xml:space="preserve" w:run_content_index="386">&lt;-</w:t>
      </w:r>
      <w:r w:run_index="378">
        <w:rPr>
          <w:rStyle w:val="NormalTok"/>
        </w:rPr>
        <w:t xml:space="preserve" w:run_content_index="387"> </w:t>
      </w:r>
      <w:r w:run_index="379">
        <w:rPr>
          <w:rStyle w:val="FunctionTok"/>
        </w:rPr>
        <w:t xml:space="preserve" w:run_content_index="388">file.path</w:t>
      </w:r>
      <w:r w:run_index="380">
        <w:rPr>
          <w:rStyle w:val="NormalTok"/>
        </w:rPr>
        <w:t xml:space="preserve" w:run_content_index="389">(</w:t>
      </w:r>
      <w:r w:run_index="381">
        <w:rPr>
          <w:rStyle w:val="StringTok"/>
        </w:rPr>
        <w:t xml:space="preserve" w:run_content_index="390">"report"</w:t>
      </w:r>
      <w:r w:run_index="382">
        <w:rPr>
          <w:rStyle w:val="NormalTok"/>
        </w:rPr>
        <w:t xml:space="preserve" w:run_content_index="391">, </w:t>
      </w:r>
      <w:r w:run_index="383">
        <w:rPr>
          <w:rStyle w:val="StringTok"/>
        </w:rPr>
        <w:t xml:space="preserve" w:run_content_index="392">"config.yaml"</w:t>
      </w:r>
      <w:r w:run_index="384">
        <w:rPr>
          <w:rStyle w:val="NormalTok"/>
        </w:rPr>
        <w:t xml:space="preserve" w:run_content_index="393">)</w:t>
      </w:r>
      <w:r w:run_index="385">
        <w:br w:run_content_index="394"/>
      </w:r>
      <w:r w:run_index="386">
        <w:br w:run_content_index="395"/>
      </w:r>
      <w:r w:run_index="387">
        <w:rPr>
          <w:rStyle w:val="CommentTok"/>
        </w:rPr>
        <w:t xml:space="preserve" w:run_content_index="396"># Theoph's own column is "Subject" -- renamed to "Participant" to match</w:t>
      </w:r>
      <w:r w:run_index="388">
        <w:br w:run_content_index="397"/>
      </w:r>
      <w:r w:run_index="389">
        <w:rPr>
          <w:rStyle w:val="CommentTok"/>
        </w:rPr>
        <w:t xml:space="preserve" w:run_content_index="398"># current org convention before it reaches any output.</w:t>
      </w:r>
      <w:r w:run_index="390">
        <w:br w:run_content_index="399"/>
      </w:r>
      <w:r w:run_index="391">
        <w:rPr>
          <w:rStyle w:val="NormalTok"/>
        </w:rPr>
        <w:t xml:space="preserve" w:run_content_index="400">theoph </w:t>
      </w:r>
      <w:r w:run_index="392">
        <w:rPr>
          <w:rStyle w:val="OtherTok"/>
        </w:rPr>
        <w:t xml:space="preserve" w:run_content_index="401">&lt;-</w:t>
      </w:r>
      <w:r w:run_index="393">
        <w:rPr>
          <w:rStyle w:val="NormalTok"/>
        </w:rPr>
        <w:t xml:space="preserve" w:run_content_index="402"> Theoph</w:t>
      </w:r>
      <w:r w:run_index="394">
        <w:br w:run_content_index="403"/>
      </w:r>
      <w:r w:run_index="395">
        <w:rPr>
          <w:rStyle w:val="FunctionTok"/>
        </w:rPr>
        <w:t xml:space="preserve" w:run_content_index="404">names</w:t>
      </w:r>
      <w:r w:run_index="396">
        <w:rPr>
          <w:rStyle w:val="NormalTok"/>
        </w:rPr>
        <w:t xml:space="preserve" w:run_content_index="405">(theoph)[</w:t>
      </w:r>
      <w:r w:run_index="397">
        <w:rPr>
          <w:rStyle w:val="FunctionTok"/>
        </w:rPr>
        <w:t xml:space="preserve" w:run_content_index="406">names</w:t>
      </w:r>
      <w:r w:run_index="398">
        <w:rPr>
          <w:rStyle w:val="NormalTok"/>
        </w:rPr>
        <w:t xml:space="preserve" w:run_content_index="407">(theoph) </w:t>
      </w:r>
      <w:r w:run_index="399">
        <w:rPr>
          <w:rStyle w:val="SpecialCharTok"/>
        </w:rPr>
        <w:t xml:space="preserve" w:run_content_index="408">==</w:t>
      </w:r>
      <w:r w:run_index="400">
        <w:rPr>
          <w:rStyle w:val="NormalTok"/>
        </w:rPr>
        <w:t xml:space="preserve" w:run_content_index="409"> </w:t>
      </w:r>
      <w:r w:run_index="401">
        <w:rPr>
          <w:rStyle w:val="StringTok"/>
        </w:rPr>
        <w:t xml:space="preserve" w:run_content_index="410">"Subject"</w:t>
      </w:r>
      <w:r w:run_index="402">
        <w:rPr>
          <w:rStyle w:val="NormalTok"/>
        </w:rPr>
        <w:t xml:space="preserve" w:run_content_index="411">] </w:t>
      </w:r>
      <w:r w:run_index="403">
        <w:rPr>
          <w:rStyle w:val="OtherTok"/>
        </w:rPr>
        <w:t xml:space="preserve" w:run_content_index="412">&lt;-</w:t>
      </w:r>
      <w:r w:run_index="404">
        <w:rPr>
          <w:rStyle w:val="NormalTok"/>
        </w:rPr>
        <w:t xml:space="preserve" w:run_content_index="413"> </w:t>
      </w:r>
      <w:r w:run_index="405">
        <w:rPr>
          <w:rStyle w:val="StringTok"/>
        </w:rPr>
        <w:t xml:space="preserve" w:run_content_index="414">"Participant"</w:t>
      </w:r>
      <w:r w:run_index="406">
        <w:br w:run_content_index="415"/>
      </w:r>
      <w:r w:run_index="407">
        <w:br w:run_content_index="416"/>
      </w:r>
      <w:r w:run_index="408">
        <w:rPr>
          <w:rStyle w:val="NormalTok"/>
        </w:rPr>
        <w:t xml:space="preserve" w:run_content_index="417">pk_summary </w:t>
      </w:r>
      <w:r w:run_index="409">
        <w:rPr>
          <w:rStyle w:val="OtherTok"/>
        </w:rPr>
        <w:t xml:space="preserve" w:run_content_index="418">&lt;-</w:t>
      </w:r>
      <w:r w:run_index="410">
        <w:rPr>
          <w:rStyle w:val="NormalTok"/>
        </w:rPr>
        <w:t xml:space="preserve" w:run_content_index="419"> </w:t>
      </w:r>
      <w:r w:run_index="411">
        <w:rPr>
          <w:rStyle w:val="FunctionTok"/>
        </w:rPr>
        <w:t xml:space="preserve" w:run_content_index="420">aggregate</w:t>
      </w:r>
      <w:r w:run_index="412">
        <w:rPr>
          <w:rStyle w:val="NormalTok"/>
        </w:rPr>
        <w:t xml:space="preserve" w:run_content_index="421">(</w:t>
      </w:r>
      <w:r w:run_index="413">
        <w:br w:run_content_index="422"/>
      </w:r>
      <w:r w:run_index="414">
        <w:rPr>
          <w:rStyle w:val="NormalTok"/>
        </w:rPr>
        <w:t xml:space="preserve" w:run_content_index="423">  conc </w:t>
      </w:r>
      <w:r w:run_index="415">
        <w:rPr>
          <w:rStyle w:val="SpecialCharTok"/>
        </w:rPr>
        <w:t xml:space="preserve" w:run_content_index="424">~</w:t>
      </w:r>
      <w:r w:run_index="416">
        <w:rPr>
          <w:rStyle w:val="NormalTok"/>
        </w:rPr>
        <w:t xml:space="preserve" w:run_content_index="425"> Participant,</w:t>
      </w:r>
      <w:r w:run_index="417">
        <w:br w:run_content_index="426"/>
      </w:r>
      <w:r w:run_index="418">
        <w:rPr>
          <w:rStyle w:val="NormalTok"/>
        </w:rPr>
        <w:t xml:space="preserve" w:run_content_index="427">  </w:t>
      </w:r>
      <w:r w:run_index="419">
        <w:rPr>
          <w:rStyle w:val="AttributeTok"/>
        </w:rPr>
        <w:t xml:space="preserve" w:run_content_index="428">data =</w:t>
      </w:r>
      <w:r w:run_index="420">
        <w:rPr>
          <w:rStyle w:val="NormalTok"/>
        </w:rPr>
        <w:t xml:space="preserve" w:run_content_index="429"> theoph,</w:t>
      </w:r>
      <w:r w:run_index="421">
        <w:br w:run_content_index="430"/>
      </w:r>
      <w:r w:run_index="422">
        <w:rPr>
          <w:rStyle w:val="NormalTok"/>
        </w:rPr>
        <w:t xml:space="preserve" w:run_content_index="431">  </w:t>
      </w:r>
      <w:r w:run_index="423">
        <w:rPr>
          <w:rStyle w:val="AttributeTok"/>
        </w:rPr>
        <w:t xml:space="preserve" w:run_content_index="432">FUN =</w:t>
      </w:r>
      <w:r w:run_index="424">
        <w:rPr>
          <w:rStyle w:val="NormalTok"/>
        </w:rPr>
        <w:t xml:space="preserve" w:run_content_index="433"> </w:t>
      </w:r>
      <w:r w:run_index="425">
        <w:rPr>
          <w:rStyle w:val="ControlFlowTok"/>
        </w:rPr>
        <w:t xml:space="preserve" w:run_content_index="434">function</w:t>
      </w:r>
      <w:r w:run_index="426">
        <w:rPr>
          <w:rStyle w:val="NormalTok"/>
        </w:rPr>
        <w:t xml:space="preserve" w:run_content_index="435">(x) </w:t>
      </w:r>
      <w:r w:run_index="427">
        <w:rPr>
          <w:rStyle w:val="FunctionTok"/>
        </w:rPr>
        <w:t xml:space="preserve" w:run_content_index="436">c</w:t>
      </w:r>
      <w:r w:run_index="428">
        <w:rPr>
          <w:rStyle w:val="NormalTok"/>
        </w:rPr>
        <w:t xml:space="preserve" w:run_content_index="437">(</w:t>
      </w:r>
      <w:r w:run_index="429">
        <w:rPr>
          <w:rStyle w:val="AttributeTok"/>
        </w:rPr>
        <w:t xml:space="preserve" w:run_content_index="438">Cmax =</w:t>
      </w:r>
      <w:r w:run_index="430">
        <w:rPr>
          <w:rStyle w:val="NormalTok"/>
        </w:rPr>
        <w:t xml:space="preserve" w:run_content_index="439"> </w:t>
      </w:r>
      <w:r w:run_index="431">
        <w:rPr>
          <w:rStyle w:val="FunctionTok"/>
        </w:rPr>
        <w:t xml:space="preserve" w:run_content_index="440">max</w:t>
      </w:r>
      <w:r w:run_index="432">
        <w:rPr>
          <w:rStyle w:val="NormalTok"/>
        </w:rPr>
        <w:t xml:space="preserve" w:run_content_index="441">(x), </w:t>
      </w:r>
      <w:r w:run_index="433">
        <w:rPr>
          <w:rStyle w:val="AttributeTok"/>
        </w:rPr>
        <w:t xml:space="preserve" w:run_content_index="442">Cmin =</w:t>
      </w:r>
      <w:r w:run_index="434">
        <w:rPr>
          <w:rStyle w:val="NormalTok"/>
        </w:rPr>
        <w:t xml:space="preserve" w:run_content_index="443"> </w:t>
      </w:r>
      <w:r w:run_index="435">
        <w:rPr>
          <w:rStyle w:val="FunctionTok"/>
        </w:rPr>
        <w:t xml:space="preserve" w:run_content_index="444">min</w:t>
      </w:r>
      <w:r w:run_index="436">
        <w:rPr>
          <w:rStyle w:val="NormalTok"/>
        </w:rPr>
        <w:t xml:space="preserve" w:run_content_index="445">(x), </w:t>
      </w:r>
      <w:r w:run_index="437">
        <w:rPr>
          <w:rStyle w:val="AttributeTok"/>
        </w:rPr>
        <w:t xml:space="preserve" w:run_content_index="446">Cavg =</w:t>
      </w:r>
      <w:r w:run_index="438">
        <w:rPr>
          <w:rStyle w:val="NormalTok"/>
        </w:rPr>
        <w:t xml:space="preserve" w:run_content_index="447"> </w:t>
      </w:r>
      <w:r w:run_index="439">
        <w:rPr>
          <w:rStyle w:val="FunctionTok"/>
        </w:rPr>
        <w:t xml:space="preserve" w:run_content_index="448">mean</w:t>
      </w:r>
      <w:r w:run_index="440">
        <w:rPr>
          <w:rStyle w:val="NormalTok"/>
        </w:rPr>
        <w:t xml:space="preserve" w:run_content_index="449">(x))</w:t>
      </w:r>
      <w:r w:run_index="441">
        <w:br w:run_content_index="450"/>
      </w:r>
      <w:r w:run_index="442">
        <w:rPr>
          <w:rStyle w:val="NormalTok"/>
        </w:rPr>
        <w:t xml:space="preserve" w:run_content_index="451">)</w:t>
      </w:r>
      <w:r w:run_index="443">
        <w:br w:run_content_index="452"/>
      </w:r>
      <w:r w:run_index="444">
        <w:rPr>
          <w:rStyle w:val="NormalTok"/>
        </w:rPr>
        <w:t xml:space="preserve" w:run_content_index="453">pk_summary </w:t>
      </w:r>
      <w:r w:run_index="445">
        <w:rPr>
          <w:rStyle w:val="OtherTok"/>
        </w:rPr>
        <w:t xml:space="preserve" w:run_content_index="454">&lt;-</w:t>
      </w:r>
      <w:r w:run_index="446">
        <w:rPr>
          <w:rStyle w:val="NormalTok"/>
        </w:rPr>
        <w:t xml:space="preserve" w:run_content_index="455"> </w:t>
      </w:r>
      <w:r w:run_index="447">
        <w:rPr>
          <w:rStyle w:val="FunctionTok"/>
        </w:rPr>
        <w:t xml:space="preserve" w:run_content_index="456">data.frame</w:t>
      </w:r>
      <w:r w:run_index="448">
        <w:rPr>
          <w:rStyle w:val="NormalTok"/>
        </w:rPr>
        <w:t xml:space="preserve" w:run_content_index="457">(</w:t>
      </w:r>
      <w:r w:run_index="449">
        <w:br w:run_content_index="458"/>
      </w:r>
      <w:r w:run_index="450">
        <w:rPr>
          <w:rStyle w:val="NormalTok"/>
        </w:rPr>
        <w:t xml:space="preserve" w:run_content_index="459">  </w:t>
      </w:r>
      <w:r w:run_index="451">
        <w:rPr>
          <w:rStyle w:val="AttributeTok"/>
        </w:rPr>
        <w:t xml:space="preserve" w:run_content_index="460">Participant =</w:t>
      </w:r>
      <w:r w:run_index="452">
        <w:rPr>
          <w:rStyle w:val="NormalTok"/>
        </w:rPr>
        <w:t xml:space="preserve" w:run_content_index="461"> pk_summary</w:t>
      </w:r>
      <w:r w:run_index="453">
        <w:rPr>
          <w:rStyle w:val="SpecialCharTok"/>
        </w:rPr>
        <w:t xml:space="preserve" w:run_content_index="462">$</w:t>
      </w:r>
      <w:r w:run_index="454">
        <w:rPr>
          <w:rStyle w:val="NormalTok"/>
        </w:rPr>
        <w:t xml:space="preserve" w:run_content_index="463">Participant,</w:t>
      </w:r>
      <w:r w:run_index="455">
        <w:br w:run_content_index="464"/>
      </w:r>
      <w:r w:run_index="456">
        <w:rPr>
          <w:rStyle w:val="NormalTok"/>
        </w:rPr>
        <w:t xml:space="preserve" w:run_content_index="465">  </w:t>
      </w:r>
      <w:r w:run_index="457">
        <w:rPr>
          <w:rStyle w:val="FunctionTok"/>
        </w:rPr>
        <w:t xml:space="preserve" w:run_content_index="466">round</w:t>
      </w:r>
      <w:r w:run_index="458">
        <w:rPr>
          <w:rStyle w:val="NormalTok"/>
        </w:rPr>
        <w:t xml:space="preserve" w:run_content_index="467">(pk_summary</w:t>
      </w:r>
      <w:r w:run_index="459">
        <w:rPr>
          <w:rStyle w:val="SpecialCharTok"/>
        </w:rPr>
        <w:t xml:space="preserve" w:run_content_index="468">$</w:t>
      </w:r>
      <w:r w:run_index="460">
        <w:rPr>
          <w:rStyle w:val="NormalTok"/>
        </w:rPr>
        <w:t xml:space="preserve" w:run_content_index="469">conc, </w:t>
      </w:r>
      <w:r w:run_index="461">
        <w:rPr>
          <w:rStyle w:val="DecValTok"/>
        </w:rPr>
        <w:t xml:space="preserve" w:run_content_index="470">2</w:t>
      </w:r>
      <w:r w:run_index="462">
        <w:rPr>
          <w:rStyle w:val="NormalTok"/>
        </w:rPr>
        <w:t xml:space="preserve" w:run_content_index="471">)</w:t>
      </w:r>
      <w:r w:run_index="463">
        <w:br w:run_content_index="472"/>
      </w:r>
      <w:r w:run_index="464">
        <w:rPr>
          <w:rStyle w:val="NormalTok"/>
        </w:rPr>
        <w:t xml:space="preserve" w:run_content_index="473">)</w:t>
      </w:r>
      <w:r w:run_index="465">
        <w:br w:run_content_index="474"/>
      </w:r>
      <w:r w:run_index="466">
        <w:br w:run_content_index="475"/>
      </w:r>
      <w:r w:run_index="467">
        <w:rPr>
          <w:rStyle w:val="CommentTok"/>
        </w:rPr>
        <w:t xml:space="preserve" w:run_content_index="476"># meta_abbrevs entries are keys looked up in report/standard_footnotes.yaml's</w:t>
      </w:r>
      <w:r w:run_index="468">
        <w:br w:run_content_index="477"/>
      </w:r>
      <w:r w:run_index="469">
        <w:rPr>
          <w:rStyle w:val="CommentTok"/>
        </w:rPr>
        <w:t xml:space="preserve" w:run_content_index="478"># abbreviations: section (reportifyr errors if a key isn't defined there) --</w:t>
      </w:r>
      <w:r w:run_index="470">
        <w:br w:run_content_index="479"/>
      </w:r>
      <w:r w:run_index="471">
        <w:rPr>
          <w:rStyle w:val="CommentTok"/>
        </w:rPr>
        <w:t xml:space="preserve" w:run_content_index="480"># free text goes in meta_notes instead. meta_type works the same way against</w:t>
      </w:r>
      <w:r w:run_index="472">
        <w:br w:run_content_index="481"/>
      </w:r>
      <w:r w:run_index="473">
        <w:rPr>
          <w:rStyle w:val="CommentTok"/>
        </w:rPr>
        <w:t xml:space="preserve" w:run_content_index="482"># that file's table_footnotes:/figure_footnotes: sections, for a canned</w:t>
      </w:r>
      <w:r w:run_index="474">
        <w:br w:run_content_index="483"/>
      </w:r>
      <w:r w:run_index="475">
        <w:rPr>
          <w:rStyle w:val="CommentTok"/>
        </w:rPr>
        <w:t xml:space="preserve" w:run_content_index="484"># methodology blurb; left unset here since none of the existing table_footnotes</w:t>
      </w:r>
      <w:r w:run_index="476">
        <w:br w:run_content_index="485"/>
      </w:r>
      <w:r w:run_index="477">
        <w:rPr>
          <w:rStyle w:val="CommentTok"/>
        </w:rPr>
        <w:t xml:space="preserve" w:run_content_index="486"># entries (regression/covariate-model writeups) fit a plain summary table.</w:t>
      </w:r>
      <w:r w:run_index="478">
        <w:br w:run_content_index="487"/>
      </w:r>
      <w:r w:run_index="479">
        <w:rPr>
          <w:rStyle w:val="FunctionTok"/>
        </w:rPr>
        <w:t xml:space="preserve" w:run_content_index="488">write_csv_with_metadata</w:t>
      </w:r>
      <w:r w:run_index="480">
        <w:rPr>
          <w:rStyle w:val="NormalTok"/>
        </w:rPr>
        <w:t xml:space="preserve" w:run_content_index="489">(</w:t>
      </w:r>
      <w:r w:run_index="481">
        <w:br w:run_content_index="490"/>
      </w:r>
      <w:r w:run_index="482">
        <w:rPr>
          <w:rStyle w:val="NormalTok"/>
        </w:rPr>
        <w:t xml:space="preserve" w:run_content_index="491">  </w:t>
      </w:r>
      <w:r w:run_index="483">
        <w:rPr>
          <w:rStyle w:val="AttributeTok"/>
        </w:rPr>
        <w:t xml:space="preserve" w:run_content_index="492">object =</w:t>
      </w:r>
      <w:r w:run_index="484">
        <w:rPr>
          <w:rStyle w:val="NormalTok"/>
        </w:rPr>
        <w:t xml:space="preserve" w:run_content_index="493"> pk_summary,</w:t>
      </w:r>
      <w:r w:run_index="485">
        <w:br w:run_content_index="494"/>
      </w:r>
      <w:r w:run_index="486">
        <w:rPr>
          <w:rStyle w:val="NormalTok"/>
        </w:rPr>
        <w:t xml:space="preserve" w:run_content_index="495">  </w:t>
      </w:r>
      <w:r w:run_index="487">
        <w:rPr>
          <w:rStyle w:val="AttributeTok"/>
        </w:rPr>
        <w:t xml:space="preserve" w:run_content_index="496">file =</w:t>
      </w:r>
      <w:r w:run_index="488">
        <w:rPr>
          <w:rStyle w:val="NormalTok"/>
        </w:rPr>
        <w:t xml:space="preserve" w:run_content_index="497"> </w:t>
      </w:r>
      <w:r w:run_index="489">
        <w:rPr>
          <w:rStyle w:val="FunctionTok"/>
        </w:rPr>
        <w:t xml:space="preserve" w:run_content_index="498">file.path</w:t>
      </w:r>
      <w:r w:run_index="490">
        <w:rPr>
          <w:rStyle w:val="NormalTok"/>
        </w:rPr>
        <w:t xml:space="preserve" w:run_content_index="499">(</w:t>
      </w:r>
      <w:r w:run_index="491">
        <w:rPr>
          <w:rStyle w:val="StringTok"/>
        </w:rPr>
        <w:t xml:space="preserve" w:run_content_index="500">"OUTPUTS"</w:t>
      </w:r>
      <w:r w:run_index="492">
        <w:rPr>
          <w:rStyle w:val="NormalTok"/>
        </w:rPr>
        <w:t xml:space="preserve" w:run_content_index="501">, </w:t>
      </w:r>
      <w:r w:run_index="493">
        <w:rPr>
          <w:rStyle w:val="StringTok"/>
        </w:rPr>
        <w:t xml:space="preserve" w:run_content_index="502">"tables"</w:t>
      </w:r>
      <w:r w:run_index="494">
        <w:rPr>
          <w:rStyle w:val="NormalTok"/>
        </w:rPr>
        <w:t xml:space="preserve" w:run_content_index="503">, </w:t>
      </w:r>
      <w:r w:run_index="495">
        <w:rPr>
          <w:rStyle w:val="StringTok"/>
        </w:rPr>
        <w:t xml:space="preserve" w:run_content_index="504">"pk-summary.csv"</w:t>
      </w:r>
      <w:r w:run_index="496">
        <w:rPr>
          <w:rStyle w:val="NormalTok"/>
        </w:rPr>
        <w:t xml:space="preserve" w:run_content_index="505">),</w:t>
      </w:r>
      <w:r w:run_index="497">
        <w:br w:run_content_index="506"/>
      </w:r>
      <w:r w:run_index="498">
        <w:rPr>
          <w:rStyle w:val="NormalTok"/>
        </w:rPr>
        <w:t xml:space="preserve" w:run_content_index="507">  </w:t>
      </w:r>
      <w:r w:run_index="499">
        <w:rPr>
          <w:rStyle w:val="AttributeTok"/>
        </w:rPr>
        <w:t xml:space="preserve" w:run_content_index="508">config_yaml =</w:t>
      </w:r>
      <w:r w:run_index="500">
        <w:rPr>
          <w:rStyle w:val="NormalTok"/>
        </w:rPr>
        <w:t xml:space="preserve" w:run_content_index="509"> config_yaml,</w:t>
      </w:r>
      <w:r w:run_index="501">
        <w:br w:run_content_index="510"/>
      </w:r>
      <w:r w:run_index="502">
        <w:rPr>
          <w:rStyle w:val="NormalTok"/>
        </w:rPr>
        <w:t xml:space="preserve" w:run_content_index="511">  </w:t>
      </w:r>
      <w:r w:run_index="503">
        <w:rPr>
          <w:rStyle w:val="AttributeTok"/>
        </w:rPr>
        <w:t xml:space="preserve" w:run_content_index="512">meta_notes =</w:t>
      </w:r>
      <w:r w:run_index="504">
        <w:rPr>
          <w:rStyle w:val="NormalTok"/>
        </w:rPr>
        <w:t xml:space="preserve" w:run_content_index="513"> </w:t>
      </w:r>
      <w:r w:run_index="505">
        <w:rPr>
          <w:rStyle w:val="StringTok"/>
        </w:rPr>
        <w:t xml:space="preserve" w:run_content_index="514">"Values are per-participant summary statistics computed directly from observed concentrations; no imputation or model-based estimation was performed. This table is filled from a plain data frame, so reportifyr renders it in its own default table styling (Arial Narrow) rather than this report's own body font -- contrast with the participant demographics table below, filled from a pre-styled flextable object."</w:t>
      </w:r>
      <w:r w:run_index="506">
        <w:rPr>
          <w:rStyle w:val="NormalTok"/>
        </w:rPr>
        <w:t xml:space="preserve" w:run_content_index="515">,</w:t>
      </w:r>
      <w:r w:run_index="507">
        <w:br w:run_content_index="516"/>
      </w:r>
      <w:r w:run_index="508">
        <w:rPr>
          <w:rStyle w:val="NormalTok"/>
        </w:rPr>
        <w:t xml:space="preserve" w:run_content_index="517">  </w:t>
      </w:r>
      <w:r w:run_index="509">
        <w:rPr>
          <w:rStyle w:val="AttributeTok"/>
        </w:rPr>
        <w:t xml:space="preserve" w:run_content_index="518">meta_abbrevs =</w:t>
      </w:r>
      <w:r w:run_index="510">
        <w:rPr>
          <w:rStyle w:val="NormalTok"/>
        </w:rPr>
        <w:t xml:space="preserve" w:run_content_index="519"> </w:t>
      </w:r>
      <w:r w:run_index="511">
        <w:rPr>
          <w:rStyle w:val="StringTok"/>
        </w:rPr>
        <w:t xml:space="preserve" w:run_content_index="520">"PK"</w:t>
      </w:r>
      <w:r w:run_index="512">
        <w:rPr>
          <w:rStyle w:val="NormalTok"/>
        </w:rPr>
        <w:t xml:space="preserve" w:run_content_index="521">,</w:t>
      </w:r>
      <w:r w:run_index="513">
        <w:br w:run_content_index="522"/>
      </w:r>
      <w:r w:run_index="514">
        <w:rPr>
          <w:rStyle w:val="NormalTok"/>
        </w:rPr>
        <w:t xml:space="preserve" w:run_content_index="523">  </w:t>
      </w:r>
      <w:r w:run_index="515">
        <w:rPr>
          <w:rStyle w:val="AttributeTok"/>
        </w:rPr>
        <w:t xml:space="preserve" w:run_content_index="524">row.names =</w:t>
      </w:r>
      <w:r w:run_index="516">
        <w:rPr>
          <w:rStyle w:val="NormalTok"/>
        </w:rPr>
        <w:t xml:space="preserve" w:run_content_index="525"> </w:t>
      </w:r>
      <w:r w:run_index="517">
        <w:rPr>
          <w:rStyle w:val="ConstantTok"/>
        </w:rPr>
        <w:t xml:space="preserve" w:run_content_index="526">FALSE</w:t>
      </w:r>
      <w:r w:run_index="518">
        <w:br w:run_content_index="527"/>
      </w:r>
      <w:r w:run_index="519">
        <w:rPr>
          <w:rStyle w:val="NormalTok"/>
        </w:rPr>
        <w:t xml:space="preserve" w:run_content_index="528">)</w:t>
      </w:r>
      <w:r w:run_index="520">
        <w:br w:run_content_index="529"/>
      </w:r>
      <w:r w:run_index="521">
        <w:br w:run_content_index="530"/>
      </w:r>
      <w:r w:run_index="522">
        <w:rPr>
          <w:rStyle w:val="CommentTok"/>
        </w:rPr>
        <w:t xml:space="preserve" w:run_content_index="531"># A second table, complementing pk_summary above to show reportifyr's two</w:t>
      </w:r>
      <w:r w:run_index="523">
        <w:br w:run_content_index="532"/>
      </w:r>
      <w:r w:run_index="524">
        <w:rPr>
          <w:rStyle w:val="CommentTok"/>
        </w:rPr>
        <w:t xml:space="preserve" w:run_content_index="533"># ways of filling an rpfy-prefixed table magic string: a plain data frame</w:t>
      </w:r>
      <w:r w:run_index="525">
        <w:br w:run_content_index="534"/>
      </w:r>
      <w:r w:run_index="526">
        <w:rPr>
          <w:rStyle w:val="CommentTok"/>
        </w:rPr>
        <w:t xml:space="preserve" w:run_content_index="535"># (.csv, above) vs. a pre-built `flextable` object (.rds, here). This matters</w:t>
      </w:r>
      <w:r w:run_index="527">
        <w:br w:run_content_index="536"/>
      </w:r>
      <w:r w:run_index="528">
        <w:rPr>
          <w:rStyle w:val="CommentTok"/>
        </w:rPr>
        <w:t xml:space="preserve" w:run_content_index="537"># because reportifyr::add_tables() (process_table_file(), R/add_tables.R)</w:t>
      </w:r>
      <w:r w:run_index="529">
        <w:br w:run_content_index="538"/>
      </w:r>
      <w:r w:run_index="530">
        <w:rPr>
          <w:rStyle w:val="CommentTok"/>
        </w:rPr>
        <w:t xml:space="preserve" w:run_content_index="539"># only runs its own formatting -- format_flextable(), which hardcodes</w:t>
      </w:r>
      <w:r w:run_index="531">
        <w:br w:run_content_index="540"/>
      </w:r>
      <w:r w:run_index="532">
        <w:rPr>
          <w:rStyle w:val="CommentTok"/>
        </w:rPr>
        <w:t xml:space="preserve" w:run_content_index="541"># Arial Narrow 10pt borders/spacing regardless of the reference-doc's</w:t>
      </w:r>
      <w:r w:run_index="533">
        <w:br w:run_content_index="542"/>
      </w:r>
      <w:r w:run_index="534">
        <w:rPr>
          <w:rStyle w:val="CommentTok"/>
        </w:rPr>
        <w:t xml:space="preserve" w:run_content_index="543"># actual body font -- on objects that AREN'T already `flextable`s; an</w:t>
      </w:r>
      <w:r w:run_index="535">
        <w:br w:run_content_index="544"/>
      </w:r>
      <w:r w:run_index="536">
        <w:rPr>
          <w:rStyle w:val="CommentTok"/>
        </w:rPr>
        <w:t xml:space="preserve" w:run_content_index="545"># .rds that already `inherits(data_in, "flextable")` when read back is</w:t>
      </w:r>
      <w:r w:run_index="537">
        <w:br w:run_content_index="546"/>
      </w:r>
      <w:r w:run_index="538">
        <w:rPr>
          <w:rStyle w:val="CommentTok"/>
        </w:rPr>
        <w:t xml:space="preserve" w:run_content_index="547"># inserted completely as-is, untouched. So pk_summary above (a plain data</w:t>
      </w:r>
      <w:r w:run_index="539">
        <w:br w:run_content_index="548"/>
      </w:r>
      <w:r w:run_index="540">
        <w:rPr>
          <w:rStyle w:val="CommentTok"/>
        </w:rPr>
        <w:t xml:space="preserve" w:run_content_index="549"># frame) always renders in reportifyr's hardcoded Arial Narrow 10pt no</w:t>
      </w:r>
      <w:r w:run_index="541">
        <w:br w:run_content_index="550"/>
      </w:r>
      <w:r w:run_index="542">
        <w:rPr>
          <w:rStyle w:val="CommentTok"/>
        </w:rPr>
        <w:t xml:space="preserve" w:run_content_index="551"># matter what this doc's reference-doc sets fonts.body to (Times New</w:t>
      </w:r>
      <w:r w:run_index="543">
        <w:br w:run_content_index="552"/>
      </w:r>
      <w:r w:run_index="544">
        <w:rPr>
          <w:rStyle w:val="CommentTok"/>
        </w:rPr>
        <w:t xml:space="preserve" w:run_content_index="553"># Roman here, per inst/python/styles/default.yaml -- see report/config.yaml's</w:t>
      </w:r>
      <w:r w:run_index="545">
        <w:br w:run_content_index="554"/>
      </w:r>
      <w:r w:run_index="546">
        <w:rPr>
          <w:rStyle w:val="CommentTok"/>
        </w:rPr>
        <w:t xml:space="preserve" w:run_content_index="555"># footnotes_font comment for the same clash affecting table *footnotes*,</w:t>
      </w:r>
      <w:r w:run_index="547">
        <w:br w:run_content_index="556"/>
      </w:r>
      <w:r w:run_index="548">
        <w:rPr>
          <w:rStyle w:val="CommentTok"/>
        </w:rPr>
        <w:t xml:space="preserve" w:run_content_index="557"># fixed there but not fixable for a plain data frame's own table body).</w:t>
      </w:r>
      <w:r w:run_index="549">
        <w:br w:run_content_index="558"/>
      </w:r>
      <w:r w:run_index="550">
        <w:rPr>
          <w:rStyle w:val="CommentTok"/>
        </w:rPr>
        <w:t xml:space="preserve" w:run_content_index="559"># Building a flextable by hand, styled to match those same values, is the</w:t>
      </w:r>
      <w:r w:run_index="551">
        <w:br w:run_content_index="560"/>
      </w:r>
      <w:r w:run_index="552">
        <w:rPr>
          <w:rStyle w:val="CommentTok"/>
        </w:rPr>
        <w:t xml:space="preserve" w:run_content_index="561"># only way to escape that -- demonstrated below.</w:t>
      </w:r>
      <w:r w:run_index="553">
        <w:br w:run_content_index="562"/>
      </w:r>
      <w:r w:run_index="554">
        <w:rPr>
          <w:rStyle w:val="NormalTok"/>
        </w:rPr>
        <w:t xml:space="preserve" w:run_content_index="563">theoph_demographics </w:t>
      </w:r>
      <w:r w:run_index="555">
        <w:rPr>
          <w:rStyle w:val="OtherTok"/>
        </w:rPr>
        <w:t xml:space="preserve" w:run_content_index="564">&lt;-</w:t>
      </w:r>
      <w:r w:run_index="556">
        <w:rPr>
          <w:rStyle w:val="NormalTok"/>
        </w:rPr>
        <w:t xml:space="preserve" w:run_content_index="565"> </w:t>
      </w:r>
      <w:r w:run_index="557">
        <w:rPr>
          <w:rStyle w:val="FunctionTok"/>
        </w:rPr>
        <w:t xml:space="preserve" w:run_content_index="566">unique</w:t>
      </w:r>
      <w:r w:run_index="558">
        <w:rPr>
          <w:rStyle w:val="NormalTok"/>
        </w:rPr>
        <w:t xml:space="preserve" w:run_content_index="567">(theoph[, </w:t>
      </w:r>
      <w:r w:run_index="559">
        <w:rPr>
          <w:rStyle w:val="FunctionTok"/>
        </w:rPr>
        <w:t xml:space="preserve" w:run_content_index="568">c</w:t>
      </w:r>
      <w:r w:run_index="560">
        <w:rPr>
          <w:rStyle w:val="NormalTok"/>
        </w:rPr>
        <w:t xml:space="preserve" w:run_content_index="569">(</w:t>
      </w:r>
      <w:r w:run_index="561">
        <w:rPr>
          <w:rStyle w:val="StringTok"/>
        </w:rPr>
        <w:t xml:space="preserve" w:run_content_index="570">"Participant"</w:t>
      </w:r>
      <w:r w:run_index="562">
        <w:rPr>
          <w:rStyle w:val="NormalTok"/>
        </w:rPr>
        <w:t xml:space="preserve" w:run_content_index="571">, </w:t>
      </w:r>
      <w:r w:run_index="563">
        <w:rPr>
          <w:rStyle w:val="StringTok"/>
        </w:rPr>
        <w:t xml:space="preserve" w:run_content_index="572">"Wt"</w:t>
      </w:r>
      <w:r w:run_index="564">
        <w:rPr>
          <w:rStyle w:val="NormalTok"/>
        </w:rPr>
        <w:t xml:space="preserve" w:run_content_index="573">, </w:t>
      </w:r>
      <w:r w:run_index="565">
        <w:rPr>
          <w:rStyle w:val="StringTok"/>
        </w:rPr>
        <w:t xml:space="preserve" w:run_content_index="574">"Dose"</w:t>
      </w:r>
      <w:r w:run_index="566">
        <w:rPr>
          <w:rStyle w:val="NormalTok"/>
        </w:rPr>
        <w:t xml:space="preserve" w:run_content_index="575">)])</w:t>
      </w:r>
      <w:r w:run_index="567">
        <w:br w:run_content_index="576"/>
      </w:r>
      <w:r w:run_index="568">
        <w:rPr>
          <w:rStyle w:val="NormalTok"/>
        </w:rPr>
        <w:t xml:space="preserve" w:run_content_index="577">theoph_demographics </w:t>
      </w:r>
      <w:r w:run_index="569">
        <w:rPr>
          <w:rStyle w:val="OtherTok"/>
        </w:rPr>
        <w:t xml:space="preserve" w:run_content_index="578">&lt;-</w:t>
      </w:r>
      <w:r w:run_index="570">
        <w:rPr>
          <w:rStyle w:val="NormalTok"/>
        </w:rPr>
        <w:t xml:space="preserve" w:run_content_index="579"> theoph_demographics[</w:t>
      </w:r>
      <w:r w:run_index="571">
        <w:br w:run_content_index="580"/>
      </w:r>
      <w:r w:run_index="572">
        <w:rPr>
          <w:rStyle w:val="NormalTok"/>
        </w:rPr>
        <w:t xml:space="preserve" w:run_content_index="581">  </w:t>
      </w:r>
      <w:r w:run_index="573">
        <w:rPr>
          <w:rStyle w:val="FunctionTok"/>
        </w:rPr>
        <w:t xml:space="preserve" w:run_content_index="582">order</w:t>
      </w:r>
      <w:r w:run_index="574">
        <w:rPr>
          <w:rStyle w:val="NormalTok"/>
        </w:rPr>
        <w:t xml:space="preserve" w:run_content_index="583">(</w:t>
      </w:r>
      <w:r w:run_index="575">
        <w:rPr>
          <w:rStyle w:val="FunctionTok"/>
        </w:rPr>
        <w:t xml:space="preserve" w:run_content_index="584">as.numeric</w:t>
      </w:r>
      <w:r w:run_index="576">
        <w:rPr>
          <w:rStyle w:val="NormalTok"/>
        </w:rPr>
        <w:t xml:space="preserve" w:run_content_index="585">(</w:t>
      </w:r>
      <w:r w:run_index="577">
        <w:rPr>
          <w:rStyle w:val="FunctionTok"/>
        </w:rPr>
        <w:t xml:space="preserve" w:run_content_index="586">as.character</w:t>
      </w:r>
      <w:r w:run_index="578">
        <w:rPr>
          <w:rStyle w:val="NormalTok"/>
        </w:rPr>
        <w:t xml:space="preserve" w:run_content_index="587">(theoph_demographics</w:t>
      </w:r>
      <w:r w:run_index="579">
        <w:rPr>
          <w:rStyle w:val="SpecialCharTok"/>
        </w:rPr>
        <w:t xml:space="preserve" w:run_content_index="588">$</w:t>
      </w:r>
      <w:r w:run_index="580">
        <w:rPr>
          <w:rStyle w:val="NormalTok"/>
        </w:rPr>
        <w:t xml:space="preserve" w:run_content_index="589">Participant))),</w:t>
      </w:r>
      <w:r w:run_index="581">
        <w:br w:run_content_index="590"/>
      </w:r>
      <w:r w:run_index="582">
        <w:rPr>
          <w:rStyle w:val="NormalTok"/>
        </w:rPr>
        <w:t xml:space="preserve" w:run_content_index="591">]</w:t>
      </w:r>
      <w:r w:run_index="583">
        <w:br w:run_content_index="592"/>
      </w:r>
      <w:r w:run_index="584">
        <w:rPr>
          <w:rStyle w:val="FunctionTok"/>
        </w:rPr>
        <w:t xml:space="preserve" w:run_content_index="593">names</w:t>
      </w:r>
      <w:r w:run_index="585">
        <w:rPr>
          <w:rStyle w:val="NormalTok"/>
        </w:rPr>
        <w:t xml:space="preserve" w:run_content_index="594">(theoph_demographics) </w:t>
      </w:r>
      <w:r w:run_index="586">
        <w:rPr>
          <w:rStyle w:val="OtherTok"/>
        </w:rPr>
        <w:t xml:space="preserve" w:run_content_index="595">&lt;-</w:t>
      </w:r>
      <w:r w:run_index="587">
        <w:rPr>
          <w:rStyle w:val="NormalTok"/>
        </w:rPr>
        <w:t xml:space="preserve" w:run_content_index="596"> </w:t>
      </w:r>
      <w:r w:run_index="588">
        <w:rPr>
          <w:rStyle w:val="FunctionTok"/>
        </w:rPr>
        <w:t xml:space="preserve" w:run_content_index="597">c</w:t>
      </w:r>
      <w:r w:run_index="589">
        <w:rPr>
          <w:rStyle w:val="NormalTok"/>
        </w:rPr>
        <w:t xml:space="preserve" w:run_content_index="598">(</w:t>
      </w:r>
      <w:r w:run_index="590">
        <w:rPr>
          <w:rStyle w:val="StringTok"/>
        </w:rPr>
        <w:t xml:space="preserve" w:run_content_index="599">"Participant"</w:t>
      </w:r>
      <w:r w:run_index="591">
        <w:rPr>
          <w:rStyle w:val="NormalTok"/>
        </w:rPr>
        <w:t xml:space="preserve" w:run_content_index="600">, </w:t>
      </w:r>
      <w:r w:run_index="592">
        <w:rPr>
          <w:rStyle w:val="StringTok"/>
        </w:rPr>
        <w:t xml:space="preserve" w:run_content_index="601">"Weight (kg)"</w:t>
      </w:r>
      <w:r w:run_index="593">
        <w:rPr>
          <w:rStyle w:val="NormalTok"/>
        </w:rPr>
        <w:t xml:space="preserve" w:run_content_index="602">, </w:t>
      </w:r>
      <w:r w:run_index="594">
        <w:rPr>
          <w:rStyle w:val="StringTok"/>
        </w:rPr>
        <w:t xml:space="preserve" w:run_content_index="603">"Dose (mg/kg)"</w:t>
      </w:r>
      <w:r w:run_index="595">
        <w:rPr>
          <w:rStyle w:val="NormalTok"/>
        </w:rPr>
        <w:t xml:space="preserve" w:run_content_index="604">)</w:t>
      </w:r>
      <w:r w:run_index="596">
        <w:br w:run_content_index="605"/>
      </w:r>
      <w:r w:run_index="597">
        <w:br w:run_content_index="606"/>
      </w:r>
      <w:r w:run_index="598">
        <w:rPr>
          <w:rStyle w:val="NormalTok"/>
        </w:rPr>
        <w:t xml:space="preserve" w:run_content_index="607">demographics_ft </w:t>
      </w:r>
      <w:r w:run_index="599">
        <w:rPr>
          <w:rStyle w:val="OtherTok"/>
        </w:rPr>
        <w:t xml:space="preserve" w:run_content_index="608">&lt;-</w:t>
      </w:r>
      <w:r w:run_index="600">
        <w:rPr>
          <w:rStyle w:val="NormalTok"/>
        </w:rPr>
        <w:t xml:space="preserve" w:run_content_index="609"> </w:t>
      </w:r>
      <w:r w:run_index="601">
        <w:rPr>
          <w:rStyle w:val="FunctionTok"/>
        </w:rPr>
        <w:t xml:space="preserve" w:run_content_index="610">flextable</w:t>
      </w:r>
      <w:r w:run_index="602">
        <w:rPr>
          <w:rStyle w:val="NormalTok"/>
        </w:rPr>
        <w:t xml:space="preserve" w:run_content_index="611">(theoph_demographics) </w:t>
      </w:r>
      <w:r w:run_index="603">
        <w:rPr>
          <w:rStyle w:val="SpecialCharTok"/>
        </w:rPr>
        <w:t xml:space="preserve" w:run_content_index="612">|&gt;</w:t>
      </w:r>
      <w:r w:run_index="604">
        <w:br w:run_content_index="613"/>
      </w:r>
      <w:r w:run_index="605">
        <w:rPr>
          <w:rStyle w:val="NormalTok"/>
        </w:rPr>
        <w:t xml:space="preserve" w:run_content_index="614">  </w:t>
      </w:r>
      <w:r w:run_index="606">
        <w:rPr>
          <w:rStyle w:val="FunctionTok"/>
        </w:rPr>
        <w:t xml:space="preserve" w:run_content_index="615">set_table_properties</w:t>
      </w:r>
      <w:r w:run_index="607">
        <w:rPr>
          <w:rStyle w:val="NormalTok"/>
        </w:rPr>
        <w:t xml:space="preserve" w:run_content_index="616">(</w:t>
      </w:r>
      <w:r w:run_index="608">
        <w:rPr>
          <w:rStyle w:val="AttributeTok"/>
        </w:rPr>
        <w:t xml:space="preserve" w:run_content_index="617">layout =</w:t>
      </w:r>
      <w:r w:run_index="609">
        <w:rPr>
          <w:rStyle w:val="NormalTok"/>
        </w:rPr>
        <w:t xml:space="preserve" w:run_content_index="618"> </w:t>
      </w:r>
      <w:r w:run_index="610">
        <w:rPr>
          <w:rStyle w:val="StringTok"/>
        </w:rPr>
        <w:t xml:space="preserve" w:run_content_index="619">"autofit"</w:t>
      </w:r>
      <w:r w:run_index="611">
        <w:rPr>
          <w:rStyle w:val="NormalTok"/>
        </w:rPr>
        <w:t xml:space="preserve" w:run_content_index="620">, </w:t>
      </w:r>
      <w:r w:run_index="612">
        <w:rPr>
          <w:rStyle w:val="AttributeTok"/>
        </w:rPr>
        <w:t xml:space="preserve" w:run_content_index="621">width =</w:t>
      </w:r>
      <w:r w:run_index="613">
        <w:rPr>
          <w:rStyle w:val="NormalTok"/>
        </w:rPr>
        <w:t xml:space="preserve" w:run_content_index="622"> </w:t>
      </w:r>
      <w:r w:run_index="614">
        <w:rPr>
          <w:rStyle w:val="DecValTok"/>
        </w:rPr>
        <w:t xml:space="preserve" w:run_content_index="623">1</w:t>
      </w:r>
      <w:r w:run_index="615">
        <w:rPr>
          <w:rStyle w:val="NormalTok"/>
        </w:rPr>
        <w:t xml:space="preserve" w:run_content_index="624">) </w:t>
      </w:r>
      <w:r w:run_index="616">
        <w:rPr>
          <w:rStyle w:val="SpecialCharTok"/>
        </w:rPr>
        <w:t xml:space="preserve" w:run_content_index="625">|&gt;</w:t>
      </w:r>
      <w:r w:run_index="617">
        <w:br w:run_content_index="626"/>
      </w:r>
      <w:r w:run_index="618">
        <w:rPr>
          <w:rStyle w:val="NormalTok"/>
        </w:rPr>
        <w:t xml:space="preserve" w:run_content_index="627">  </w:t>
      </w:r>
      <w:r w:run_index="619">
        <w:rPr>
          <w:rStyle w:val="FunctionTok"/>
        </w:rPr>
        <w:t xml:space="preserve" w:run_content_index="628">align</w:t>
      </w:r>
      <w:r w:run_index="620">
        <w:rPr>
          <w:rStyle w:val="NormalTok"/>
        </w:rPr>
        <w:t xml:space="preserve" w:run_content_index="629">(</w:t>
      </w:r>
      <w:r w:run_index="621">
        <w:rPr>
          <w:rStyle w:val="AttributeTok"/>
        </w:rPr>
        <w:t xml:space="preserve" w:run_content_index="630">align =</w:t>
      </w:r>
      <w:r w:run_index="622">
        <w:rPr>
          <w:rStyle w:val="NormalTok"/>
        </w:rPr>
        <w:t xml:space="preserve" w:run_content_index="631"> </w:t>
      </w:r>
      <w:r w:run_index="623">
        <w:rPr>
          <w:rStyle w:val="StringTok"/>
        </w:rPr>
        <w:t xml:space="preserve" w:run_content_index="632">"left"</w:t>
      </w:r>
      <w:r w:run_index="624">
        <w:rPr>
          <w:rStyle w:val="NormalTok"/>
        </w:rPr>
        <w:t xml:space="preserve" w:run_content_index="633">, </w:t>
      </w:r>
      <w:r w:run_index="625">
        <w:rPr>
          <w:rStyle w:val="AttributeTok"/>
        </w:rPr>
        <w:t xml:space="preserve" w:run_content_index="634">part =</w:t>
      </w:r>
      <w:r w:run_index="626">
        <w:rPr>
          <w:rStyle w:val="NormalTok"/>
        </w:rPr>
        <w:t xml:space="preserve" w:run_content_index="635"> </w:t>
      </w:r>
      <w:r w:run_index="627">
        <w:rPr>
          <w:rStyle w:val="StringTok"/>
        </w:rPr>
        <w:t xml:space="preserve" w:run_content_index="636">"all"</w:t>
      </w:r>
      <w:r w:run_index="628">
        <w:rPr>
          <w:rStyle w:val="NormalTok"/>
        </w:rPr>
        <w:t xml:space="preserve" w:run_content_index="637">) </w:t>
      </w:r>
      <w:r w:run_index="629">
        <w:rPr>
          <w:rStyle w:val="SpecialCharTok"/>
        </w:rPr>
        <w:t xml:space="preserve" w:run_content_index="638">|&gt;</w:t>
      </w:r>
      <w:r w:run_index="630">
        <w:br w:run_content_index="639"/>
      </w:r>
      <w:r w:run_index="631">
        <w:rPr>
          <w:rStyle w:val="NormalTok"/>
        </w:rPr>
        <w:t xml:space="preserve" w:run_content_index="640">  </w:t>
      </w:r>
      <w:r w:run_index="632">
        <w:rPr>
          <w:rStyle w:val="FunctionTok"/>
        </w:rPr>
        <w:t xml:space="preserve" w:run_content_index="641">bold</w:t>
      </w:r>
      <w:r w:run_index="633">
        <w:rPr>
          <w:rStyle w:val="NormalTok"/>
        </w:rPr>
        <w:t xml:space="preserve" w:run_content_index="642">(</w:t>
      </w:r>
      <w:r w:run_index="634">
        <w:rPr>
          <w:rStyle w:val="AttributeTok"/>
        </w:rPr>
        <w:t xml:space="preserve" w:run_content_index="643">bold =</w:t>
      </w:r>
      <w:r w:run_index="635">
        <w:rPr>
          <w:rStyle w:val="NormalTok"/>
        </w:rPr>
        <w:t xml:space="preserve" w:run_content_index="644"> </w:t>
      </w:r>
      <w:r w:run_index="636">
        <w:rPr>
          <w:rStyle w:val="ConstantTok"/>
        </w:rPr>
        <w:t xml:space="preserve" w:run_content_index="645">TRUE</w:t>
      </w:r>
      <w:r w:run_index="637">
        <w:rPr>
          <w:rStyle w:val="NormalTok"/>
        </w:rPr>
        <w:t xml:space="preserve" w:run_content_index="646">, </w:t>
      </w:r>
      <w:r w:run_index="638">
        <w:rPr>
          <w:rStyle w:val="AttributeTok"/>
        </w:rPr>
        <w:t xml:space="preserve" w:run_content_index="647">part =</w:t>
      </w:r>
      <w:r w:run_index="639">
        <w:rPr>
          <w:rStyle w:val="NormalTok"/>
        </w:rPr>
        <w:t xml:space="preserve" w:run_content_index="648"> </w:t>
      </w:r>
      <w:r w:run_index="640">
        <w:rPr>
          <w:rStyle w:val="StringTok"/>
        </w:rPr>
        <w:t xml:space="preserve" w:run_content_index="649">"header"</w:t>
      </w:r>
      <w:r w:run_index="641">
        <w:rPr>
          <w:rStyle w:val="NormalTok"/>
        </w:rPr>
        <w:t xml:space="preserve" w:run_content_index="650">) </w:t>
      </w:r>
      <w:r w:run_index="642">
        <w:rPr>
          <w:rStyle w:val="SpecialCharTok"/>
        </w:rPr>
        <w:t xml:space="preserve" w:run_content_index="651">|&gt;</w:t>
      </w:r>
      <w:r w:run_index="643">
        <w:br w:run_content_index="652"/>
      </w:r>
      <w:r w:run_index="644">
        <w:rPr>
          <w:rStyle w:val="NormalTok"/>
        </w:rPr>
        <w:t xml:space="preserve" w:run_content_index="653">  </w:t>
      </w:r>
      <w:r w:run_index="645">
        <w:rPr>
          <w:rStyle w:val="FunctionTok"/>
        </w:rPr>
        <w:t xml:space="preserve" w:run_content_index="654">bg</w:t>
      </w:r>
      <w:r w:run_index="646">
        <w:rPr>
          <w:rStyle w:val="NormalTok"/>
        </w:rPr>
        <w:t xml:space="preserve" w:run_content_index="655">(</w:t>
      </w:r>
      <w:r w:run_index="647">
        <w:rPr>
          <w:rStyle w:val="AttributeTok"/>
        </w:rPr>
        <w:t xml:space="preserve" w:run_content_index="656">bg =</w:t>
      </w:r>
      <w:r w:run_index="648">
        <w:rPr>
          <w:rStyle w:val="NormalTok"/>
        </w:rPr>
        <w:t xml:space="preserve" w:run_content_index="657"> </w:t>
      </w:r>
      <w:r w:run_index="649">
        <w:rPr>
          <w:rStyle w:val="StringTok"/>
        </w:rPr>
        <w:t xml:space="preserve" w:run_content_index="658">"#D9D9D9"</w:t>
      </w:r>
      <w:r w:run_index="650">
        <w:rPr>
          <w:rStyle w:val="NormalTok"/>
        </w:rPr>
        <w:t xml:space="preserve" w:run_content_index="659">, </w:t>
      </w:r>
      <w:r w:run_index="651">
        <w:rPr>
          <w:rStyle w:val="AttributeTok"/>
        </w:rPr>
        <w:t xml:space="preserve" w:run_content_index="660">part =</w:t>
      </w:r>
      <w:r w:run_index="652">
        <w:rPr>
          <w:rStyle w:val="NormalTok"/>
        </w:rPr>
        <w:t xml:space="preserve" w:run_content_index="661"> </w:t>
      </w:r>
      <w:r w:run_index="653">
        <w:rPr>
          <w:rStyle w:val="StringTok"/>
        </w:rPr>
        <w:t xml:space="preserve" w:run_content_index="662">"header"</w:t>
      </w:r>
      <w:r w:run_index="654">
        <w:rPr>
          <w:rStyle w:val="NormalTok"/>
        </w:rPr>
        <w:t xml:space="preserve" w:run_content_index="663">) </w:t>
      </w:r>
      <w:r w:run_index="655">
        <w:rPr>
          <w:rStyle w:val="SpecialCharTok"/>
        </w:rPr>
        <w:t xml:space="preserve" w:run_content_index="664">|&gt;</w:t>
      </w:r>
      <w:r w:run_index="656">
        <w:br w:run_content_index="665"/>
      </w:r>
      <w:r w:run_index="657">
        <w:rPr>
          <w:rStyle w:val="NormalTok"/>
        </w:rPr>
        <w:t xml:space="preserve" w:run_content_index="666">  </w:t>
      </w:r>
      <w:r w:run_index="658">
        <w:rPr>
          <w:rStyle w:val="FunctionTok"/>
        </w:rPr>
        <w:t xml:space="preserve" w:run_content_index="667">border</w:t>
      </w:r>
      <w:r w:run_index="659">
        <w:rPr>
          <w:rStyle w:val="NormalTok"/>
        </w:rPr>
        <w:t xml:space="preserve" w:run_content_index="668">(</w:t>
      </w:r>
      <w:r w:run_index="660">
        <w:rPr>
          <w:rStyle w:val="AttributeTok"/>
        </w:rPr>
        <w:t xml:space="preserve" w:run_content_index="669">border =</w:t>
      </w:r>
      <w:r w:run_index="661">
        <w:rPr>
          <w:rStyle w:val="NormalTok"/>
        </w:rPr>
        <w:t xml:space="preserve" w:run_content_index="670"> </w:t>
      </w:r>
      <w:r w:run_index="662">
        <w:rPr>
          <w:rStyle w:val="FunctionTok"/>
        </w:rPr>
        <w:t xml:space="preserve" w:run_content_index="671">fp_border</w:t>
      </w:r>
      <w:r w:run_index="663">
        <w:rPr>
          <w:rStyle w:val="NormalTok"/>
        </w:rPr>
        <w:t xml:space="preserve" w:run_content_index="672">(</w:t>
      </w:r>
      <w:r w:run_index="664">
        <w:rPr>
          <w:rStyle w:val="AttributeTok"/>
        </w:rPr>
        <w:t xml:space="preserve" w:run_content_index="673">color =</w:t>
      </w:r>
      <w:r w:run_index="665">
        <w:rPr>
          <w:rStyle w:val="NormalTok"/>
        </w:rPr>
        <w:t xml:space="preserve" w:run_content_index="674"> </w:t>
      </w:r>
      <w:r w:run_index="666">
        <w:rPr>
          <w:rStyle w:val="StringTok"/>
        </w:rPr>
        <w:t xml:space="preserve" w:run_content_index="675">"#000000"</w:t>
      </w:r>
      <w:r w:run_index="667">
        <w:rPr>
          <w:rStyle w:val="NormalTok"/>
        </w:rPr>
        <w:t xml:space="preserve" w:run_content_index="676">), </w:t>
      </w:r>
      <w:r w:run_index="668">
        <w:rPr>
          <w:rStyle w:val="AttributeTok"/>
        </w:rPr>
        <w:t xml:space="preserve" w:run_content_index="677">part =</w:t>
      </w:r>
      <w:r w:run_index="669">
        <w:rPr>
          <w:rStyle w:val="NormalTok"/>
        </w:rPr>
        <w:t xml:space="preserve" w:run_content_index="678"> </w:t>
      </w:r>
      <w:r w:run_index="670">
        <w:rPr>
          <w:rStyle w:val="StringTok"/>
        </w:rPr>
        <w:t xml:space="preserve" w:run_content_index="679">"all"</w:t>
      </w:r>
      <w:r w:run_index="671">
        <w:rPr>
          <w:rStyle w:val="NormalTok"/>
        </w:rPr>
        <w:t xml:space="preserve" w:run_content_index="680">) </w:t>
      </w:r>
      <w:r w:run_index="672">
        <w:rPr>
          <w:rStyle w:val="SpecialCharTok"/>
        </w:rPr>
        <w:t xml:space="preserve" w:run_content_index="681">|&gt;</w:t>
      </w:r>
      <w:r w:run_index="673">
        <w:br w:run_content_index="682"/>
      </w:r>
      <w:r w:run_index="674">
        <w:rPr>
          <w:rStyle w:val="NormalTok"/>
        </w:rPr>
        <w:t xml:space="preserve" w:run_content_index="683">  </w:t>
      </w:r>
      <w:r w:run_index="675">
        <w:rPr>
          <w:rStyle w:val="FunctionTok"/>
        </w:rPr>
        <w:t xml:space="preserve" w:run_content_index="684">font</w:t>
      </w:r>
      <w:r w:run_index="676">
        <w:rPr>
          <w:rStyle w:val="NormalTok"/>
        </w:rPr>
        <w:t xml:space="preserve" w:run_content_index="685">(</w:t>
      </w:r>
      <w:r w:run_index="677">
        <w:rPr>
          <w:rStyle w:val="AttributeTok"/>
        </w:rPr>
        <w:t xml:space="preserve" w:run_content_index="686">fontname =</w:t>
      </w:r>
      <w:r w:run_index="678">
        <w:rPr>
          <w:rStyle w:val="NormalTok"/>
        </w:rPr>
        <w:t xml:space="preserve" w:run_content_index="687"> </w:t>
      </w:r>
      <w:r w:run_index="679">
        <w:rPr>
          <w:rStyle w:val="StringTok"/>
        </w:rPr>
        <w:t xml:space="preserve" w:run_content_index="688">"Times New Roman"</w:t>
      </w:r>
      <w:r w:run_index="680">
        <w:rPr>
          <w:rStyle w:val="NormalTok"/>
        </w:rPr>
        <w:t xml:space="preserve" w:run_content_index="689">, </w:t>
      </w:r>
      <w:r w:run_index="681">
        <w:rPr>
          <w:rStyle w:val="AttributeTok"/>
        </w:rPr>
        <w:t xml:space="preserve" w:run_content_index="690">part =</w:t>
      </w:r>
      <w:r w:run_index="682">
        <w:rPr>
          <w:rStyle w:val="NormalTok"/>
        </w:rPr>
        <w:t xml:space="preserve" w:run_content_index="691"> </w:t>
      </w:r>
      <w:r w:run_index="683">
        <w:rPr>
          <w:rStyle w:val="StringTok"/>
        </w:rPr>
        <w:t xml:space="preserve" w:run_content_index="692">"all"</w:t>
      </w:r>
      <w:r w:run_index="684">
        <w:rPr>
          <w:rStyle w:val="NormalTok"/>
        </w:rPr>
        <w:t xml:space="preserve" w:run_content_index="693">) </w:t>
      </w:r>
      <w:r w:run_index="685">
        <w:rPr>
          <w:rStyle w:val="SpecialCharTok"/>
        </w:rPr>
        <w:t xml:space="preserve" w:run_content_index="694">|&gt;</w:t>
      </w:r>
      <w:r w:run_index="686">
        <w:br w:run_content_index="695"/>
      </w:r>
      <w:r w:run_index="687">
        <w:rPr>
          <w:rStyle w:val="NormalTok"/>
        </w:rPr>
        <w:t xml:space="preserve" w:run_content_index="696">  </w:t>
      </w:r>
      <w:r w:run_index="688">
        <w:rPr>
          <w:rStyle w:val="FunctionTok"/>
        </w:rPr>
        <w:t xml:space="preserve" w:run_content_index="697">fontsize</w:t>
      </w:r>
      <w:r w:run_index="689">
        <w:rPr>
          <w:rStyle w:val="NormalTok"/>
        </w:rPr>
        <w:t xml:space="preserve" w:run_content_index="698">(</w:t>
      </w:r>
      <w:r w:run_index="690">
        <w:rPr>
          <w:rStyle w:val="AttributeTok"/>
        </w:rPr>
        <w:t xml:space="preserve" w:run_content_index="699">size =</w:t>
      </w:r>
      <w:r w:run_index="691">
        <w:rPr>
          <w:rStyle w:val="NormalTok"/>
        </w:rPr>
        <w:t xml:space="preserve" w:run_content_index="700"> </w:t>
      </w:r>
      <w:r w:run_index="692">
        <w:rPr>
          <w:rStyle w:val="DecValTok"/>
        </w:rPr>
        <w:t xml:space="preserve" w:run_content_index="701">11</w:t>
      </w:r>
      <w:r w:run_index="693">
        <w:rPr>
          <w:rStyle w:val="NormalTok"/>
        </w:rPr>
        <w:t xml:space="preserve" w:run_content_index="702">, </w:t>
      </w:r>
      <w:r w:run_index="694">
        <w:rPr>
          <w:rStyle w:val="AttributeTok"/>
        </w:rPr>
        <w:t xml:space="preserve" w:run_content_index="703">part =</w:t>
      </w:r>
      <w:r w:run_index="695">
        <w:rPr>
          <w:rStyle w:val="NormalTok"/>
        </w:rPr>
        <w:t xml:space="preserve" w:run_content_index="704"> </w:t>
      </w:r>
      <w:r w:run_index="696">
        <w:rPr>
          <w:rStyle w:val="StringTok"/>
        </w:rPr>
        <w:t xml:space="preserve" w:run_content_index="705">"all"</w:t>
      </w:r>
      <w:r w:run_index="697">
        <w:rPr>
          <w:rStyle w:val="NormalTok"/>
        </w:rPr>
        <w:t xml:space="preserve" w:run_content_index="706">) </w:t>
      </w:r>
      <w:r w:run_index="698">
        <w:rPr>
          <w:rStyle w:val="SpecialCharTok"/>
        </w:rPr>
        <w:t xml:space="preserve" w:run_content_index="707">|&gt;</w:t>
      </w:r>
      <w:r w:run_index="699">
        <w:br w:run_content_index="708"/>
      </w:r>
      <w:r w:run_index="700">
        <w:rPr>
          <w:rStyle w:val="NormalTok"/>
        </w:rPr>
        <w:t xml:space="preserve" w:run_content_index="709">  </w:t>
      </w:r>
      <w:r w:run_index="701">
        <w:rPr>
          <w:rStyle w:val="FunctionTok"/>
        </w:rPr>
        <w:t xml:space="preserve" w:run_content_index="710">line_spacing</w:t>
      </w:r>
      <w:r w:run_index="702">
        <w:rPr>
          <w:rStyle w:val="NormalTok"/>
        </w:rPr>
        <w:t xml:space="preserve" w:run_content_index="711">(</w:t>
      </w:r>
      <w:r w:run_index="703">
        <w:rPr>
          <w:rStyle w:val="AttributeTok"/>
        </w:rPr>
        <w:t xml:space="preserve" w:run_content_index="712">space =</w:t>
      </w:r>
      <w:r w:run_index="704">
        <w:rPr>
          <w:rStyle w:val="NormalTok"/>
        </w:rPr>
        <w:t xml:space="preserve" w:run_content_index="713"> </w:t>
      </w:r>
      <w:r w:run_index="705">
        <w:rPr>
          <w:rStyle w:val="FloatTok"/>
        </w:rPr>
        <w:t xml:space="preserve" w:run_content_index="714">1.15</w:t>
      </w:r>
      <w:r w:run_index="706">
        <w:rPr>
          <w:rStyle w:val="NormalTok"/>
        </w:rPr>
        <w:t xml:space="preserve" w:run_content_index="715">, </w:t>
      </w:r>
      <w:r w:run_index="707">
        <w:rPr>
          <w:rStyle w:val="AttributeTok"/>
        </w:rPr>
        <w:t xml:space="preserve" w:run_content_index="716">part =</w:t>
      </w:r>
      <w:r w:run_index="708">
        <w:rPr>
          <w:rStyle w:val="NormalTok"/>
        </w:rPr>
        <w:t xml:space="preserve" w:run_content_index="717"> </w:t>
      </w:r>
      <w:r w:run_index="709">
        <w:rPr>
          <w:rStyle w:val="StringTok"/>
        </w:rPr>
        <w:t xml:space="preserve" w:run_content_index="718">"all"</w:t>
      </w:r>
      <w:r w:run_index="710">
        <w:rPr>
          <w:rStyle w:val="NormalTok"/>
        </w:rPr>
        <w:t xml:space="preserve" w:run_content_index="719">) </w:t>
      </w:r>
      <w:r w:run_index="711">
        <w:rPr>
          <w:rStyle w:val="SpecialCharTok"/>
        </w:rPr>
        <w:t xml:space="preserve" w:run_content_index="720">|&gt;</w:t>
      </w:r>
      <w:r w:run_index="712">
        <w:br w:run_content_index="721"/>
      </w:r>
      <w:r w:run_index="713">
        <w:rPr>
          <w:rStyle w:val="NormalTok"/>
        </w:rPr>
        <w:t xml:space="preserve" w:run_content_index="722">  </w:t>
      </w:r>
      <w:r w:run_index="714">
        <w:rPr>
          <w:rStyle w:val="FunctionTok"/>
        </w:rPr>
        <w:t xml:space="preserve" w:run_content_index="723">padding</w:t>
      </w:r>
      <w:r w:run_index="715">
        <w:rPr>
          <w:rStyle w:val="NormalTok"/>
        </w:rPr>
        <w:t xml:space="preserve" w:run_content_index="724">(</w:t>
      </w:r>
      <w:r w:run_index="716">
        <w:rPr>
          <w:rStyle w:val="AttributeTok"/>
        </w:rPr>
        <w:t xml:space="preserve" w:run_content_index="725">padding.bottom =</w:t>
      </w:r>
      <w:r w:run_index="717">
        <w:rPr>
          <w:rStyle w:val="NormalTok"/>
        </w:rPr>
        <w:t xml:space="preserve" w:run_content_index="726"> </w:t>
      </w:r>
      <w:r w:run_index="718">
        <w:rPr>
          <w:rStyle w:val="DecValTok"/>
        </w:rPr>
        <w:t xml:space="preserve" w:run_content_index="727">2</w:t>
      </w:r>
      <w:r w:run_index="719">
        <w:rPr>
          <w:rStyle w:val="NormalTok"/>
        </w:rPr>
        <w:t xml:space="preserve" w:run_content_index="728">, </w:t>
      </w:r>
      <w:r w:run_index="720">
        <w:rPr>
          <w:rStyle w:val="AttributeTok"/>
        </w:rPr>
        <w:t xml:space="preserve" w:run_content_index="729">padding.top =</w:t>
      </w:r>
      <w:r w:run_index="721">
        <w:rPr>
          <w:rStyle w:val="NormalTok"/>
        </w:rPr>
        <w:t xml:space="preserve" w:run_content_index="730"> </w:t>
      </w:r>
      <w:r w:run_index="722">
        <w:rPr>
          <w:rStyle w:val="DecValTok"/>
        </w:rPr>
        <w:t xml:space="preserve" w:run_content_index="731">2</w:t>
      </w:r>
      <w:r w:run_index="723">
        <w:rPr>
          <w:rStyle w:val="NormalTok"/>
        </w:rPr>
        <w:t xml:space="preserve" w:run_content_index="732">, </w:t>
      </w:r>
      <w:r w:run_index="724">
        <w:rPr>
          <w:rStyle w:val="AttributeTok"/>
        </w:rPr>
        <w:t xml:space="preserve" w:run_content_index="733">part =</w:t>
      </w:r>
      <w:r w:run_index="725">
        <w:rPr>
          <w:rStyle w:val="NormalTok"/>
        </w:rPr>
        <w:t xml:space="preserve" w:run_content_index="734"> </w:t>
      </w:r>
      <w:r w:run_index="726">
        <w:rPr>
          <w:rStyle w:val="StringTok"/>
        </w:rPr>
        <w:t xml:space="preserve" w:run_content_index="735">"all"</w:t>
      </w:r>
      <w:r w:run_index="727">
        <w:rPr>
          <w:rStyle w:val="NormalTok"/>
        </w:rPr>
        <w:t xml:space="preserve" w:run_content_index="736">)</w:t>
      </w:r>
      <w:r w:run_index="728">
        <w:br w:run_content_index="737"/>
      </w:r>
      <w:r w:run_index="729">
        <w:br w:run_content_index="738"/>
      </w:r>
      <w:r w:run_index="730">
        <w:rPr>
          <w:rStyle w:val="FunctionTok"/>
        </w:rPr>
        <w:t xml:space="preserve" w:run_content_index="739">save_rds_with_metadata</w:t>
      </w:r>
      <w:r w:run_index="731">
        <w:rPr>
          <w:rStyle w:val="NormalTok"/>
        </w:rPr>
        <w:t xml:space="preserve" w:run_content_index="740">(</w:t>
      </w:r>
      <w:r w:run_index="732">
        <w:br w:run_content_index="741"/>
      </w:r>
      <w:r w:run_index="733">
        <w:rPr>
          <w:rStyle w:val="NormalTok"/>
        </w:rPr>
        <w:t xml:space="preserve" w:run_content_index="742">  </w:t>
      </w:r>
      <w:r w:run_index="734">
        <w:rPr>
          <w:rStyle w:val="AttributeTok"/>
        </w:rPr>
        <w:t xml:space="preserve" w:run_content_index="743">object =</w:t>
      </w:r>
      <w:r w:run_index="735">
        <w:rPr>
          <w:rStyle w:val="NormalTok"/>
        </w:rPr>
        <w:t xml:space="preserve" w:run_content_index="744"> demographics_ft,</w:t>
      </w:r>
      <w:r w:run_index="736">
        <w:br w:run_content_index="745"/>
      </w:r>
      <w:r w:run_index="737">
        <w:rPr>
          <w:rStyle w:val="NormalTok"/>
        </w:rPr>
        <w:t xml:space="preserve" w:run_content_index="746">  </w:t>
      </w:r>
      <w:r w:run_index="738">
        <w:rPr>
          <w:rStyle w:val="AttributeTok"/>
        </w:rPr>
        <w:t xml:space="preserve" w:run_content_index="747">file =</w:t>
      </w:r>
      <w:r w:run_index="739">
        <w:rPr>
          <w:rStyle w:val="NormalTok"/>
        </w:rPr>
        <w:t xml:space="preserve" w:run_content_index="748"> </w:t>
      </w:r>
      <w:r w:run_index="740">
        <w:rPr>
          <w:rStyle w:val="FunctionTok"/>
        </w:rPr>
        <w:t xml:space="preserve" w:run_content_index="749">file.path</w:t>
      </w:r>
      <w:r w:run_index="741">
        <w:rPr>
          <w:rStyle w:val="NormalTok"/>
        </w:rPr>
        <w:t xml:space="preserve" w:run_content_index="750">(</w:t>
      </w:r>
      <w:r w:run_index="742">
        <w:rPr>
          <w:rStyle w:val="StringTok"/>
        </w:rPr>
        <w:t xml:space="preserve" w:run_content_index="751">"OUTPUTS"</w:t>
      </w:r>
      <w:r w:run_index="743">
        <w:rPr>
          <w:rStyle w:val="NormalTok"/>
        </w:rPr>
        <w:t xml:space="preserve" w:run_content_index="752">, </w:t>
      </w:r>
      <w:r w:run_index="744">
        <w:rPr>
          <w:rStyle w:val="StringTok"/>
        </w:rPr>
        <w:t xml:space="preserve" w:run_content_index="753">"tables"</w:t>
      </w:r>
      <w:r w:run_index="745">
        <w:rPr>
          <w:rStyle w:val="NormalTok"/>
        </w:rPr>
        <w:t xml:space="preserve" w:run_content_index="754">, </w:t>
      </w:r>
      <w:r w:run_index="746">
        <w:rPr>
          <w:rStyle w:val="StringTok"/>
        </w:rPr>
        <w:t xml:space="preserve" w:run_content_index="755">"participant-demographics.rds"</w:t>
      </w:r>
      <w:r w:run_index="747">
        <w:rPr>
          <w:rStyle w:val="NormalTok"/>
        </w:rPr>
        <w:t xml:space="preserve" w:run_content_index="756">),</w:t>
      </w:r>
      <w:r w:run_index="748">
        <w:br w:run_content_index="757"/>
      </w:r>
      <w:r w:run_index="749">
        <w:rPr>
          <w:rStyle w:val="NormalTok"/>
        </w:rPr>
        <w:t xml:space="preserve" w:run_content_index="758">  </w:t>
      </w:r>
      <w:r w:run_index="750">
        <w:rPr>
          <w:rStyle w:val="AttributeTok"/>
        </w:rPr>
        <w:t xml:space="preserve" w:run_content_index="759">config_yaml =</w:t>
      </w:r>
      <w:r w:run_index="751">
        <w:rPr>
          <w:rStyle w:val="NormalTok"/>
        </w:rPr>
        <w:t xml:space="preserve" w:run_content_index="760"> config_yaml,</w:t>
      </w:r>
      <w:r w:run_index="752">
        <w:br w:run_content_index="761"/>
      </w:r>
      <w:r w:run_index="753">
        <w:rPr>
          <w:rStyle w:val="NormalTok"/>
        </w:rPr>
        <w:t xml:space="preserve" w:run_content_index="762">  </w:t>
      </w:r>
      <w:r w:run_index="754">
        <w:rPr>
          <w:rStyle w:val="AttributeTok"/>
        </w:rPr>
        <w:t xml:space="preserve" w:run_content_index="763">meta_notes =</w:t>
      </w:r>
      <w:r w:run_index="755">
        <w:rPr>
          <w:rStyle w:val="NormalTok"/>
        </w:rPr>
        <w:t xml:space="preserve" w:run_content_index="764"> </w:t>
      </w:r>
      <w:r w:run_index="756">
        <w:rPr>
          <w:rStyle w:val="StringTok"/>
        </w:rPr>
        <w:t xml:space="preserve" w:run_content_index="765">"Body weight and weight-normalized dose for each participant. Unlike the PK summary table above, this table is filled from a pre-built, hand-styled flextable object rather than a plain data frame, so it renders in this report's own reference-doc font (Times New Roman) instead of reportifyr's default table styling."</w:t>
      </w:r>
      <w:r w:run_index="757">
        <w:br w:run_content_index="766"/>
      </w:r>
      <w:r w:run_index="758">
        <w:rPr>
          <w:rStyle w:val="NormalTok"/>
        </w:rPr>
        <w:t xml:space="preserve" w:run_content_index="767">)</w:t>
      </w:r>
      <w:r w:run_index="759">
        <w:br w:run_content_index="768"/>
      </w:r>
      <w:r w:run_index="760">
        <w:br w:run_content_index="769"/>
      </w:r>
      <w:r w:run_index="761">
        <w:rPr>
          <w:rStyle w:val="NormalTok"/>
        </w:rPr>
        <w:t xml:space="preserve" w:run_content_index="770">figures_path </w:t>
      </w:r>
      <w:r w:run_index="762">
        <w:rPr>
          <w:rStyle w:val="OtherTok"/>
        </w:rPr>
        <w:t xml:space="preserve" w:run_content_index="771">&lt;-</w:t>
      </w:r>
      <w:r w:run_index="763">
        <w:rPr>
          <w:rStyle w:val="NormalTok"/>
        </w:rPr>
        <w:t xml:space="preserve" w:run_content_index="772"> </w:t>
      </w:r>
      <w:r w:run_index="764">
        <w:rPr>
          <w:rStyle w:val="FunctionTok"/>
        </w:rPr>
        <w:t xml:space="preserve" w:run_content_index="773">file.path</w:t>
      </w:r>
      <w:r w:run_index="765">
        <w:rPr>
          <w:rStyle w:val="NormalTok"/>
        </w:rPr>
        <w:t xml:space="preserve" w:run_content_index="774">(</w:t>
      </w:r>
      <w:r w:run_index="766">
        <w:rPr>
          <w:rStyle w:val="StringTok"/>
        </w:rPr>
        <w:t xml:space="preserve" w:run_content_index="775">"OUTPUTS"</w:t>
      </w:r>
      <w:r w:run_index="767">
        <w:rPr>
          <w:rStyle w:val="NormalTok"/>
        </w:rPr>
        <w:t xml:space="preserve" w:run_content_index="776">, </w:t>
      </w:r>
      <w:r w:run_index="768">
        <w:rPr>
          <w:rStyle w:val="StringTok"/>
        </w:rPr>
        <w:t xml:space="preserve" w:run_content_index="777">"figures"</w:t>
      </w:r>
      <w:r w:run_index="769">
        <w:rPr>
          <w:rStyle w:val="NormalTok"/>
        </w:rPr>
        <w:t xml:space="preserve" w:run_content_index="778">)</w:t>
      </w:r>
      <w:r w:run_index="770">
        <w:br w:run_content_index="779"/>
      </w:r>
      <w:r w:run_index="771">
        <w:rPr>
          <w:rStyle w:val="NormalTok"/>
        </w:rPr>
        <w:t xml:space="preserve" w:run_content_index="780">plot_file </w:t>
      </w:r>
      <w:r w:run_index="772">
        <w:rPr>
          <w:rStyle w:val="OtherTok"/>
        </w:rPr>
        <w:t xml:space="preserve" w:run_content_index="781">&lt;-</w:t>
      </w:r>
      <w:r w:run_index="773">
        <w:rPr>
          <w:rStyle w:val="NormalTok"/>
        </w:rPr>
        <w:t xml:space="preserve" w:run_content_index="782"> </w:t>
      </w:r>
      <w:r w:run_index="774">
        <w:rPr>
          <w:rStyle w:val="FunctionTok"/>
        </w:rPr>
        <w:t xml:space="preserve" w:run_content_index="783">file.path</w:t>
      </w:r>
      <w:r w:run_index="775">
        <w:rPr>
          <w:rStyle w:val="NormalTok"/>
        </w:rPr>
        <w:t xml:space="preserve" w:run_content_index="784">(figures_path, </w:t>
      </w:r>
      <w:r w:run_index="776">
        <w:rPr>
          <w:rStyle w:val="StringTok"/>
        </w:rPr>
        <w:t xml:space="preserve" w:run_content_index="785">"conc-time.png"</w:t>
      </w:r>
      <w:r w:run_index="777">
        <w:rPr>
          <w:rStyle w:val="NormalTok"/>
        </w:rPr>
        <w:t xml:space="preserve" w:run_content_index="786">)</w:t>
      </w:r>
      <w:r w:run_index="778">
        <w:br w:run_content_index="787"/>
      </w:r>
      <w:r w:run_index="779">
        <w:br w:run_content_index="788"/>
      </w:r>
      <w:r w:run_index="780">
        <w:rPr>
          <w:rStyle w:val="NormalTok"/>
        </w:rPr>
        <w:t xml:space="preserve" w:run_content_index="789">g </w:t>
      </w:r>
      <w:r w:run_index="781">
        <w:rPr>
          <w:rStyle w:val="OtherTok"/>
        </w:rPr>
        <w:t xml:space="preserve" w:run_content_index="790">&lt;-</w:t>
      </w:r>
      <w:r w:run_index="782">
        <w:rPr>
          <w:rStyle w:val="NormalTok"/>
        </w:rPr>
        <w:t xml:space="preserve" w:run_content_index="791"> </w:t>
      </w:r>
      <w:r w:run_index="783">
        <w:rPr>
          <w:rStyle w:val="FunctionTok"/>
        </w:rPr>
        <w:t xml:space="preserve" w:run_content_index="792">ggplot</w:t>
      </w:r>
      <w:r w:run_index="784">
        <w:rPr>
          <w:rStyle w:val="NormalTok"/>
        </w:rPr>
        <w:t xml:space="preserve" w:run_content_index="793">(theoph, </w:t>
      </w:r>
      <w:r w:run_index="785">
        <w:rPr>
          <w:rStyle w:val="FunctionTok"/>
        </w:rPr>
        <w:t xml:space="preserve" w:run_content_index="794">aes</w:t>
      </w:r>
      <w:r w:run_index="786">
        <w:rPr>
          <w:rStyle w:val="NormalTok"/>
        </w:rPr>
        <w:t xml:space="preserve" w:run_content_index="795">(</w:t>
      </w:r>
      <w:r w:run_index="787">
        <w:rPr>
          <w:rStyle w:val="AttributeTok"/>
        </w:rPr>
        <w:t xml:space="preserve" w:run_content_index="796">x =</w:t>
      </w:r>
      <w:r w:run_index="788">
        <w:rPr>
          <w:rStyle w:val="NormalTok"/>
        </w:rPr>
        <w:t xml:space="preserve" w:run_content_index="797"> Time, </w:t>
      </w:r>
      <w:r w:run_index="789">
        <w:rPr>
          <w:rStyle w:val="AttributeTok"/>
        </w:rPr>
        <w:t xml:space="preserve" w:run_content_index="798">y =</w:t>
      </w:r>
      <w:r w:run_index="790">
        <w:rPr>
          <w:rStyle w:val="NormalTok"/>
        </w:rPr>
        <w:t xml:space="preserve" w:run_content_index="799"> conc, </w:t>
      </w:r>
      <w:r w:run_index="791">
        <w:rPr>
          <w:rStyle w:val="AttributeTok"/>
        </w:rPr>
        <w:t xml:space="preserve" w:run_content_index="800">group =</w:t>
      </w:r>
      <w:r w:run_index="792">
        <w:rPr>
          <w:rStyle w:val="NormalTok"/>
        </w:rPr>
        <w:t xml:space="preserve" w:run_content_index="801"> Participant)) </w:t>
      </w:r>
      <w:r w:run_index="793">
        <w:rPr>
          <w:rStyle w:val="SpecialCharTok"/>
        </w:rPr>
        <w:t xml:space="preserve" w:run_content_index="802">+</w:t>
      </w:r>
      <w:r w:run_index="794">
        <w:br w:run_content_index="803"/>
      </w:r>
      <w:r w:run_index="795">
        <w:rPr>
          <w:rStyle w:val="NormalTok"/>
        </w:rPr>
        <w:t xml:space="preserve" w:run_content_index="804">  </w:t>
      </w:r>
      <w:r w:run_index="796">
        <w:rPr>
          <w:rStyle w:val="FunctionTok"/>
        </w:rPr>
        <w:t xml:space="preserve" w:run_content_index="805">geom_line</w:t>
      </w:r>
      <w:r w:run_index="797">
        <w:rPr>
          <w:rStyle w:val="NormalTok"/>
        </w:rPr>
        <w:t xml:space="preserve" w:run_content_index="806">(</w:t>
      </w:r>
      <w:r w:run_index="798">
        <w:rPr>
          <w:rStyle w:val="AttributeTok"/>
        </w:rPr>
        <w:t xml:space="preserve" w:run_content_index="807">alpha =</w:t>
      </w:r>
      <w:r w:run_index="799">
        <w:rPr>
          <w:rStyle w:val="NormalTok"/>
        </w:rPr>
        <w:t xml:space="preserve" w:run_content_index="808"> </w:t>
      </w:r>
      <w:r w:run_index="800">
        <w:rPr>
          <w:rStyle w:val="FloatTok"/>
        </w:rPr>
        <w:t xml:space="preserve" w:run_content_index="809">0.6</w:t>
      </w:r>
      <w:r w:run_index="801">
        <w:rPr>
          <w:rStyle w:val="NormalTok"/>
        </w:rPr>
        <w:t xml:space="preserve" w:run_content_index="810">) </w:t>
      </w:r>
      <w:r w:run_index="802">
        <w:rPr>
          <w:rStyle w:val="SpecialCharTok"/>
        </w:rPr>
        <w:t xml:space="preserve" w:run_content_index="811">+</w:t>
      </w:r>
      <w:r w:run_index="803">
        <w:br w:run_content_index="812"/>
      </w:r>
      <w:r w:run_index="804">
        <w:rPr>
          <w:rStyle w:val="NormalTok"/>
        </w:rPr>
        <w:t xml:space="preserve" w:run_content_index="813">  </w:t>
      </w:r>
      <w:r w:run_index="805">
        <w:rPr>
          <w:rStyle w:val="FunctionTok"/>
        </w:rPr>
        <w:t xml:space="preserve" w:run_content_index="814">geom_point</w:t>
      </w:r>
      <w:r w:run_index="806">
        <w:rPr>
          <w:rStyle w:val="NormalTok"/>
        </w:rPr>
        <w:t xml:space="preserve" w:run_content_index="815">(</w:t>
      </w:r>
      <w:r w:run_index="807">
        <w:rPr>
          <w:rStyle w:val="AttributeTok"/>
        </w:rPr>
        <w:t xml:space="preserve" w:run_content_index="816">size =</w:t>
      </w:r>
      <w:r w:run_index="808">
        <w:rPr>
          <w:rStyle w:val="NormalTok"/>
        </w:rPr>
        <w:t xml:space="preserve" w:run_content_index="817"> </w:t>
      </w:r>
      <w:r w:run_index="809">
        <w:rPr>
          <w:rStyle w:val="DecValTok"/>
        </w:rPr>
        <w:t xml:space="preserve" w:run_content_index="818">1</w:t>
      </w:r>
      <w:r w:run_index="810">
        <w:rPr>
          <w:rStyle w:val="NormalTok"/>
        </w:rPr>
        <w:t xml:space="preserve" w:run_content_index="819">) </w:t>
      </w:r>
      <w:r w:run_index="811">
        <w:rPr>
          <w:rStyle w:val="SpecialCharTok"/>
        </w:rPr>
        <w:t xml:space="preserve" w:run_content_index="820">+</w:t>
      </w:r>
      <w:r w:run_index="812">
        <w:br w:run_content_index="821"/>
      </w:r>
      <w:r w:run_index="813">
        <w:rPr>
          <w:rStyle w:val="NormalTok"/>
        </w:rPr>
        <w:t xml:space="preserve" w:run_content_index="822">  </w:t>
      </w:r>
      <w:r w:run_index="814">
        <w:rPr>
          <w:rStyle w:val="FunctionTok"/>
        </w:rPr>
        <w:t xml:space="preserve" w:run_content_index="823">labs</w:t>
      </w:r>
      <w:r w:run_index="815">
        <w:rPr>
          <w:rStyle w:val="NormalTok"/>
        </w:rPr>
        <w:t xml:space="preserve" w:run_content_index="824">(</w:t>
      </w:r>
      <w:r w:run_index="816">
        <w:rPr>
          <w:rStyle w:val="AttributeTok"/>
        </w:rPr>
        <w:t xml:space="preserve" w:run_content_index="825">x =</w:t>
      </w:r>
      <w:r w:run_index="817">
        <w:rPr>
          <w:rStyle w:val="NormalTok"/>
        </w:rPr>
        <w:t xml:space="preserve" w:run_content_index="826"> </w:t>
      </w:r>
      <w:r w:run_index="818">
        <w:rPr>
          <w:rStyle w:val="StringTok"/>
        </w:rPr>
        <w:t xml:space="preserve" w:run_content_index="827">"Time (h)"</w:t>
      </w:r>
      <w:r w:run_index="819">
        <w:rPr>
          <w:rStyle w:val="NormalTok"/>
        </w:rPr>
        <w:t xml:space="preserve" w:run_content_index="828">, </w:t>
      </w:r>
      <w:r w:run_index="820">
        <w:rPr>
          <w:rStyle w:val="AttributeTok"/>
        </w:rPr>
        <w:t xml:space="preserve" w:run_content_index="829">y =</w:t>
      </w:r>
      <w:r w:run_index="821">
        <w:rPr>
          <w:rStyle w:val="NormalTok"/>
        </w:rPr>
        <w:t xml:space="preserve" w:run_content_index="830"> </w:t>
      </w:r>
      <w:r w:run_index="822">
        <w:rPr>
          <w:rStyle w:val="StringTok"/>
        </w:rPr>
        <w:t xml:space="preserve" w:run_content_index="831">"Concentration (mg/L)"</w:t>
      </w:r>
      <w:r w:run_index="823">
        <w:rPr>
          <w:rStyle w:val="NormalTok"/>
        </w:rPr>
        <w:t xml:space="preserve" w:run_content_index="832">) </w:t>
      </w:r>
      <w:r w:run_index="824">
        <w:rPr>
          <w:rStyle w:val="SpecialCharTok"/>
        </w:rPr>
        <w:t xml:space="preserve" w:run_content_index="833">+</w:t>
      </w:r>
      <w:r w:run_index="825">
        <w:br w:run_content_index="834"/>
      </w:r>
      <w:r w:run_index="826">
        <w:rPr>
          <w:rStyle w:val="NormalTok"/>
        </w:rPr>
        <w:t xml:space="preserve" w:run_content_index="835">  </w:t>
      </w:r>
      <w:r w:run_index="827">
        <w:rPr>
          <w:rStyle w:val="FunctionTok"/>
        </w:rPr>
        <w:t xml:space="preserve" w:run_content_index="836">theme_bw</w:t>
      </w:r>
      <w:r w:run_index="828">
        <w:rPr>
          <w:rStyle w:val="NormalTok"/>
        </w:rPr>
        <w:t xml:space="preserve" w:run_content_index="837">()</w:t>
      </w:r>
      <w:r w:run_index="829">
        <w:br w:run_content_index="838"/>
      </w:r>
      <w:r w:run_index="830">
        <w:br w:run_content_index="839"/>
      </w:r>
      <w:r w:run_index="831">
        <w:rPr>
          <w:rStyle w:val="CommentTok"/>
        </w:rPr>
        <w:t xml:space="preserve" w:run_content_index="840"># meta_type = "conc-time-trajectories" pulls report/standard_footnotes.yaml's</w:t>
      </w:r>
      <w:r w:run_index="832">
        <w:br w:run_content_index="841"/>
      </w:r>
      <w:r w:run_index="833">
        <w:rPr>
          <w:rStyle w:val="CommentTok"/>
        </w:rPr>
        <w:t xml:space="preserve" w:run_content_index="842"># existing canned figure_footnotes entry for this exact plot type; meta_notes</w:t>
      </w:r>
      <w:r w:run_index="834">
        <w:br w:run_content_index="843"/>
      </w:r>
      <w:r w:run_index="835">
        <w:rPr>
          <w:rStyle w:val="CommentTok"/>
        </w:rPr>
        <w:t xml:space="preserve" w:run_content_index="844"># adds a dataset-specific note on top of it.</w:t>
      </w:r>
      <w:r w:run_index="836">
        <w:br w:run_content_index="845"/>
      </w:r>
      <w:r w:run_index="837">
        <w:rPr>
          <w:rStyle w:val="FunctionTok"/>
        </w:rPr>
        <w:t xml:space="preserve" w:run_content_index="846">ggsave_with_metadata</w:t>
      </w:r>
      <w:r w:run_index="838">
        <w:rPr>
          <w:rStyle w:val="NormalTok"/>
        </w:rPr>
        <w:t xml:space="preserve" w:run_content_index="847">(</w:t>
      </w:r>
      <w:r w:run_index="839">
        <w:br w:run_content_index="848"/>
      </w:r>
      <w:r w:run_index="840">
        <w:rPr>
          <w:rStyle w:val="NormalTok"/>
        </w:rPr>
        <w:t xml:space="preserve" w:run_content_index="849">  </w:t>
      </w:r>
      <w:r w:run_index="841">
        <w:rPr>
          <w:rStyle w:val="AttributeTok"/>
        </w:rPr>
        <w:t xml:space="preserve" w:run_content_index="850">filename =</w:t>
      </w:r>
      <w:r w:run_index="842">
        <w:rPr>
          <w:rStyle w:val="NormalTok"/>
        </w:rPr>
        <w:t xml:space="preserve" w:run_content_index="851"> plot_file,</w:t>
      </w:r>
      <w:r w:run_index="843">
        <w:br w:run_content_index="852"/>
      </w:r>
      <w:r w:run_index="844">
        <w:rPr>
          <w:rStyle w:val="NormalTok"/>
        </w:rPr>
        <w:t xml:space="preserve" w:run_content_index="853">  </w:t>
      </w:r>
      <w:r w:run_index="845">
        <w:rPr>
          <w:rStyle w:val="AttributeTok"/>
        </w:rPr>
        <w:t xml:space="preserve" w:run_content_index="854">plot =</w:t>
      </w:r>
      <w:r w:run_index="846">
        <w:rPr>
          <w:rStyle w:val="NormalTok"/>
        </w:rPr>
        <w:t xml:space="preserve" w:run_content_index="855"> g,</w:t>
      </w:r>
      <w:r w:run_index="847">
        <w:br w:run_content_index="856"/>
      </w:r>
      <w:r w:run_index="848">
        <w:rPr>
          <w:rStyle w:val="NormalTok"/>
        </w:rPr>
        <w:t xml:space="preserve" w:run_content_index="857">  </w:t>
      </w:r>
      <w:r w:run_index="849">
        <w:rPr>
          <w:rStyle w:val="AttributeTok"/>
        </w:rPr>
        <w:t xml:space="preserve" w:run_content_index="858">width =</w:t>
      </w:r>
      <w:r w:run_index="850">
        <w:rPr>
          <w:rStyle w:val="NormalTok"/>
        </w:rPr>
        <w:t xml:space="preserve" w:run_content_index="859"> </w:t>
      </w:r>
      <w:r w:run_index="851">
        <w:rPr>
          <w:rStyle w:val="DecValTok"/>
        </w:rPr>
        <w:t xml:space="preserve" w:run_content_index="860">6</w:t>
      </w:r>
      <w:r w:run_index="852">
        <w:rPr>
          <w:rStyle w:val="NormalTok"/>
        </w:rPr>
        <w:t xml:space="preserve" w:run_content_index="861">,</w:t>
      </w:r>
      <w:r w:run_index="853">
        <w:br w:run_content_index="862"/>
      </w:r>
      <w:r w:run_index="854">
        <w:rPr>
          <w:rStyle w:val="NormalTok"/>
        </w:rPr>
        <w:t xml:space="preserve" w:run_content_index="863">  </w:t>
      </w:r>
      <w:r w:run_index="855">
        <w:rPr>
          <w:rStyle w:val="AttributeTok"/>
        </w:rPr>
        <w:t xml:space="preserve" w:run_content_index="864">height =</w:t>
      </w:r>
      <w:r w:run_index="856">
        <w:rPr>
          <w:rStyle w:val="NormalTok"/>
        </w:rPr>
        <w:t xml:space="preserve" w:run_content_index="865"> </w:t>
      </w:r>
      <w:r w:run_index="857">
        <w:rPr>
          <w:rStyle w:val="DecValTok"/>
        </w:rPr>
        <w:t xml:space="preserve" w:run_content_index="866">4</w:t>
      </w:r>
      <w:r w:run_index="858">
        <w:rPr>
          <w:rStyle w:val="NormalTok"/>
        </w:rPr>
        <w:t xml:space="preserve" w:run_content_index="867">,</w:t>
      </w:r>
      <w:r w:run_index="859">
        <w:br w:run_content_index="868"/>
      </w:r>
      <w:r w:run_index="860">
        <w:rPr>
          <w:rStyle w:val="NormalTok"/>
        </w:rPr>
        <w:t xml:space="preserve" w:run_content_index="869">  </w:t>
      </w:r>
      <w:r w:run_index="861">
        <w:rPr>
          <w:rStyle w:val="AttributeTok"/>
        </w:rPr>
        <w:t xml:space="preserve" w:run_content_index="870">config_yaml =</w:t>
      </w:r>
      <w:r w:run_index="862">
        <w:rPr>
          <w:rStyle w:val="NormalTok"/>
        </w:rPr>
        <w:t xml:space="preserve" w:run_content_index="871"> config_yaml,</w:t>
      </w:r>
      <w:r w:run_index="863">
        <w:br w:run_content_index="872"/>
      </w:r>
      <w:r w:run_index="864">
        <w:rPr>
          <w:rStyle w:val="NormalTok"/>
        </w:rPr>
        <w:t xml:space="preserve" w:run_content_index="873">  </w:t>
      </w:r>
      <w:r w:run_index="865">
        <w:rPr>
          <w:rStyle w:val="AttributeTok"/>
        </w:rPr>
        <w:t xml:space="preserve" w:run_content_index="874">meta_type =</w:t>
      </w:r>
      <w:r w:run_index="866">
        <w:rPr>
          <w:rStyle w:val="NormalTok"/>
        </w:rPr>
        <w:t xml:space="preserve" w:run_content_index="875"> </w:t>
      </w:r>
      <w:r w:run_index="867">
        <w:rPr>
          <w:rStyle w:val="StringTok"/>
        </w:rPr>
        <w:t xml:space="preserve" w:run_content_index="876">"conc-time-trajectories"</w:t>
      </w:r>
      <w:r w:run_index="868">
        <w:rPr>
          <w:rStyle w:val="NormalTok"/>
        </w:rPr>
        <w:t xml:space="preserve" w:run_content_index="877">,</w:t>
      </w:r>
      <w:r w:run_index="869">
        <w:br w:run_content_index="878"/>
      </w:r>
      <w:r w:run_index="870">
        <w:rPr>
          <w:rStyle w:val="NormalTok"/>
        </w:rPr>
        <w:t xml:space="preserve" w:run_content_index="879">  </w:t>
      </w:r>
      <w:r w:run_index="871">
        <w:rPr>
          <w:rStyle w:val="AttributeTok"/>
        </w:rPr>
        <w:t xml:space="preserve" w:run_content_index="880">meta_notes =</w:t>
      </w:r>
      <w:r w:run_index="872">
        <w:rPr>
          <w:rStyle w:val="NormalTok"/>
        </w:rPr>
        <w:t xml:space="preserve" w:run_content_index="881"> </w:t>
      </w:r>
      <w:r w:run_index="873">
        <w:rPr>
          <w:rStyle w:val="StringTok"/>
        </w:rPr>
        <w:t xml:space="preserve" w:run_content_index="882">"Data are from the built-in Theoph dataset."</w:t>
      </w:r>
      <w:r w:run_index="874">
        <w:rPr>
          <w:rStyle w:val="NormalTok"/>
        </w:rPr>
        <w:t xml:space="preserve" w:run_content_index="883">,</w:t>
      </w:r>
      <w:r w:run_index="875">
        <w:br w:run_content_index="884"/>
      </w:r>
      <w:r w:run_index="876">
        <w:rPr>
          <w:rStyle w:val="NormalTok"/>
        </w:rPr>
        <w:t xml:space="preserve" w:run_content_index="885">  </w:t>
      </w:r>
      <w:r w:run_index="877">
        <w:rPr>
          <w:rStyle w:val="AttributeTok"/>
        </w:rPr>
        <w:t xml:space="preserve" w:run_content_index="886">meta_abbrevs =</w:t>
      </w:r>
      <w:r w:run_index="878">
        <w:rPr>
          <w:rStyle w:val="NormalTok"/>
        </w:rPr>
        <w:t xml:space="preserve" w:run_content_index="887"> </w:t>
      </w:r>
      <w:r w:run_index="879">
        <w:rPr>
          <w:rStyle w:val="StringTok"/>
        </w:rPr>
        <w:t xml:space="preserve" w:run_content_index="888">"PK"</w:t>
      </w:r>
      <w:r w:run_index="880">
        <w:br w:run_content_index="889"/>
      </w:r>
      <w:r w:run_index="881">
        <w:rPr>
          <w:rStyle w:val="NormalTok"/>
        </w:rPr>
        <w:t xml:space="preserve" w:run_content_index="890">)</w:t>
      </w:r>
      <w:r w:run_index="882">
        <w:br w:run_content_index="891"/>
      </w:r>
      <w:r w:run_index="883">
        <w:br w:run_content_index="892"/>
      </w:r>
      <w:r w:run_index="884">
        <w:rPr>
          <w:rStyle w:val="CommentTok"/>
        </w:rPr>
        <w:t xml:space="preserve" w:run_content_index="893"># reportifyr's own add_figure_footnotes() dedupes footnotes by filename</w:t>
      </w:r>
      <w:r w:run_index="885">
        <w:br w:run_content_index="894"/>
      </w:r>
      <w:r w:run_index="886">
        <w:rPr>
          <w:rStyle w:val="CommentTok"/>
        </w:rPr>
        <w:t xml:space="preserve" w:run_content_index="895"># document-wide (a bookmark-name xpath check, unconditional -- no</w:t>
      </w:r>
      <w:r w:run_index="887">
        <w:br w:run_content_index="896"/>
      </w:r>
      <w:r w:run_index="888">
        <w:rPr>
          <w:rStyle w:val="CommentTok"/>
        </w:rPr>
        <w:t xml:space="preserve" w:run_content_index="897"># config.yaml knob controls it): the *first* rpfy-prefixed occurrence of a</w:t>
      </w:r>
      <w:r w:run_index="889">
        <w:br w:run_content_index="898"/>
      </w:r>
      <w:r w:run_index="890">
        <w:rPr>
          <w:rStyle w:val="CommentTok"/>
        </w:rPr>
        <w:t xml:space="preserve" w:run_content_index="899"># given filename gets the metadata footnote and every later occurrence of</w:t>
      </w:r>
      <w:r w:run_index="891">
        <w:br w:run_content_index="900"/>
      </w:r>
      <w:r w:run_index="892">
        <w:rPr>
          <w:rStyle w:val="CommentTok"/>
        </w:rPr>
        <w:t xml:space="preserve" w:run_content_index="901"># that same filename is silently skipped. The synopsis intentionally</w:t>
      </w:r>
      <w:r w:run_index="893">
        <w:br w:run_content_index="902"/>
      </w:r>
      <w:r w:run_index="894">
        <w:rPr>
          <w:rStyle w:val="CommentTok"/>
        </w:rPr>
        <w:t xml:space="preserve" w:run_content_index="903"># embeds the same plot as a preview ahead of the numbered Figure 1 in the</w:t>
      </w:r>
      <w:r w:run_index="895">
        <w:br w:run_content_index="904"/>
      </w:r>
      <w:r w:run_index="896">
        <w:rPr>
          <w:rStyle w:val="CommentTok"/>
        </w:rPr>
        <w:t xml:space="preserve" w:run_content_index="905"># body (see report.qmd), so it needs its own copy under a distinct</w:t>
      </w:r>
      <w:r w:run_index="897">
        <w:br w:run_content_index="906"/>
      </w:r>
      <w:r w:run_index="898">
        <w:rPr>
          <w:rStyle w:val="CommentTok"/>
        </w:rPr>
        <w:t xml:space="preserve" w:run_content_index="907"># filename -- otherwise the synopsis preview would claim the footnote and</w:t>
      </w:r>
      <w:r w:run_index="899">
        <w:br w:run_content_index="908"/>
      </w:r>
      <w:r w:run_index="900">
        <w:rPr>
          <w:rStyle w:val="CommentTok"/>
        </w:rPr>
        <w:t xml:space="preserve" w:run_content_index="909"># leave the numbered, List-of-Figures-tracked Figure 1 without one.</w:t>
      </w:r>
      <w:r w:run_index="901">
        <w:br w:run_content_index="910"/>
      </w:r>
      <w:r w:run_index="902">
        <w:rPr>
          <w:rStyle w:val="NormalTok"/>
        </w:rPr>
        <w:t xml:space="preserve" w:run_content_index="911">synopsis_plot_file </w:t>
      </w:r>
      <w:r w:run_index="903">
        <w:rPr>
          <w:rStyle w:val="OtherTok"/>
        </w:rPr>
        <w:t xml:space="preserve" w:run_content_index="912">&lt;-</w:t>
      </w:r>
      <w:r w:run_index="904">
        <w:rPr>
          <w:rStyle w:val="NormalTok"/>
        </w:rPr>
        <w:t xml:space="preserve" w:run_content_index="913"> </w:t>
      </w:r>
      <w:r w:run_index="905">
        <w:rPr>
          <w:rStyle w:val="FunctionTok"/>
        </w:rPr>
        <w:t xml:space="preserve" w:run_content_index="914">file.path</w:t>
      </w:r>
      <w:r w:run_index="906">
        <w:rPr>
          <w:rStyle w:val="NormalTok"/>
        </w:rPr>
        <w:t xml:space="preserve" w:run_content_index="915">(figures_path, </w:t>
      </w:r>
      <w:r w:run_index="907">
        <w:rPr>
          <w:rStyle w:val="StringTok"/>
        </w:rPr>
        <w:t xml:space="preserve" w:run_content_index="916">"conc-time-synopsis.png"</w:t>
      </w:r>
      <w:r w:run_index="908">
        <w:rPr>
          <w:rStyle w:val="NormalTok"/>
        </w:rPr>
        <w:t xml:space="preserve" w:run_content_index="917">)</w:t>
      </w:r>
      <w:r w:run_index="909">
        <w:br w:run_content_index="918"/>
      </w:r>
      <w:r w:run_index="910">
        <w:br w:run_content_index="919"/>
      </w:r>
      <w:r w:run_index="911">
        <w:rPr>
          <w:rStyle w:val="FunctionTok"/>
        </w:rPr>
        <w:t xml:space="preserve" w:run_content_index="920">ggsave_with_metadata</w:t>
      </w:r>
      <w:r w:run_index="912">
        <w:rPr>
          <w:rStyle w:val="NormalTok"/>
        </w:rPr>
        <w:t xml:space="preserve" w:run_content_index="921">(</w:t>
      </w:r>
      <w:r w:run_index="913">
        <w:br w:run_content_index="922"/>
      </w:r>
      <w:r w:run_index="914">
        <w:rPr>
          <w:rStyle w:val="NormalTok"/>
        </w:rPr>
        <w:t xml:space="preserve" w:run_content_index="923">  </w:t>
      </w:r>
      <w:r w:run_index="915">
        <w:rPr>
          <w:rStyle w:val="AttributeTok"/>
        </w:rPr>
        <w:t xml:space="preserve" w:run_content_index="924">filename =</w:t>
      </w:r>
      <w:r w:run_index="916">
        <w:rPr>
          <w:rStyle w:val="NormalTok"/>
        </w:rPr>
        <w:t xml:space="preserve" w:run_content_index="925"> synopsis_plot_file,</w:t>
      </w:r>
      <w:r w:run_index="917">
        <w:br w:run_content_index="926"/>
      </w:r>
      <w:r w:run_index="918">
        <w:rPr>
          <w:rStyle w:val="NormalTok"/>
        </w:rPr>
        <w:t xml:space="preserve" w:run_content_index="927">  </w:t>
      </w:r>
      <w:r w:run_index="919">
        <w:rPr>
          <w:rStyle w:val="AttributeTok"/>
        </w:rPr>
        <w:t xml:space="preserve" w:run_content_index="928">plot =</w:t>
      </w:r>
      <w:r w:run_index="920">
        <w:rPr>
          <w:rStyle w:val="NormalTok"/>
        </w:rPr>
        <w:t xml:space="preserve" w:run_content_index="929"> g,</w:t>
      </w:r>
      <w:r w:run_index="921">
        <w:br w:run_content_index="930"/>
      </w:r>
      <w:r w:run_index="922">
        <w:rPr>
          <w:rStyle w:val="NormalTok"/>
        </w:rPr>
        <w:t xml:space="preserve" w:run_content_index="931">  </w:t>
      </w:r>
      <w:r w:run_index="923">
        <w:rPr>
          <w:rStyle w:val="AttributeTok"/>
        </w:rPr>
        <w:t xml:space="preserve" w:run_content_index="932">width =</w:t>
      </w:r>
      <w:r w:run_index="924">
        <w:rPr>
          <w:rStyle w:val="NormalTok"/>
        </w:rPr>
        <w:t xml:space="preserve" w:run_content_index="933"> </w:t>
      </w:r>
      <w:r w:run_index="925">
        <w:rPr>
          <w:rStyle w:val="DecValTok"/>
        </w:rPr>
        <w:t xml:space="preserve" w:run_content_index="934">6</w:t>
      </w:r>
      <w:r w:run_index="926">
        <w:rPr>
          <w:rStyle w:val="NormalTok"/>
        </w:rPr>
        <w:t xml:space="preserve" w:run_content_index="935">,</w:t>
      </w:r>
      <w:r w:run_index="927">
        <w:br w:run_content_index="936"/>
      </w:r>
      <w:r w:run_index="928">
        <w:rPr>
          <w:rStyle w:val="NormalTok"/>
        </w:rPr>
        <w:t xml:space="preserve" w:run_content_index="937">  </w:t>
      </w:r>
      <w:r w:run_index="929">
        <w:rPr>
          <w:rStyle w:val="AttributeTok"/>
        </w:rPr>
        <w:t xml:space="preserve" w:run_content_index="938">height =</w:t>
      </w:r>
      <w:r w:run_index="930">
        <w:rPr>
          <w:rStyle w:val="NormalTok"/>
        </w:rPr>
        <w:t xml:space="preserve" w:run_content_index="939"> </w:t>
      </w:r>
      <w:r w:run_index="931">
        <w:rPr>
          <w:rStyle w:val="DecValTok"/>
        </w:rPr>
        <w:t xml:space="preserve" w:run_content_index="940">4</w:t>
      </w:r>
      <w:r w:run_index="932">
        <w:rPr>
          <w:rStyle w:val="NormalTok"/>
        </w:rPr>
        <w:t xml:space="preserve" w:run_content_index="941">,</w:t>
      </w:r>
      <w:r w:run_index="933">
        <w:br w:run_content_index="942"/>
      </w:r>
      <w:r w:run_index="934">
        <w:rPr>
          <w:rStyle w:val="NormalTok"/>
        </w:rPr>
        <w:t xml:space="preserve" w:run_content_index="943">  </w:t>
      </w:r>
      <w:r w:run_index="935">
        <w:rPr>
          <w:rStyle w:val="AttributeTok"/>
        </w:rPr>
        <w:t xml:space="preserve" w:run_content_index="944">config_yaml =</w:t>
      </w:r>
      <w:r w:run_index="936">
        <w:rPr>
          <w:rStyle w:val="NormalTok"/>
        </w:rPr>
        <w:t xml:space="preserve" w:run_content_index="945"> config_yaml,</w:t>
      </w:r>
      <w:r w:run_index="937">
        <w:br w:run_content_index="946"/>
      </w:r>
      <w:r w:run_index="938">
        <w:rPr>
          <w:rStyle w:val="NormalTok"/>
        </w:rPr>
        <w:t xml:space="preserve" w:run_content_index="947">  </w:t>
      </w:r>
      <w:r w:run_index="939">
        <w:rPr>
          <w:rStyle w:val="AttributeTok"/>
        </w:rPr>
        <w:t xml:space="preserve" w:run_content_index="948">meta_type =</w:t>
      </w:r>
      <w:r w:run_index="940">
        <w:rPr>
          <w:rStyle w:val="NormalTok"/>
        </w:rPr>
        <w:t xml:space="preserve" w:run_content_index="949"> </w:t>
      </w:r>
      <w:r w:run_index="941">
        <w:rPr>
          <w:rStyle w:val="StringTok"/>
        </w:rPr>
        <w:t xml:space="preserve" w:run_content_index="950">"conc-time-trajectories"</w:t>
      </w:r>
      <w:r w:run_index="942">
        <w:rPr>
          <w:rStyle w:val="NormalTok"/>
        </w:rPr>
        <w:t xml:space="preserve" w:run_content_index="951">,</w:t>
      </w:r>
      <w:r w:run_index="943">
        <w:br w:run_content_index="952"/>
      </w:r>
      <w:r w:run_index="944">
        <w:rPr>
          <w:rStyle w:val="NormalTok"/>
        </w:rPr>
        <w:t xml:space="preserve" w:run_content_index="953">  </w:t>
      </w:r>
      <w:r w:run_index="945">
        <w:rPr>
          <w:rStyle w:val="AttributeTok"/>
        </w:rPr>
        <w:t xml:space="preserve" w:run_content_index="954">meta_notes =</w:t>
      </w:r>
      <w:r w:run_index="946">
        <w:rPr>
          <w:rStyle w:val="NormalTok"/>
        </w:rPr>
        <w:t xml:space="preserve" w:run_content_index="955"> </w:t>
      </w:r>
      <w:r w:run_index="947">
        <w:rPr>
          <w:rStyle w:val="StringTok"/>
        </w:rPr>
        <w:t xml:space="preserve" w:run_content_index="956">"Synopsis preview of the concentration-time profile shown in full as Figure 1."</w:t>
      </w:r>
      <w:r w:run_index="948">
        <w:rPr>
          <w:rStyle w:val="NormalTok"/>
        </w:rPr>
        <w:t xml:space="preserve" w:run_content_index="957">,</w:t>
      </w:r>
      <w:r w:run_index="949">
        <w:br w:run_content_index="958"/>
      </w:r>
      <w:r w:run_index="950">
        <w:rPr>
          <w:rStyle w:val="NormalTok"/>
        </w:rPr>
        <w:t xml:space="preserve" w:run_content_index="959">  </w:t>
      </w:r>
      <w:r w:run_index="951">
        <w:rPr>
          <w:rStyle w:val="AttributeTok"/>
        </w:rPr>
        <w:t xml:space="preserve" w:run_content_index="960">meta_abbrevs =</w:t>
      </w:r>
      <w:r w:run_index="952">
        <w:rPr>
          <w:rStyle w:val="NormalTok"/>
        </w:rPr>
        <w:t xml:space="preserve" w:run_content_index="961"> </w:t>
      </w:r>
      <w:r w:run_index="953">
        <w:rPr>
          <w:rStyle w:val="StringTok"/>
        </w:rPr>
        <w:t xml:space="preserve" w:run_content_index="962">"PK"</w:t>
      </w:r>
      <w:r w:run_index="954">
        <w:br w:run_content_index="963"/>
      </w:r>
      <w:r w:run_index="955">
        <w:rPr>
          <w:rStyle w:val="NormalTok"/>
        </w:rPr>
        <w:t xml:space="preserve" w:run_content_index="964">)</w:t>
      </w:r>
      <w:r w:run_index="956">
        <w:br w:run_content_index="965"/>
      </w:r>
      <w:r w:run_index="957">
        <w:br w:run_content_index="966"/>
      </w:r>
      <w:r w:run_index="958">
        <w:rPr>
          <w:rStyle w:val="FunctionTok"/>
        </w:rPr>
        <w:t xml:space="preserve" w:run_content_index="967">cat</w:t>
      </w:r>
      <w:r w:run_index="959">
        <w:rPr>
          <w:rStyle w:val="NormalTok"/>
        </w:rPr>
        <w:t xml:space="preserve" w:run_content_index="968">(</w:t>
      </w:r>
      <w:r w:run_index="960">
        <w:rPr>
          <w:rStyle w:val="StringTok"/>
        </w:rPr>
        <w:t xml:space="preserve" w:run_content_index="969">"Wrote:</w:t>
      </w:r>
      <w:r w:run_index="961">
        <w:rPr>
          <w:rStyle w:val="SpecialCharTok"/>
        </w:rPr>
        <w:t xml:space="preserve" w:run_content_index="970">\n</w:t>
      </w:r>
      <w:r w:run_index="962">
        <w:rPr>
          <w:rStyle w:val="StringTok"/>
        </w:rPr>
        <w:t xml:space="preserve" w:run_content_index="971">"</w:t>
      </w:r>
      <w:r w:run_index="963">
        <w:rPr>
          <w:rStyle w:val="NormalTok"/>
        </w:rPr>
        <w:t xml:space="preserve" w:run_content_index="972">)</w:t>
      </w:r>
      <w:r w:run_index="964">
        <w:br w:run_content_index="973"/>
      </w:r>
      <w:r w:run_index="965">
        <w:rPr>
          <w:rStyle w:val="FunctionTok"/>
        </w:rPr>
        <w:t xml:space="preserve" w:run_content_index="974">cat</w:t>
      </w:r>
      <w:r w:run_index="966">
        <w:rPr>
          <w:rStyle w:val="NormalTok"/>
        </w:rPr>
        <w:t xml:space="preserve" w:run_content_index="975">(</w:t>
      </w:r>
      <w:r w:run_index="967">
        <w:rPr>
          <w:rStyle w:val="StringTok"/>
        </w:rPr>
        <w:t xml:space="preserve" w:run_content_index="976">" -"</w:t>
      </w:r>
      <w:r w:run_index="968">
        <w:rPr>
          <w:rStyle w:val="NormalTok"/>
        </w:rPr>
        <w:t xml:space="preserve" w:run_content_index="977">, </w:t>
      </w:r>
      <w:r w:run_index="969">
        <w:rPr>
          <w:rStyle w:val="FunctionTok"/>
        </w:rPr>
        <w:t xml:space="preserve" w:run_content_index="978">file.path</w:t>
      </w:r>
      <w:r w:run_index="970">
        <w:rPr>
          <w:rStyle w:val="NormalTok"/>
        </w:rPr>
        <w:t xml:space="preserve" w:run_content_index="979">(</w:t>
      </w:r>
      <w:r w:run_index="971">
        <w:rPr>
          <w:rStyle w:val="StringTok"/>
        </w:rPr>
        <w:t xml:space="preserve" w:run_content_index="980">"OUTPUTS"</w:t>
      </w:r>
      <w:r w:run_index="972">
        <w:rPr>
          <w:rStyle w:val="NormalTok"/>
        </w:rPr>
        <w:t xml:space="preserve" w:run_content_index="981">, </w:t>
      </w:r>
      <w:r w:run_index="973">
        <w:rPr>
          <w:rStyle w:val="StringTok"/>
        </w:rPr>
        <w:t xml:space="preserve" w:run_content_index="982">"tables"</w:t>
      </w:r>
      <w:r w:run_index="974">
        <w:rPr>
          <w:rStyle w:val="NormalTok"/>
        </w:rPr>
        <w:t xml:space="preserve" w:run_content_index="983">, </w:t>
      </w:r>
      <w:r w:run_index="975">
        <w:rPr>
          <w:rStyle w:val="StringTok"/>
        </w:rPr>
        <w:t xml:space="preserve" w:run_content_index="984">"pk-summary.csv"</w:t>
      </w:r>
      <w:r w:run_index="976">
        <w:rPr>
          <w:rStyle w:val="NormalTok"/>
        </w:rPr>
        <w:t xml:space="preserve" w:run_content_index="985">), </w:t>
      </w:r>
      <w:r w:run_index="977">
        <w:rPr>
          <w:rStyle w:val="StringTok"/>
        </w:rPr>
        <w:t xml:space="preserve" w:run_content_index="986">"</w:t>
      </w:r>
      <w:r w:run_index="978">
        <w:rPr>
          <w:rStyle w:val="SpecialCharTok"/>
        </w:rPr>
        <w:t xml:space="preserve" w:run_content_index="987">\n</w:t>
      </w:r>
      <w:r w:run_index="979">
        <w:rPr>
          <w:rStyle w:val="StringTok"/>
        </w:rPr>
        <w:t xml:space="preserve" w:run_content_index="988">"</w:t>
      </w:r>
      <w:r w:run_index="980">
        <w:rPr>
          <w:rStyle w:val="NormalTok"/>
        </w:rPr>
        <w:t xml:space="preserve" w:run_content_index="989">)</w:t>
      </w:r>
      <w:r w:run_index="981">
        <w:br w:run_content_index="990"/>
      </w:r>
      <w:r w:run_index="982">
        <w:rPr>
          <w:rStyle w:val="FunctionTok"/>
        </w:rPr>
        <w:t xml:space="preserve" w:run_content_index="991">cat</w:t>
      </w:r>
      <w:r w:run_index="983">
        <w:rPr>
          <w:rStyle w:val="NormalTok"/>
        </w:rPr>
        <w:t xml:space="preserve" w:run_content_index="992">(</w:t>
      </w:r>
      <w:r w:run_index="984">
        <w:rPr>
          <w:rStyle w:val="StringTok"/>
        </w:rPr>
        <w:t xml:space="preserve" w:run_content_index="993">" -"</w:t>
      </w:r>
      <w:r w:run_index="985">
        <w:rPr>
          <w:rStyle w:val="NormalTok"/>
        </w:rPr>
        <w:t xml:space="preserve" w:run_content_index="994">, </w:t>
      </w:r>
      <w:r w:run_index="986">
        <w:rPr>
          <w:rStyle w:val="FunctionTok"/>
        </w:rPr>
        <w:t xml:space="preserve" w:run_content_index="995">file.path</w:t>
      </w:r>
      <w:r w:run_index="987">
        <w:rPr>
          <w:rStyle w:val="NormalTok"/>
        </w:rPr>
        <w:t xml:space="preserve" w:run_content_index="996">(</w:t>
      </w:r>
      <w:r w:run_index="988">
        <w:rPr>
          <w:rStyle w:val="StringTok"/>
        </w:rPr>
        <w:t xml:space="preserve" w:run_content_index="997">"OUTPUTS"</w:t>
      </w:r>
      <w:r w:run_index="989">
        <w:rPr>
          <w:rStyle w:val="NormalTok"/>
        </w:rPr>
        <w:t xml:space="preserve" w:run_content_index="998">, </w:t>
      </w:r>
      <w:r w:run_index="990">
        <w:rPr>
          <w:rStyle w:val="StringTok"/>
        </w:rPr>
        <w:t xml:space="preserve" w:run_content_index="999">"tables"</w:t>
      </w:r>
      <w:r w:run_index="991">
        <w:rPr>
          <w:rStyle w:val="NormalTok"/>
        </w:rPr>
        <w:t xml:space="preserve" w:run_content_index="1000">, </w:t>
      </w:r>
      <w:r w:run_index="992">
        <w:rPr>
          <w:rStyle w:val="StringTok"/>
        </w:rPr>
        <w:t xml:space="preserve" w:run_content_index="1001">"participant-demographics.rds"</w:t>
      </w:r>
      <w:r w:run_index="993">
        <w:rPr>
          <w:rStyle w:val="NormalTok"/>
        </w:rPr>
        <w:t xml:space="preserve" w:run_content_index="1002">), </w:t>
      </w:r>
      <w:r w:run_index="994">
        <w:rPr>
          <w:rStyle w:val="StringTok"/>
        </w:rPr>
        <w:t xml:space="preserve" w:run_content_index="1003">"</w:t>
      </w:r>
      <w:r w:run_index="995">
        <w:rPr>
          <w:rStyle w:val="SpecialCharTok"/>
        </w:rPr>
        <w:t xml:space="preserve" w:run_content_index="1004">\n</w:t>
      </w:r>
      <w:r w:run_index="996">
        <w:rPr>
          <w:rStyle w:val="StringTok"/>
        </w:rPr>
        <w:t xml:space="preserve" w:run_content_index="1005">"</w:t>
      </w:r>
      <w:r w:run_index="997">
        <w:rPr>
          <w:rStyle w:val="NormalTok"/>
        </w:rPr>
        <w:t xml:space="preserve" w:run_content_index="1006">)</w:t>
      </w:r>
      <w:r w:run_index="998">
        <w:br w:run_content_index="1007"/>
      </w:r>
      <w:r w:run_index="999">
        <w:rPr>
          <w:rStyle w:val="FunctionTok"/>
        </w:rPr>
        <w:t xml:space="preserve" w:run_content_index="1008">cat</w:t>
      </w:r>
      <w:r w:run_index="1000">
        <w:rPr>
          <w:rStyle w:val="NormalTok"/>
        </w:rPr>
        <w:t xml:space="preserve" w:run_content_index="1009">(</w:t>
      </w:r>
      <w:r w:run_index="1001">
        <w:rPr>
          <w:rStyle w:val="StringTok"/>
        </w:rPr>
        <w:t xml:space="preserve" w:run_content_index="1010">" -"</w:t>
      </w:r>
      <w:r w:run_index="1002">
        <w:rPr>
          <w:rStyle w:val="NormalTok"/>
        </w:rPr>
        <w:t xml:space="preserve" w:run_content_index="1011">, plot_file, </w:t>
      </w:r>
      <w:r w:run_index="1003">
        <w:rPr>
          <w:rStyle w:val="StringTok"/>
        </w:rPr>
        <w:t xml:space="preserve" w:run_content_index="1012">"</w:t>
      </w:r>
      <w:r w:run_index="1004">
        <w:rPr>
          <w:rStyle w:val="SpecialCharTok"/>
        </w:rPr>
        <w:t xml:space="preserve" w:run_content_index="1013">\n</w:t>
      </w:r>
      <w:r w:run_index="1005">
        <w:rPr>
          <w:rStyle w:val="StringTok"/>
        </w:rPr>
        <w:t xml:space="preserve" w:run_content_index="1014">"</w:t>
      </w:r>
      <w:r w:run_index="1006">
        <w:rPr>
          <w:rStyle w:val="NormalTok"/>
        </w:rPr>
        <w:t xml:space="preserve" w:run_content_index="1015">)</w:t>
      </w:r>
      <w:r w:run_index="1007">
        <w:br w:run_content_index="1016"/>
      </w:r>
      <w:r w:run_index="1008">
        <w:rPr>
          <w:rStyle w:val="FunctionTok"/>
        </w:rPr>
        <w:t xml:space="preserve" w:run_content_index="1017">cat</w:t>
      </w:r>
      <w:r w:run_index="1009">
        <w:rPr>
          <w:rStyle w:val="NormalTok"/>
        </w:rPr>
        <w:t xml:space="preserve" w:run_content_index="1018">(</w:t>
      </w:r>
      <w:r w:run_index="1010">
        <w:rPr>
          <w:rStyle w:val="StringTok"/>
        </w:rPr>
        <w:t xml:space="preserve" w:run_content_index="1019">" -"</w:t>
      </w:r>
      <w:r w:run_index="1011">
        <w:rPr>
          <w:rStyle w:val="NormalTok"/>
        </w:rPr>
        <w:t xml:space="preserve" w:run_content_index="1020">, synopsis_plot_file, </w:t>
      </w:r>
      <w:r w:run_index="1012">
        <w:rPr>
          <w:rStyle w:val="StringTok"/>
        </w:rPr>
        <w:t xml:space="preserve" w:run_content_index="1021">"</w:t>
      </w:r>
      <w:r w:run_index="1013">
        <w:rPr>
          <w:rStyle w:val="SpecialCharTok"/>
        </w:rPr>
        <w:t xml:space="preserve" w:run_content_index="1022">\n</w:t>
      </w:r>
      <w:r w:run_index="1014">
        <w:rPr>
          <w:rStyle w:val="StringTok"/>
        </w:rPr>
        <w:t xml:space="preserve" w:run_content_index="1023">"</w:t>
      </w:r>
      <w:r w:run_index="1015">
        <w:rPr>
          <w:rStyle w:val="NormalTok"/>
        </w:rPr>
        <w:t xml:space="preserve" w:run_content_index="1024">)</w:t>
      </w:r>
    </w:p>
    <w:p w:doc_index="118">
      <w:pPr>
        <w:pStyle w:val="FirstParagraph"/>
      </w:pPr>
      <w:r w:run_index="1016">
        <w:t xml:space="preserve" w:run_content_index="1025">End of script.</w:t>
      </w:r>
    </w:p>
    <w:p w:doc_index="119">
      <w:r w:run_index="1017">
        <w:br w:type="page" w:run_content_index="1026"/>
      </w:r>
    </w:p>
    <w:p w:doc_index="120">
      <w:pPr>
        <w:pStyle w:val="Heading1"/>
      </w:pPr>
      <w:bookmarkStart w:id="900005" w:name="SupplementaryNumbering"/>
      <w:r w:run_index="1018">
        <w:t xml:space="preserve" w:run_content_index="1027">Appendix </w:t>
      </w:r>
      <w:r w:run_index="1019">
        <w:fldChar w:fldCharType="begin" w:dirty="true" w:run_content_index="1028"/>
      </w:r>
      <w:r w:run_index="1020">
        <w:instrText xml:space="preserve" w:run_content_index="1029"> SEQ Appendix \* ALPHABETIC </w:instrText>
      </w:r>
      <w:r w:run_index="1021">
        <w:fldChar w:fldCharType="separate" w:run_content_index="1030"/>
      </w:r>
      <w:r w:run_index="1022">
        <w:t w:run_content_index="1031">C</w:t>
      </w:r>
      <w:r w:run_index="1023">
        <w:fldChar w:fldCharType="end" w:run_content_index="1032"/>
      </w:r>
      <w:bookmarkEnd w:id="900005"/>
      <w:r w:run_index="1024">
        <w:t xml:space="preserve" w:run_content_index="1033">: Supplementary Numbering Example</w:t>
      </w:r>
    </w:p>
    <w:p w:doc_index="121">
      <w:pPr>
        <w:pStyle w:val="Caption"/>
        <w:keepNext/>
      </w:pPr>
      <w:bookmarkStart w:id="900006" w:name="FigAppendixExample"/>
      <w:r w:run_index="1025">
        <w:t xml:space="preserve" w:run_content_index="1034">Figure </w:t>
      </w:r>
      <w:r w:run_index="1026">
        <w:t xml:space="preserve" w:run_content_index="1035">C.</w:t>
      </w:r>
      <w:r w:run_index="1027">
        <w:fldChar w:fldCharType="begin" w:dirty="true" w:run_content_index="1036"/>
      </w:r>
      <w:r w:run_index="1028">
        <w:instrText xml:space="preserve" w:run_content_index="1037"> SEQ AppendixFigure \* ARABIC \r 1 </w:instrText>
      </w:r>
      <w:r w:run_index="1029">
        <w:fldChar w:fldCharType="separate" w:run_content_index="1038"/>
      </w:r>
      <w:r w:run_index="1030">
        <w:t w:run_content_index="1039">1</w:t>
      </w:r>
      <w:r w:run_index="1031">
        <w:fldChar w:fldCharType="end" w:run_content_index="1040"/>
      </w:r>
      <w:bookmarkEnd w:id="900006"/>
      <w:r w:run_index="1032">
        <w:tab w:run_content_index="1041"/>
        <w:t w:run_content_index="1042">Example appendix-scoped figure</w:t>
      </w:r>
    </w:p>
    <w:p w:doc_index="122">
      <w:pPr>
        <w:pStyle w:val="BodyText"/>
      </w:pPr>
      <w:r w:run_index="1033">
        <w:t xml:space="preserve" w:run_content_index="1043">This figure’s number restarts at 1 within this appendix, independent of</w:t>
      </w:r>
      <w:r w:run_index="1034">
        <w:t xml:space="preserve" w:run_content_index="1044"> </w:t>
      </w:r>
      <w:r w:run_index="1035">
        <w:t xml:space="preserve" w:run_content_index="1045">Figure 1 in the main body above.</w:t>
      </w:r>
    </w:p>
    <w:p w:doc_index="123">
      <w:pPr>
        <w:pStyle w:val="Caption"/>
        <w:keepNext/>
      </w:pPr>
      <w:bookmarkStart w:id="900007" w:name="TblAppendixExample"/>
      <w:r w:run_index="1036">
        <w:t xml:space="preserve" w:run_content_index="1046">Table </w:t>
      </w:r>
      <w:r w:run_index="1037">
        <w:t xml:space="preserve" w:run_content_index="1047">C.</w:t>
      </w:r>
      <w:r w:run_index="1038">
        <w:fldChar w:fldCharType="begin" w:dirty="true" w:run_content_index="1048"/>
      </w:r>
      <w:r w:run_index="1039">
        <w:instrText xml:space="preserve" w:run_content_index="1049"> SEQ AppendixTable \* ARABIC \r 1 </w:instrText>
      </w:r>
      <w:r w:run_index="1040">
        <w:fldChar w:fldCharType="separate" w:run_content_index="1050"/>
      </w:r>
      <w:r w:run_index="1041">
        <w:t w:run_content_index="1051">1</w:t>
      </w:r>
      <w:r w:run_index="1042">
        <w:fldChar w:fldCharType="end" w:run_content_index="1052"/>
      </w:r>
      <w:bookmarkEnd w:id="900007"/>
      <w:r w:run_index="1043">
        <w:tab w:run_content_index="1053"/>
        <w:t w:run_content_index="1054">Example appendix-scoped table</w:t>
      </w:r>
    </w:p>
    <w:p w:doc_index="124">
      <w:pPr>
        <w:pStyle w:val="BodyText"/>
      </w:pPr>
      <w:r w:run_index="1044">
        <w:t xml:space="preserve" w:run_content_index="1055">Referenced as</w:t>
      </w:r>
      <w:r w:run_index="1045">
        <w:t xml:space="preserve" w:run_content_index="1056"> </w:t>
      </w:r>
      <w:r w:run_index="1046">
        <w:fldChar w:fldCharType="begin" w:dirty="true" w:run_content_index="1057"/>
      </w:r>
      <w:r w:run_index="1047">
        <w:instrText xml:space="preserve" w:run_content_index="1058"> REF TblAppendixExample \h </w:instrText>
      </w:r>
      <w:r w:run_index="1048">
        <w:fldChar w:fldCharType="separate" w:run_content_index="1059"/>
      </w:r>
      <w:r w:run_index="1049">
        <w:t w:run_content_index="1060">Table C.1</w:t>
      </w:r>
      <w:r w:run_index="1050">
        <w:fldChar w:fldCharType="end" w:run_content_index="1061"/>
      </w:r>
      <w:r w:run_index="1051">
        <w:t xml:space="preserve" w:run_content_index="1062"> </w:t>
      </w:r>
      <w:r w:run_index="1052">
        <w:t xml:space="preserve" w:run_content_index="1063">and</w:t>
      </w:r>
      <w:r w:run_index="1053">
        <w:t xml:space="preserve" w:run_content_index="1064"> </w:t>
      </w:r>
      <w:r w:run_index="1054">
        <w:fldChar w:fldCharType="begin" w:dirty="true" w:run_content_index="1065"/>
      </w:r>
      <w:r w:run_index="1055">
        <w:instrText xml:space="preserve" w:run_content_index="1066"> REF FigAppendixExample \h </w:instrText>
      </w:r>
      <w:r w:run_index="1056">
        <w:fldChar w:fldCharType="separate" w:run_content_index="1067"/>
      </w:r>
      <w:r w:run_index="1057">
        <w:t w:run_content_index="1068">Figure C.1</w:t>
      </w:r>
      <w:r w:run_index="1058">
        <w:fldChar w:fldCharType="end" w:run_content_index="1069"/>
      </w:r>
      <w:r w:run_index="1059">
        <w:t xml:space="preserve" w:run_content_index="1070">.</w:t>
      </w:r>
    </w:p>
    <w:bookmarkEnd w:id="28"/>
    <w:bookmarkEnd w:id="29"/>
    <w:bookmarkStart w:id="31" w:name="section-scoped-example"/>
    <w:p w:doc_index="125">
      <w:pPr>
        <w:pStyle w:val="Heading2"/>
      </w:pPr>
      <w:r w:run_index="1060">
        <w:t xml:space="preserve" w:run_content_index="1071">2.5 	Section-Scoped Example</w:t>
      </w:r>
    </w:p>
    <w:p w:doc_index="126">
      <w:pPr>
        <w:pStyle w:val="Caption"/>
        <w:keepNext/>
      </w:pPr>
      <w:bookmarkStart w:id="900008" w:name="FigSectionExample"/>
      <w:r w:run_index="1061">
        <w:t xml:space="preserve" w:run_content_index="1072">Figure </w:t>
      </w:r>
      <w:r w:run_index="1062">
        <w:t xml:space="preserve" w:run_content_index="1073">C.1.</w:t>
      </w:r>
      <w:r w:run_index="1063">
        <w:fldChar w:fldCharType="begin" w:dirty="true" w:run_content_index="1074"/>
      </w:r>
      <w:r w:run_index="1064">
        <w:instrText xml:space="preserve" w:run_content_index="1075"> SEQ SectionFigure \* ARABIC \r 1 </w:instrText>
      </w:r>
      <w:r w:run_index="1065">
        <w:fldChar w:fldCharType="separate" w:run_content_index="1076"/>
      </w:r>
      <w:r w:run_index="1066">
        <w:t w:run_content_index="1077">1</w:t>
      </w:r>
      <w:r w:run_index="1067">
        <w:fldChar w:fldCharType="end" w:run_content_index="1078"/>
      </w:r>
      <w:bookmarkEnd w:id="900008"/>
      <w:r w:run_index="1068">
        <w:tab w:run_content_index="1079"/>
        <w:t w:run_content_index="1080">Example section-scoped figure</w:t>
      </w:r>
    </w:p>
    <w:p w:doc_index="127">
      <w:pPr>
        <w:pStyle w:val="FirstParagraph"/>
      </w:pPr>
      <w:r w:run_index="1069">
        <w:t xml:space="preserve" w:run_content_index="1081">Numbered against this section’s own position</w:t>
      </w:r>
      <w:r w:run_index="1070">
        <w:t xml:space="preserve" w:run_content_index="1082"> </w:t>
      </w:r>
      <w:r w:run_index="1071">
        <w:rPr>
          <w:i/>
          <w:iCs/>
        </w:rPr>
        <w:t xml:space="preserve" w:run_content_index="1083">within this appendix</w:t>
      </w:r>
      <w:r w:run_index="1072">
        <w:t xml:space="preserve" w:run_content_index="1084"> </w:t>
      </w:r>
      <w:r w:run_index="1073">
        <w:t xml:space="preserve" w:run_content_index="1085">(nesting under the appendix’s own designator), restarting again at the</w:t>
      </w:r>
      <w:r w:run_index="1074">
        <w:t xml:space="preserve" w:run_content_index="1086"> </w:t>
      </w:r>
      <w:r w:run_index="1075">
        <w:t xml:space="preserve" w:run_content_index="1087">next section-break marker.</w:t>
      </w:r>
    </w:p>
    <w:bookmarkStart w:id="30" w:name="subsection-scoped-example-1"/>
    <w:p w:doc_index="128">
      <w:pPr>
        <w:pStyle w:val="Heading3"/>
      </w:pPr>
      <w:r w:run_index="1076">
        <w:t xml:space="preserve" w:run_content_index="1088">2.5.1 	Subsection-Scoped Example</w:t>
      </w:r>
    </w:p>
    <w:p w:doc_index="129">
      <w:pPr>
        <w:pStyle w:val="Caption"/>
        <w:keepNext/>
      </w:pPr>
      <w:bookmarkStart w:id="900009" w:name="FigSubsectionExample"/>
      <w:r w:run_index="1077">
        <w:t xml:space="preserve" w:run_content_index="1089">Figure </w:t>
      </w:r>
      <w:r w:run_index="1078">
        <w:t xml:space="preserve" w:run_content_index="1090">C.1.1.</w:t>
      </w:r>
      <w:r w:run_index="1079">
        <w:fldChar w:fldCharType="begin" w:dirty="true" w:run_content_index="1091"/>
      </w:r>
      <w:r w:run_index="1080">
        <w:instrText xml:space="preserve" w:run_content_index="1092"> SEQ SubsectionFigure \* ARABIC \r 1 </w:instrText>
      </w:r>
      <w:r w:run_index="1081">
        <w:fldChar w:fldCharType="separate" w:run_content_index="1093"/>
      </w:r>
      <w:r w:run_index="1082">
        <w:t w:run_content_index="1094">1</w:t>
      </w:r>
      <w:r w:run_index="1083">
        <w:fldChar w:fldCharType="end" w:run_content_index="1095"/>
      </w:r>
      <w:bookmarkEnd w:id="900009"/>
      <w:r w:run_index="1084">
        <w:tab w:run_content_index="1096"/>
        <w:t w:run_content_index="1097">Example subsection-scoped figure</w:t>
      </w:r>
    </w:p>
    <w:p w:doc_index="130">
      <w:pPr>
        <w:pStyle w:val="FirstParagraph"/>
      </w:pPr>
      <w:r w:run_index="1085">
        <w:t xml:space="preserve" w:run_content_index="1098">Referenced as</w:t>
      </w:r>
      <w:r w:run_index="1086">
        <w:t xml:space="preserve" w:run_content_index="1099"> </w:t>
      </w:r>
      <w:r w:run_index="1087">
        <w:fldChar w:fldCharType="begin" w:dirty="true" w:run_content_index="1100"/>
      </w:r>
      <w:r w:run_index="1088">
        <w:instrText xml:space="preserve" w:run_content_index="1101"> REF FigSectionExample \h </w:instrText>
      </w:r>
      <w:r w:run_index="1089">
        <w:fldChar w:fldCharType="separate" w:run_content_index="1102"/>
      </w:r>
      <w:r w:run_index="1090">
        <w:t w:run_content_index="1103">Figure C.1.1</w:t>
      </w:r>
      <w:r w:run_index="1091">
        <w:fldChar w:fldCharType="end" w:run_content_index="1104"/>
      </w:r>
      <w:r w:run_index="1092">
        <w:t xml:space="preserve" w:run_content_index="1105"> </w:t>
      </w:r>
      <w:r w:run_index="1093">
        <w:t xml:space="preserve" w:run_content_index="1106">and</w:t>
      </w:r>
      <w:r w:run_index="1094">
        <w:t xml:space="preserve" w:run_content_index="1107"> </w:t>
      </w:r>
      <w:r w:run_index="1095">
        <w:fldChar w:fldCharType="begin" w:dirty="true" w:run_content_index="1108"/>
      </w:r>
      <w:r w:run_index="1096">
        <w:instrText xml:space="preserve" w:run_content_index="1109"> REF FigSubsectionExample \h </w:instrText>
      </w:r>
      <w:r w:run_index="1097">
        <w:fldChar w:fldCharType="separate" w:run_content_index="1110"/>
      </w:r>
      <w:r w:run_index="1098">
        <w:t w:run_content_index="1111">Figure C.1.1.1</w:t>
      </w:r>
      <w:r w:run_index="1099">
        <w:fldChar w:fldCharType="end" w:run_content_index="1112"/>
      </w:r>
      <w:r w:run_index="1100">
        <w:t xml:space="preserve" w:run_content_index="1113">.</w:t>
      </w:r>
    </w:p>
    <w:bookmarkEnd w:id="30"/>
    <w:bookmarkEnd w:id="31"/>
    <w:bookmarkEnd w:id="32"/>
    <w:sectPr w:rsidR="00FC693F" w:rsidRPr="0006063C" w:rsidSect="00034616">
      <w:footerReference r:id="rId9" w:type="default"/>
      <w:headerReference w:type="default" r:id="rId3"/>
      <w:pgSz w:h="15840" w:w="12240"/>
      <w:pgMar w:bottom="1440" w:footer="720" w:gutter="0" w:header="720" w:left="1440" w:right="1440" w:top="1440"/>
      <w:cols w:space="720"/>
      <w:docGrid w:linePitch="360"/>
      <w:pgNumType w:start="1"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right"/>
      </w:tabs>
      <w:jc w:val="left"/>
    </w:pPr>
    <w:r>
      <w:t>Confidential — Do Not Distribute</w:t>
    </w:r>
    <w:r>
      <w:tab/>
    </w: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right"/>
      </w:tabs>
      <w:jc w:val="left"/>
    </w:pPr>
    <w:r>
      <w:t>Confidential — Do Not Distribute</w:t>
    </w:r>
    <w:r>
      <w:tab/>
    </w: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right"/>
      </w:tabs>
      <w:jc w:val="left"/>
    </w:pPr>
    <w:r>
      <w:t>Confidential — Do Not Distribute</w:t>
    </w:r>
    <w:r>
      <w:tab/>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right"/>
      </w:tabs>
      <w:jc w:val="left"/>
    </w:pPr>
    <w:r>
      <w:t>ACME-001 - RPT-2026-014</w:t>
    </w:r>
    <w:r>
      <w:tab/>
    </w:r>
    <w:r>
      <w:t>FINAL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right"/>
      </w:tabs>
      <w:jc w:val="left"/>
    </w:pPr>
    <w:r>
      <w:t>ACME-001 - RPT-2026-014</w:t>
    </w:r>
    <w:r>
      <w:tab/>
    </w:r>
    <w:r>
      <w:t>FINAL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right"/>
      </w:tabs>
      <w:jc w:val="left"/>
    </w:pPr>
    <w:r>
      <w:t>ACME-001 - RPT-2026-014</w:t>
    </w:r>
    <w:r>
      <w:tab/>
    </w:r>
    <w:r>
      <w:t>FINAL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xmlns:w="http://schemas.openxmlformats.org/wordprocessingml/2006/main" w:percent="NA"/>
  <w:embedSystemFonts/>
  <w:proofState w:grammar="clean" w:spelling="clean"/>
  <w:stylePaneFormatFilter w:val="0004"/>
  <w:doNotTrackMoves/>
  <w:defaultTabStop xmlns:w="http://schemas.openxmlformats.org/wordprocessingml/2006/main" w:val="720"/>
  <w:drawingGridHorizontalSpacing w:val="360"/>
  <w:drawingGridVerticalSpacing w:val="360"/>
  <w:displayHorizontalDrawingGridEvery w:val="0"/>
  <w:displayVerticalDrawingGridEvery w:val="0"/>
  <w:characterSpacingControl w:val="doNotCompress"/>
  <w:savePreviewPicture/>
  <w:updateFields w:val="true"/>
  <w:compat xmlns:w="http://schemas.openxmlformats.org/wordprocessingml/2006/main">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xmlns:w="http://schemas.openxmlformats.org/wordprocessingml/2006/main" w:val="."/>
  <w:listSeparator xmlns:w="http://schemas.openxmlformats.org/wordprocessingml/2006/main" w:val=","/>
  <w:hyphenationZone xmlns:w="http://schemas.openxmlformats.org/wordprocessingml/2006/main" w:val="360"/>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line="276" w:lineRule="auto"/>
      <w:jc w:val="left"/>
    </w:pPr>
    <w:rPr>
      <w:rFonts w:ascii="Times New Roman" w:cs="Times New Roman" w:eastAsia="Times New Roman"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jc w:val="center"/>
    </w:pPr>
    <w:rPr>
      <w:rFonts w:ascii="Times New Roman" w:cs="Times New Roman" w:eastAsia="Times New Roman" w:hAnsi="Times New Roman"/>
      <w:color w:val="000000"/>
      <w:sz w:val="18"/>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cs="Times New Roman" w:eastAsia="Times New Roman" w:hAnsi="Times New Roman"/>
      <w:color w:val="000000"/>
      <w:sz w:val="18"/>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cs="Times New Roman" w:eastAsia="Times New Roman" w:hAnsi="Times New Roman"/>
      <w:b/>
      <w:bCs/>
      <w:caps w:val="0"/>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cs="Times New Roman" w:eastAsia="Times New Roman" w:hAnsi="Times New Roman"/>
      <w:b/>
      <w:bCs/>
      <w:caps w:val="0"/>
      <w:color w:val="000000"/>
      <w:sz w:val="28"/>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cs="Times New Roman" w:eastAsia="Times New Roman" w:hAnsi="Times New Roman"/>
      <w:b/>
      <w:bCs/>
      <w:caps w:val="0"/>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outlineLvl w:val="3"/>
    </w:pPr>
    <w:rPr>
      <w:rFonts w:ascii="Times New Roman" w:cs="Times New Roman" w:eastAsia="Times New Roman" w:hAnsi="Times New Roman"/>
      <w:b/>
      <w:bCs/>
      <w:i/>
      <w:iCs/>
      <w:caps w:val="0"/>
      <w:color w:val="000000"/>
      <w:sz w:val="22"/>
    </w:rPr>
  </w:style>
  <w:style w:styleId="Heading5" w:type="paragraph">
    <w:name w:val="heading 5"/>
    <w:basedOn w:val="Normal"/>
    <w:next w:val="Normal"/>
    <w:link w:val="Heading5Char"/>
    <w:uiPriority w:val="9"/>
    <w:semiHidden/>
    <w:unhideWhenUsed/>
    <w:qFormat/>
    <w:rsid w:val="00FC693F"/>
    <w:pPr>
      <w:keepNext/>
      <w:keepLines/>
      <w:spacing w:after="120" w:before="240"/>
      <w:outlineLvl w:val="4"/>
    </w:pPr>
    <w:rPr>
      <w:rFonts w:ascii="Times New Roman" w:cs="Times New Roman" w:eastAsia="Times New Roman" w:hAnsi="Times New Roman"/>
      <w:b/>
      <w:caps w:val="0"/>
      <w:color w:val="000000"/>
      <w:sz w:val="22"/>
    </w:rPr>
  </w:style>
  <w:style w:styleId="Heading6" w:type="paragraph">
    <w:name w:val="heading 6"/>
    <w:basedOn w:val="Normal"/>
    <w:next w:val="Normal"/>
    <w:link w:val="Heading6Char"/>
    <w:uiPriority w:val="9"/>
    <w:semiHidden/>
    <w:unhideWhenUsed/>
    <w:qFormat/>
    <w:rsid w:val="00FC693F"/>
    <w:pPr>
      <w:keepNext/>
      <w:keepLines/>
      <w:spacing w:after="120" w:before="240"/>
      <w:outlineLvl w:val="5"/>
    </w:pPr>
    <w:rPr>
      <w:rFonts w:ascii="Times New Roman" w:cs="Times New Roman" w:eastAsia="Times New Roman" w:hAnsi="Times New Roman"/>
      <w:b/>
      <w:i/>
      <w:iCs/>
      <w:caps w:val="0"/>
      <w:color w:val="000000"/>
      <w:sz w:val="22"/>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40" w:lineRule="auto"/>
      <w:contextualSpacing/>
      <w:jc w:val="center"/>
      <w:pBdr>
        <w:bottom w:color="000000" w:space="4" w:sz="8" w:val="single"/>
      </w:pBdr>
    </w:pPr>
    <w:rPr>
      <w:rFonts w:ascii="Times New Roman" w:cs="Times New Roman" w:eastAsia="Times New Roman" w:hAnsi="Times New Roman"/>
      <w:b/>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20"/>
      <w:jc w:val="center"/>
    </w:pPr>
    <w:rPr>
      <w:rFonts w:ascii="Times New Roman" w:cs="Times New Roman" w:eastAsia="Times New Roman" w:hAnsi="Times New Roman"/>
      <w:i/>
      <w:iCs/>
      <w:color w:val="000000"/>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40" w:lineRule="auto"/>
    </w:pPr>
    <w:rPr>
      <w:rFonts w:ascii="Times New Roman" w:cs="Times New Roman" w:eastAsia="Times New Roman" w:hAnsi="Times New Roman"/>
      <w:b w:val="0"/>
      <w:bCs/>
      <w:i/>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color w:val="000000"/>
      <w:sz w:val="22"/>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0"/>
        <w:left w:type="dxa" w:w="108"/>
        <w:bottom w:type="dxa" w:w="0"/>
        <w:right w:type="dxa" w:w="108"/>
      </w:tblCellMar>
    </w:tblPr>
    <w:tblStylePr w:type="firstRow">
      <w:rPr>
        <w:b/>
      </w:rPr>
      <w:tcPr>
        <w:shd w:color="auto" w:fill="D9D9D9" w:val="clear"/>
      </w:tcPr>
    </w:tblStyle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ogoLeft" w:type="paragraph">
    <w:name w:val="Logo Left"/>
    <w:basedOn w:val="Normal"/>
    <w:pPr>
      <w:jc w:val="left"/>
    </w:pPr>
  </w:style>
  <w:style w:customStyle="1" w:styleId="LogoRight" w:type="paragraph">
    <w:name w:val="Logo Right"/>
    <w:basedOn w:val="Normal"/>
    <w:pPr>
      <w:jc w:val="right"/>
    </w:pPr>
  </w:style>
  <w:style w:customStyle="1" w:styleId="TOC1" w:type="paragraph">
    <w:name w:val="TOC 1"/>
    <w:basedOn w:val="Normal"/>
    <w:pPr>
      <w:tabs>
        <w:tab w:leader="dot" w:pos="9360" w:val="right"/>
      </w:tabs>
      <w:spacing w:after="80"/>
      <w:ind w:left="0"/>
    </w:pPr>
    <w:rPr>
      <w:rFonts w:ascii="Times New Roman" w:cs="Times New Roman" w:eastAsia="Times New Roman" w:hAnsi="Times New Roman"/>
      <w:color w:val="000000"/>
      <w:sz w:val="22"/>
    </w:rPr>
  </w:style>
  <w:style w:customStyle="1" w:styleId="TOC2" w:type="paragraph">
    <w:name w:val="TOC 2"/>
    <w:basedOn w:val="Normal"/>
    <w:pPr>
      <w:tabs>
        <w:tab w:leader="dot" w:pos="9360" w:val="right"/>
      </w:tabs>
      <w:spacing w:after="80"/>
      <w:ind w:left="360"/>
    </w:pPr>
    <w:rPr>
      <w:rFonts w:ascii="Times New Roman" w:cs="Times New Roman" w:eastAsia="Times New Roman" w:hAnsi="Times New Roman"/>
      <w:color w:val="000000"/>
      <w:sz w:val="22"/>
    </w:rPr>
  </w:style>
  <w:style w:customStyle="1" w:styleId="TOC3" w:type="paragraph">
    <w:name w:val="TOC 3"/>
    <w:basedOn w:val="Normal"/>
    <w:pPr>
      <w:tabs>
        <w:tab w:leader="dot" w:pos="9360" w:val="right"/>
      </w:tabs>
      <w:spacing w:after="80"/>
      <w:ind w:left="720"/>
    </w:pPr>
    <w:rPr>
      <w:rFonts w:ascii="Times New Roman" w:cs="Times New Roman" w:eastAsia="Times New Roman" w:hAnsi="Times New Roman"/>
      <w:color w:val="000000"/>
      <w:sz w:val="22"/>
    </w:rPr>
  </w:style>
  <w:style w:customStyle="1" w:styleId="TableofFigures" w:type="paragraph">
    <w:name w:val="Table of Figures"/>
    <w:basedOn w:val="Normal"/>
    <w:pPr>
      <w:tabs>
        <w:tab w:leader="dot" w:pos="9360" w:val="right"/>
      </w:tabs>
      <w:spacing w:after="80"/>
      <w:ind w:left="0"/>
    </w:pPr>
    <w:rPr>
      <w:rFonts w:ascii="Times New Roman" w:cs="Times New Roman" w:eastAsia="Times New Roman" w:hAnsi="Times New Roman"/>
      <w:color w:val="000000"/>
      <w:sz w:val="22"/>
    </w:rPr>
  </w:style>
  <w:style w:customStyle="1" w:styleId="SynopsisLabel" w:type="paragraph">
    <w:name w:val="Synopsis Label"/>
    <w:basedOn w:val="Normal"/>
    <w:pPr>
      <w:spacing w:after="40" w:before="240"/>
    </w:pPr>
    <w:rPr>
      <w:rFonts w:ascii="Times New Roman" w:cs="Times New Roman" w:eastAsia="Times New Roman" w:hAnsi="Times New Roman"/>
      <w:b/>
      <w:color w:val="000000"/>
      <w:sz w:val="22"/>
    </w:rPr>
  </w:style>
  <w:style w:customStyle="1" w:styleId="SynopsisValue" w:type="paragraph">
    <w:name w:val="Synopsis Value"/>
    <w:basedOn w:val="Normal"/>
    <w:pPr>
      <w:spacing w:after="40"/>
      <w:ind w:left="360"/>
    </w:pPr>
  </w:style>
  <w:style w:customStyle="1" w:styleId="SynopsisInlineLabel" w:type="character">
    <w:name w:val="Synopsis Inline Label"/>
    <w:basedOn w:val="DefaultParagraphFont"/>
    <w:rPr>
      <w:rFonts w:ascii="Times New Roman" w:cs="Times New Roman" w:eastAsia="Times New Roman" w:hAnsi="Times New Roman"/>
      <w:b/>
      <w:color w:val="000000"/>
      <w:sz w:val="24"/>
    </w:rPr>
  </w:style>
  <w:style w:customStyle="1" w:styleId="Bibliography" w:type="paragraph">
    <w:name w:val="Bibliography"/>
    <w:basedOn w:val="Normal"/>
    <w:pPr>
      <w:spacing w:after="160"/>
      <w:ind w:hanging="720" w:left="720"/>
    </w:pPr>
    <w:rPr>
      <w:rFonts w:ascii="Times New Roman" w:cs="Times New Roman" w:eastAsia="Times New Roman" w:hAnsi="Times New Roman"/>
      <w:color w:val="000000"/>
      <w:sz w:val="22"/>
    </w:rPr>
  </w:style>
  <w:style w:customStyle="1" w:styleId="SourceCode" w:type="paragraph">
    <w:name w:val="Source Code"/>
    <w:basedOn w:val="Normal"/>
    <w:pPr>
      <w:shd w:color="auto" w:fill="F1F3F5" w:val="clear"/>
      <w:spacing w:after="0" w:before="0"/>
    </w:pPr>
    <w:rPr>
      <w:rFonts w:ascii="Courier New" w:cs="Courier New" w:eastAsia="Courier New" w:hAnsi="Courier New"/>
      <w:color w:val="000000"/>
      <w:sz w:val="20"/>
    </w:rPr>
  </w:style>
  <w:style w:customStyle="1" w:styleId="VerbatimChar" w:type="character">
    <w:name w:val="Verbatim Char"/>
    <w:basedOn w:val="DefaultParagraphFont"/>
    <w:rPr>
      <w:rFonts w:ascii="Courier New" w:cs="Courier New" w:eastAsia="Courier New" w:hAnsi="Courier New"/>
      <w:color w:val="000000"/>
      <w:sz w:val="20"/>
      <w:shd w:color="auto" w:fill="F1F3F5" w:val="clear"/>
    </w:rPr>
  </w:style>
  <w:style w:customStyle="1" w:styleId="KeywordTok" w:type="character">
    <w:name w:val="KeywordTok"/>
    <w:basedOn w:val="VerbatimChar"/>
    <w:rPr>
      <w:b/>
      <w:color w:val="003B4F"/>
      <w:shd w:color="auto" w:fill="F1F3F5" w:val="clear"/>
    </w:rPr>
  </w:style>
  <w:style w:customStyle="1" w:styleId="DataTypeTok" w:type="character">
    <w:name w:val="DataTypeTok"/>
    <w:basedOn w:val="VerbatimChar"/>
    <w:rPr>
      <w:color w:val="AD0000"/>
      <w:shd w:color="auto" w:fill="F1F3F5" w:val="clear"/>
    </w:rPr>
  </w:style>
  <w:style w:customStyle="1" w:styleId="DecValTok" w:type="character">
    <w:name w:val="DecValTok"/>
    <w:basedOn w:val="VerbatimChar"/>
    <w:rPr>
      <w:color w:val="AD0000"/>
      <w:shd w:color="auto" w:fill="F1F3F5" w:val="clear"/>
    </w:rPr>
  </w:style>
  <w:style w:customStyle="1" w:styleId="BaseNTok" w:type="character">
    <w:name w:val="BaseNTok"/>
    <w:basedOn w:val="VerbatimChar"/>
    <w:rPr>
      <w:color w:val="AD0000"/>
      <w:shd w:color="auto" w:fill="F1F3F5" w:val="clear"/>
    </w:rPr>
  </w:style>
  <w:style w:customStyle="1" w:styleId="FloatTok" w:type="character">
    <w:name w:val="FloatTok"/>
    <w:basedOn w:val="VerbatimChar"/>
    <w:rPr>
      <w:color w:val="AD0000"/>
      <w:shd w:color="auto" w:fill="F1F3F5" w:val="clear"/>
    </w:rPr>
  </w:style>
  <w:style w:customStyle="1" w:styleId="ConstantTok" w:type="character">
    <w:name w:val="ConstantTok"/>
    <w:basedOn w:val="VerbatimChar"/>
    <w:rPr>
      <w:color w:val="8F5902"/>
      <w:shd w:color="auto" w:fill="F1F3F5" w:val="clear"/>
    </w:rPr>
  </w:style>
  <w:style w:customStyle="1" w:styleId="CharTok" w:type="character">
    <w:name w:val="CharTok"/>
    <w:basedOn w:val="VerbatimChar"/>
    <w:rPr>
      <w:color w:val="20794D"/>
      <w:shd w:color="auto" w:fill="F1F3F5" w:val="clear"/>
    </w:rPr>
  </w:style>
  <w:style w:customStyle="1" w:styleId="SpecialCharTok" w:type="character">
    <w:name w:val="SpecialCharTok"/>
    <w:basedOn w:val="VerbatimChar"/>
    <w:rPr>
      <w:color w:val="5E5E5E"/>
      <w:shd w:color="auto" w:fill="F1F3F5" w:val="clear"/>
    </w:rPr>
  </w:style>
  <w:style w:customStyle="1" w:styleId="StringTok" w:type="character">
    <w:name w:val="StringTok"/>
    <w:basedOn w:val="VerbatimChar"/>
    <w:rPr>
      <w:color w:val="20794D"/>
      <w:shd w:color="auto" w:fill="F1F3F5" w:val="clear"/>
    </w:rPr>
  </w:style>
  <w:style w:customStyle="1" w:styleId="VerbatimStringTok" w:type="character">
    <w:name w:val="VerbatimStringTok"/>
    <w:basedOn w:val="VerbatimChar"/>
    <w:rPr>
      <w:color w:val="20794D"/>
      <w:shd w:color="auto" w:fill="F1F3F5" w:val="clear"/>
    </w:rPr>
  </w:style>
  <w:style w:customStyle="1" w:styleId="SpecialStringTok" w:type="character">
    <w:name w:val="SpecialStringTok"/>
    <w:basedOn w:val="VerbatimChar"/>
    <w:rPr>
      <w:color w:val="20794D"/>
      <w:shd w:color="auto" w:fill="F1F3F5" w:val="clear"/>
    </w:rPr>
  </w:style>
  <w:style w:customStyle="1" w:styleId="ImportTok" w:type="character">
    <w:name w:val="ImportTok"/>
    <w:basedOn w:val="VerbatimChar"/>
    <w:rPr>
      <w:color w:val="00769E"/>
      <w:shd w:color="auto" w:fill="F1F3F5" w:val="clear"/>
    </w:rPr>
  </w:style>
  <w:style w:customStyle="1" w:styleId="CommentTok" w:type="character">
    <w:name w:val="CommentTok"/>
    <w:basedOn w:val="VerbatimChar"/>
    <w:rPr>
      <w:color w:val="5E5E5E"/>
      <w:shd w:color="auto" w:fill="F1F3F5" w:val="clear"/>
    </w:rPr>
  </w:style>
  <w:style w:customStyle="1" w:styleId="DocumentationTok" w:type="character">
    <w:name w:val="DocumentationTok"/>
    <w:basedOn w:val="VerbatimChar"/>
    <w:rPr>
      <w:i/>
      <w:color w:val="5E5E5E"/>
      <w:shd w:color="auto" w:fill="F1F3F5" w:val="clear"/>
    </w:rPr>
  </w:style>
  <w:style w:customStyle="1" w:styleId="AnnotationTok" w:type="character">
    <w:name w:val="AnnotationTok"/>
    <w:basedOn w:val="VerbatimChar"/>
    <w:rPr>
      <w:color w:val="5E5E5E"/>
      <w:shd w:color="auto" w:fill="F1F3F5" w:val="clear"/>
    </w:rPr>
  </w:style>
  <w:style w:customStyle="1" w:styleId="CommentVarTok" w:type="character">
    <w:name w:val="CommentVarTok"/>
    <w:basedOn w:val="VerbatimChar"/>
    <w:rPr>
      <w:i/>
      <w:color w:val="5E5E5E"/>
      <w:shd w:color="auto" w:fill="F1F3F5" w:val="clear"/>
    </w:rPr>
  </w:style>
  <w:style w:customStyle="1" w:styleId="OtherTok" w:type="character">
    <w:name w:val="OtherTok"/>
    <w:basedOn w:val="VerbatimChar"/>
    <w:rPr>
      <w:color w:val="003B4F"/>
      <w:shd w:color="auto" w:fill="F1F3F5" w:val="clear"/>
    </w:rPr>
  </w:style>
  <w:style w:customStyle="1" w:styleId="FunctionTok" w:type="character">
    <w:name w:val="FunctionTok"/>
    <w:basedOn w:val="VerbatimChar"/>
    <w:rPr>
      <w:color w:val="4758AB"/>
      <w:shd w:color="auto" w:fill="F1F3F5" w:val="clear"/>
    </w:rPr>
  </w:style>
  <w:style w:customStyle="1" w:styleId="VariableTok" w:type="character">
    <w:name w:val="VariableTok"/>
    <w:basedOn w:val="VerbatimChar"/>
    <w:rPr>
      <w:color w:val="111111"/>
      <w:shd w:color="auto" w:fill="F1F3F5" w:val="clear"/>
    </w:rPr>
  </w:style>
  <w:style w:customStyle="1" w:styleId="ControlFlowTok" w:type="character">
    <w:name w:val="ControlFlowTok"/>
    <w:basedOn w:val="VerbatimChar"/>
    <w:rPr>
      <w:b/>
      <w:color w:val="003B4F"/>
      <w:shd w:color="auto" w:fill="F1F3F5" w:val="clear"/>
    </w:rPr>
  </w:style>
  <w:style w:customStyle="1" w:styleId="OperatorTok" w:type="character">
    <w:name w:val="OperatorTok"/>
    <w:basedOn w:val="VerbatimChar"/>
    <w:rPr>
      <w:color w:val="5E5E5E"/>
      <w:shd w:color="auto" w:fill="F1F3F5" w:val="clear"/>
    </w:rPr>
  </w:style>
  <w:style w:customStyle="1" w:styleId="BuiltInTok" w:type="character">
    <w:name w:val="BuiltInTok"/>
    <w:basedOn w:val="VerbatimChar"/>
    <w:rPr>
      <w:color w:val="003B4F"/>
      <w:shd w:color="auto" w:fill="F1F3F5" w:val="clear"/>
    </w:rPr>
  </w:style>
  <w:style w:customStyle="1" w:styleId="ExtensionTok" w:type="character">
    <w:name w:val="ExtensionTok"/>
    <w:basedOn w:val="VerbatimChar"/>
    <w:rPr>
      <w:color w:val="003B4F"/>
      <w:shd w:color="auto" w:fill="F1F3F5" w:val="clear"/>
    </w:rPr>
  </w:style>
  <w:style w:customStyle="1" w:styleId="PreprocessorTok" w:type="character">
    <w:name w:val="PreprocessorTok"/>
    <w:basedOn w:val="VerbatimChar"/>
    <w:rPr>
      <w:color w:val="AD0000"/>
      <w:shd w:color="auto" w:fill="F1F3F5" w:val="clear"/>
    </w:rPr>
  </w:style>
  <w:style w:customStyle="1" w:styleId="AttributeTok" w:type="character">
    <w:name w:val="AttributeTok"/>
    <w:basedOn w:val="VerbatimChar"/>
    <w:rPr>
      <w:color w:val="657422"/>
      <w:shd w:color="auto" w:fill="F1F3F5" w:val="clear"/>
    </w:rPr>
  </w:style>
  <w:style w:customStyle="1" w:styleId="RegionMarkerTok" w:type="character">
    <w:name w:val="RegionMarkerTok"/>
    <w:basedOn w:val="VerbatimChar"/>
    <w:rPr>
      <w:color w:val="003B4F"/>
      <w:shd w:color="auto" w:fill="F1F3F5" w:val="clear"/>
    </w:rPr>
  </w:style>
  <w:style w:customStyle="1" w:styleId="InformationTok" w:type="character">
    <w:name w:val="InformationTok"/>
    <w:basedOn w:val="VerbatimChar"/>
    <w:rPr>
      <w:color w:val="5E5E5E"/>
      <w:shd w:color="auto" w:fill="F1F3F5" w:val="clear"/>
    </w:rPr>
  </w:style>
  <w:style w:customStyle="1" w:styleId="WarningTok" w:type="character">
    <w:name w:val="WarningTok"/>
    <w:basedOn w:val="VerbatimChar"/>
    <w:rPr>
      <w:i/>
      <w:color w:val="5E5E5E"/>
      <w:shd w:color="auto" w:fill="F1F3F5" w:val="clear"/>
    </w:rPr>
  </w:style>
  <w:style w:customStyle="1" w:styleId="AlertTok" w:type="character">
    <w:name w:val="AlertTok"/>
    <w:basedOn w:val="VerbatimChar"/>
    <w:rPr>
      <w:color w:val="AD0000"/>
      <w:shd w:color="auto" w:fill="F1F3F5" w:val="clear"/>
    </w:rPr>
  </w:style>
  <w:style w:customStyle="1" w:styleId="ErrorTok" w:type="character">
    <w:name w:val="ErrorTok"/>
    <w:basedOn w:val="VerbatimChar"/>
    <w:rPr>
      <w:color w:val="AD0000"/>
      <w:shd w:color="auto" w:fill="F1F3F5" w:val="clear"/>
    </w:rPr>
  </w:style>
  <w:style w:customStyle="1" w:styleId="NormalTok" w:type="character">
    <w:name w:val="NormalTok"/>
    <w:basedOn w:val="VerbatimChar"/>
    <w:rPr>
      <w:color w:val="003B4F"/>
      <w:shd w:color="auto" w:fill="F1F3F5" w:val="clear"/>
    </w:rPr>
  </w:style>
  <w:style w:customStyle="1" w:styleId="Hyperlink" w:type="character">
    <w:name w:val="Hyperlink"/>
    <w:basedOn w:val="DefaultParagraphFont"/>
    <w:rPr>
      <w:rFonts w:ascii="Times New Roman" w:cs="Times New Roman" w:eastAsia="Times New Roman" w:hAnsi="Times New Roman"/>
      <w:color w:val="000000"/>
      <w:sz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18" Type="http://schemas.openxmlformats.org/officeDocument/2006/relationships/image" Target="media/rId18.png"/><Relationship Id="rId1" Type="http://schemas.openxmlformats.org/officeDocument/2006/relationships/header" Target="header1.xml"/><Relationship Id="rId2" Type="http://schemas.openxmlformats.org/officeDocument/2006/relationships/header" Target="header2.xml"/><Relationship Id="rId3" Type="http://schemas.openxmlformats.org/officeDocument/2006/relationships/header" Target="header3.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2026-08-20T13:13:55Z</dcterms:created>
  <dcterms:modified xsi:type="dcterms:W3CDTF">2026-08-20T09:13:57Z</dcterms:modified>
  <cp:lastModifiedBy>jprybylski</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
  </property>
  <property fmtid="{D5CDD505-2E9C-101B-9397-08002B2CF9AE}" pid="3" name="approve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confidentiality">
    <vt:lpwstr>Confidential — Do Not Distribute</vt:lpwstr>
  </property>
  <property fmtid="{D5CDD505-2E9C-101B-9397-08002B2CF9AE}" pid="7" name="contributors">
    <vt:lpwstr/>
  </property>
  <property fmtid="{D5CDD505-2E9C-101B-9397-08002B2CF9AE}" pid="8" name="csl">
    <vt:lpwstr>_extensions/quartifyr/nlm.csl</vt:lpwstr>
  </property>
  <property fmtid="{D5CDD505-2E9C-101B-9397-08002B2CF9AE}" pid="9" name="document-status">
    <vt:lpwstr>FINAL</vt:lpwstr>
  </property>
  <property fmtid="{D5CDD505-2E9C-101B-9397-08002B2CF9AE}" pid="10" name="header-format">
    <vt:lpwstr>{project} - {report_number}</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ead-scientist">
    <vt:lpwstr>Jane Doe, PharmD</vt:lpwstr>
  </property>
  <property fmtid="{D5CDD505-2E9C-101B-9397-08002B2CF9AE}" pid="16" name="link-citations">
    <vt:lpwstr>True</vt:lpwstr>
  </property>
  <property fmtid="{D5CDD505-2E9C-101B-9397-08002B2CF9AE}" pid="17" name="logo">
    <vt:lpwstr>assets/logo.png</vt:lpwstr>
  </property>
  <property fmtid="{D5CDD505-2E9C-101B-9397-08002B2CF9AE}" pid="18" name="logo-width">
    <vt:lpwstr>2in</vt:lpwstr>
  </property>
  <property fmtid="{D5CDD505-2E9C-101B-9397-08002B2CF9AE}" pid="19" name="report-type">
    <vt:lpwstr>Modeling Analysis Report</vt:lpwstr>
  </property>
  <property fmtid="{D5CDD505-2E9C-101B-9397-08002B2CF9AE}" pid="20" name="report_number">
    <vt:lpwstr>RPT-2026-014</vt:lpwstr>
  </property>
  <property fmtid="{D5CDD505-2E9C-101B-9397-08002B2CF9AE}" pid="21" name="synopsis">
    <vt:lpwstr/>
  </property>
  <property fmtid="{D5CDD505-2E9C-101B-9397-08002B2CF9AE}" pid="22" name="synopsis-style">
    <vt:lpwstr>inline</vt:lpwstr>
  </property>
  <property fmtid="{D5CDD505-2E9C-101B-9397-08002B2CF9AE}" pid="23" name="title-page-extra">
    <vt:lpwstr/>
  </property>
  <property fmtid="{D5CDD505-2E9C-101B-9397-08002B2CF9AE}" pid="24" name="toc-title">
    <vt:lpwstr>Table of contents</vt:lpwstr>
  </property>
  <property fmtid="{D5CDD505-2E9C-101B-9397-08002B2CF9AE}" pid="25" name="version">
    <vt:lpwstr>1.0</vt:lpwstr>
  </property>
</Properties>
</file>