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w:doc_index="1">
      <w:pPr>
        <w:pStyle w:val="LogoLeft"/>
      </w:pPr>
      <w:r w:run_index="1">
        <w:drawing w:run_content_index="1">
          <wp:inline>
            <wp:extent cx="1371600" cy="45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ssets/logo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doc_index="2">
      <w:pPr>
        <w:pStyle w:val="Heading1"/>
      </w:pPr>
      <w:r w:run_index="2">
        <w:t xml:space="preserve" w:run_content_index="2">MEMORANDUM</w:t>
      </w:r>
    </w:p>
    <w:p w:doc_index="3"/>
    <w:tbl w:table_index="1">
      <w:tblPr>
        <w:tblStyle w:val="TableNormal"/>
        <w:tblW w:w="5000" w:type="pct"/>
        <w:tblLook w:val="0000" w:firstRow="0" w:lastRow="0" w:firstColumn="0" w:lastColumn="0" w:noHBand="0" w:noVBand="1"/>
      </w:tblPr>
      <w:tblGrid>
        <w:gridCol/>
        <w:gridCol/>
      </w:tblGrid>
      <w:tr w:tr_index="1">
        <w:tc w:tc_index="1">
          <w:tcPr>
            <w:tcW w:w="1500" w:type="pct"/>
          </w:tcPr>
          <w:p w:doc_index="4">
            <w:pPr>
              <w:jc w:val="left"/>
            </w:pPr>
            <w:r w:run_index="3">
              <w:rPr>
                <w:b/>
              </w:rPr>
              <w:t xml:space="preserve" w:run_content_index="3">To</w:t>
            </w:r>
          </w:p>
        </w:tc>
        <w:tc w:tc_index="2">
          <w:tcPr>
            <w:tcW w:w="3500" w:type="pct"/>
          </w:tcPr>
          <w:p w:doc_index="5">
            <w:pPr>
              <w:jc w:val="left"/>
            </w:pPr>
            <w:r w:run_index="4">
              <w:t xml:space="preserve" w:run_content_index="4">Jane Doe, CFO</w:t>
            </w:r>
          </w:p>
        </w:tc>
      </w:tr>
      <w:tr w:tr_index="2">
        <w:tc w:tc_index="3">
          <w:tcPr>
            <w:tcW w:w="1500" w:type="pct"/>
          </w:tcPr>
          <w:p w:doc_index="6">
            <w:pPr>
              <w:jc w:val="left"/>
            </w:pPr>
            <w:r w:run_index="5">
              <w:rPr>
                <w:b/>
              </w:rPr>
              <w:t xml:space="preserve" w:run_content_index="5">From</w:t>
            </w:r>
          </w:p>
        </w:tc>
        <w:tc w:tc_index="4">
          <w:tcPr>
            <w:tcW w:w="3500" w:type="pct"/>
          </w:tcPr>
          <w:p w:doc_index="7">
            <w:pPr>
              <w:jc w:val="left"/>
            </w:pPr>
            <w:r w:run_index="6">
              <w:t xml:space="preserve" w:run_content_index="6">John Smith, Controller</w:t>
            </w:r>
          </w:p>
        </w:tc>
      </w:tr>
      <w:tr w:tr_index="3">
        <w:tc w:tc_index="5">
          <w:tcPr>
            <w:tcW w:w="1500" w:type="pct"/>
          </w:tcPr>
          <w:p w:doc_index="8">
            <w:pPr>
              <w:jc w:val="left"/>
            </w:pPr>
            <w:r w:run_index="7">
              <w:rPr>
                <w:b/>
              </w:rPr>
              <w:t xml:space="preserve" w:run_content_index="7">Date</w:t>
            </w:r>
          </w:p>
        </w:tc>
        <w:tc w:tc_index="6">
          <w:tcPr>
            <w:tcW w:w="3500" w:type="pct"/>
          </w:tcPr>
          <w:p w:doc_index="9">
            <w:pPr>
              <w:jc w:val="left"/>
            </w:pPr>
            <w:r w:run_index="8">
              <w:t xml:space="preserve" w:run_content_index="8">2026-08-12</w:t>
            </w:r>
          </w:p>
        </w:tc>
      </w:tr>
      <w:tr w:tr_index="4">
        <w:tc w:tc_index="7">
          <w:tcPr>
            <w:tcW w:w="1500" w:type="pct"/>
          </w:tcPr>
          <w:p w:doc_index="10">
            <w:pPr>
              <w:jc w:val="left"/>
            </w:pPr>
            <w:r w:run_index="9">
              <w:rPr>
                <w:b/>
              </w:rPr>
              <w:t xml:space="preserve" w:run_content_index="9">Re</w:t>
            </w:r>
          </w:p>
        </w:tc>
        <w:tc w:tc_index="8">
          <w:tcPr>
            <w:tcW w:w="3500" w:type="pct"/>
          </w:tcPr>
          <w:p w:doc_index="11">
            <w:pPr>
              <w:jc w:val="left"/>
            </w:pPr>
            <w:r w:run_index="10">
              <w:t xml:space="preserve" w:run_content_index="10">Q3 Budget Review Timeline</w:t>
            </w:r>
          </w:p>
        </w:tc>
      </w:tr>
      <w:tr w:tr_index="5">
        <w:tc w:tc_index="9">
          <w:tcPr>
            <w:tcW w:w="1500" w:type="pct"/>
          </w:tcPr>
          <w:p w:doc_index="12">
            <w:pPr>
              <w:jc w:val="left"/>
            </w:pPr>
            <w:r w:run_index="11">
              <w:rPr>
                <w:b/>
              </w:rPr>
              <w:t xml:space="preserve" w:run_content_index="11">Cc</w:t>
            </w:r>
          </w:p>
        </w:tc>
        <w:tc w:tc_index="10">
          <w:tcPr>
            <w:tcW w:w="3500" w:type="pct"/>
          </w:tcPr>
          <w:p w:doc_index="13">
            <w:pPr>
              <w:jc w:val="left"/>
            </w:pPr>
            <w:r w:run_index="12">
              <w:t xml:space="preserve" w:run_content_index="12">Finance Committee</w:t>
            </w:r>
          </w:p>
        </w:tc>
      </w:tr>
      <w:tr w:tr_index="6">
        <w:tc w:tc_index="11">
          <w:tcPr>
            <w:tcW w:w="1500" w:type="pct"/>
          </w:tcPr>
          <w:p w:doc_index="14">
            <w:pPr>
              <w:jc w:val="left"/>
            </w:pPr>
            <w:r w:run_index="13">
              <w:rPr>
                <w:b/>
              </w:rPr>
              <w:t xml:space="preserve" w:run_content_index="13">Memo Number</w:t>
            </w:r>
          </w:p>
        </w:tc>
        <w:tc w:tc_index="12">
          <w:tcPr>
            <w:tcW w:w="3500" w:type="pct"/>
          </w:tcPr>
          <w:p w:doc_index="15">
            <w:pPr>
              <w:jc w:val="left"/>
            </w:pPr>
            <w:r w:run_index="14">
              <w:t xml:space="preserve" w:run_content_index="14">MEMO-2026-014</w:t>
            </w:r>
          </w:p>
        </w:tc>
      </w:tr>
    </w:tbl>
    <w:p w:doc_index="16"/>
    <w:p w:doc_index="17">
      <w:pPr>
        <w:pBdr>
          <w:top w:val="single" w:sz="8" w:space="6" w:color="000000"/>
          <w:left w:val="single" w:sz="8" w:space="6" w:color="000000"/>
          <w:bottom w:val="single" w:sz="8" w:space="6" w:color="000000"/>
          <w:right w:val="single" w:sz="8" w:space="6" w:color="000000"/>
        </w:pBdr>
        <w:jc w:val="center"/>
        <w:spacing w:before="120" w:after="240"/>
      </w:pPr>
      <w:r w:run_index="15">
        <w:rPr>
          <w:b/>
        </w:rPr>
        <w:t xml:space="preserve" w:run_content_index="15">FINAL</w:t>
      </w:r>
    </w:p>
    <w:p w:doc_index="18">
      <w:r w:run_index="16">
        <w:br w:type="page" w:run_content_index="16"/>
      </w:r>
    </w:p>
    <w:p w:doc_index="19">
      <w:pPr>
        <w:sectPr w:rsidR="00FC693F" w:rsidRPr="0006063C" w:rsidSect="00034616">
          <w:headerReference w:type="default" r:id="rId1"/>
          <w:footerReference w:type="default" r:id="rId3"/>
          <w:pgSz w:h="15840" w:w="12240"/>
          <w:pgMar w:bottom="1440" w:footer="720" w:gutter="0" w:header="720" w:left="1440" w:right="1440" w:top="1440"/>
          <w:cols w:space="720"/>
          <w:docGrid w:linePitch="360"/>
        </w:sectPr>
      </w:pPr>
      <w:bookmarkStart w:id="800001" w:name="quartifyr-body-start"/>
      <w:bookmarkEnd w:id="800001"/>
    </w:p>
    <w:bookmarkStart w:id="21" w:name="purpose"/>
    <w:p w:doc_index="20">
      <w:pPr>
        <w:pStyle w:val="Heading1"/>
      </w:pPr>
      <w:r w:run_index="17">
        <w:t xml:space="preserve" w:run_content_index="17">Purpose</w:t>
      </w:r>
    </w:p>
    <w:p w:doc_index="21">
      <w:pPr>
        <w:pStyle w:val="FirstParagraph"/>
      </w:pPr>
      <w:r w:run_index="18">
        <w:t xml:space="preserve" w:run_content_index="18">This memo summarizes the proposed timeline for the Q3 budget review and</w:t>
      </w:r>
      <w:r w:run_index="19">
        <w:t xml:space="preserve" w:run_content_index="19"> </w:t>
      </w:r>
      <w:r w:run_index="20">
        <w:t xml:space="preserve" w:run_content_index="20">requests sign-off on the schedule below before circulating it to</w:t>
      </w:r>
      <w:r w:run_index="21">
        <w:t xml:space="preserve" w:run_content_index="21"> </w:t>
      </w:r>
      <w:r w:run_index="22">
        <w:t xml:space="preserve" w:run_content_index="22">department heads.</w:t>
      </w:r>
    </w:p>
    <w:p w:doc_index="22">
      <w:pPr>
        <w:pStyle w:val="BodyText"/>
      </w:pPr>
      <w:r w:run_index="23">
        <w:t xml:space="preserve" w:run_content_index="23">No table of contents, list of figures/tables, or abbreviations list is</w:t>
      </w:r>
      <w:r w:run_index="24">
        <w:t xml:space="preserve" w:run_content_index="24"> </w:t>
      </w:r>
      <w:r w:run_index="25">
        <w:t xml:space="preserve" w:run_content_index="25">included – unlike</w:t>
      </w:r>
      <w:r w:run_index="26">
        <w:t xml:space="preserve" w:run_content_index="26"> </w:t>
      </w:r>
      <w:r w:run_index="27">
        <w:rPr>
          <w:rStyle w:val="VerbatimChar"/>
        </w:rPr>
        <w:t xml:space="preserve" w:run_content_index="27">examples/demo-report</w:t>
      </w:r>
      <w:r w:run_index="28">
        <w:t xml:space="preserve" w:run_content_index="28">, a memo’s</w:t>
      </w:r>
      <w:r w:run_index="29">
        <w:t xml:space="preserve" w:run_content_index="29"> </w:t>
      </w:r>
      <w:r w:run_index="30">
        <w:t xml:space="preserve" w:run_content_index="30">“loose structure”</w:t>
      </w:r>
      <w:r w:run_index="31">
        <w:t xml:space="preserve" w:run_content_index="31"> </w:t>
      </w:r>
      <w:r w:run_index="32">
        <w:t xml:space="preserve" w:run_content_index="32">deliberately skips all of that (see the</w:t>
      </w:r>
      <w:r w:run_index="33">
        <w:t xml:space="preserve" w:run_content_index="33"> </w:t>
      </w:r>
      <w:r w:run_index="34">
        <w:rPr>
          <w:rStyle w:val="VerbatimChar"/>
        </w:rPr>
        <w:t xml:space="preserve" w:run_content_index="34">examples/memo-example/README.md</w:t>
      </w:r>
      <w:r w:run_index="35">
        <w:t xml:space="preserve" w:run_content_index="35"> </w:t>
      </w:r>
      <w:r w:run_index="36">
        <w:t xml:space="preserve" w:run_content_index="36">and</w:t>
      </w:r>
      <w:r w:run_index="37">
        <w:t xml:space="preserve" w:run_content_index="37"> </w:t>
      </w:r>
      <w:r w:run_index="38">
        <w:rPr>
          <w:rStyle w:val="VerbatimChar"/>
        </w:rPr>
        <w:t xml:space="preserve" w:run_content_index="38">_extensions/quartifyr/README.md</w:t>
      </w:r>
      <w:r w:run_index="39">
        <w:t xml:space="preserve" w:run_content_index="39">’s</w:t>
      </w:r>
      <w:r w:run_index="40">
        <w:t xml:space="preserve" w:run_content_index="40"> </w:t>
      </w:r>
      <w:r w:run_index="41">
        <w:t xml:space="preserve" w:run_content_index="41">“Memo cover page”</w:t>
      </w:r>
      <w:r w:run_index="42">
        <w:t xml:space="preserve" w:run_content_index="42"> </w:t>
      </w:r>
      <w:r w:run_index="43">
        <w:t xml:space="preserve" w:run_content_index="43">section for</w:t>
      </w:r>
      <w:r w:run_index="44">
        <w:t xml:space="preserve" w:run_content_index="44"> </w:t>
      </w:r>
      <w:r w:run_index="45">
        <w:t xml:space="preserve" w:run_content_index="45">why none of that requires any quartifyr code changes to omit).</w:t>
      </w:r>
    </w:p>
    <w:bookmarkEnd w:id="21"/>
    <w:bookmarkStart w:id="22" w:name="proposed-schedule"/>
    <w:p w:doc_index="23">
      <w:pPr>
        <w:pStyle w:val="Heading1"/>
      </w:pPr>
      <w:r w:run_index="46">
        <w:t xml:space="preserve" w:run_content_index="46">Proposed Schedule</w:t>
      </w:r>
    </w:p>
    <w:p w:doc_index="24">
      <w:pPr>
        <w:pStyle w:val="Compact"/>
        <w:numPr>
          <w:ilvl w:val="0"/>
          <w:numId w:val="1001"/>
        </w:numPr>
      </w:pPr>
      <w:r w:run_index="47">
        <w:t xml:space="preserve" w:run_content_index="47">Department budget submissions due August 21</w:t>
      </w:r>
    </w:p>
    <w:p w:doc_index="25">
      <w:pPr>
        <w:pStyle w:val="Compact"/>
        <w:numPr>
          <w:ilvl w:val="0"/>
          <w:numId w:val="1001"/>
        </w:numPr>
      </w:pPr>
      <w:r w:run_index="48">
        <w:t xml:space="preserve" w:run_content_index="48">Finance Committee review August 24-28</w:t>
      </w:r>
    </w:p>
    <w:p w:doc_index="26">
      <w:pPr>
        <w:pStyle w:val="Compact"/>
        <w:numPr>
          <w:ilvl w:val="0"/>
          <w:numId w:val="1001"/>
        </w:numPr>
      </w:pPr>
      <w:r w:run_index="49">
        <w:t xml:space="preserve" w:run_content_index="49">Consolidated review meeting September 2</w:t>
      </w:r>
    </w:p>
    <w:p w:doc_index="27">
      <w:pPr>
        <w:pStyle w:val="Compact"/>
        <w:numPr>
          <w:ilvl w:val="0"/>
          <w:numId w:val="1001"/>
        </w:numPr>
      </w:pPr>
      <w:r w:run_index="50">
        <w:t xml:space="preserve" w:run_content_index="50">Final sign-off September 9</w:t>
      </w:r>
    </w:p>
    <w:p w:doc_index="28">
      <w:pPr>
        <w:pStyle w:val="Caption"/>
        <w:keepNext/>
      </w:pPr>
      <w:bookmarkStart w:id="1" w:name="FigTimeline"/>
      <w:r w:run_index="51">
        <w:t w:run_content_index="51">Figure</w:t>
      </w:r>
      <w:r w:run_index="52">
        <w:t xml:space="preserve" w:run_content_index="52"> </w:t>
      </w:r>
      <w:r w:run_index="53">
        <w:fldChar w:fldCharType="begin" w:dirty="true" w:run_content_index="53"/>
      </w:r>
      <w:r w:run_index="54">
        <w:instrText xml:space="preserve" w:run_content_index="54"> SEQ Figure \* ARABIC </w:instrText>
      </w:r>
      <w:r w:run_index="55">
        <w:fldChar w:fldCharType="separate" w:run_content_index="55"/>
      </w:r>
      <w:r w:run_index="56">
        <w:t w:run_content_index="56">1</w:t>
      </w:r>
      <w:r w:run_index="57">
        <w:fldChar w:fldCharType="end" w:run_content_index="57"/>
      </w:r>
      <w:bookmarkEnd w:id="1"/>
      <w:r w:run_index="58">
        <w:tab w:run_content_index="58"/>
        <w:t w:run_content_index="59">Proposed Q3 budget review timeline</w:t>
      </w:r>
    </w:p>
    <w:p>
      <w:pPr>
        <w:jc w:val="center"/>
      </w:pPr>
      <w:r>
        <w:drawing>
          <wp:inline>
            <wp:extent cx="5486400" cy="2743200"/>
            <wp:docPr id="21" name="Picture 21" descr="{rpfy}:budget-timeline.png [hash:5921574dfe80b4072248de622066b327bea22ad8bbf5f5f64c5462d0450af797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-timelin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/>
          <w:sz w:val="18"/>
        </w:rPr>
        <w:t>[Source: scripts/01_analysis.R 2026-08-12 18:09:11]</w:t>
      </w:r>
      <w:r>
        <w:br/>
      </w:r>
      <w:r>
        <w:rPr>
          <w:rFonts w:ascii="Times New Roman" w:hAnsi="Times New Roman" w:cs="Times New Roman"/>
          <w:sz w:val="18"/>
        </w:rPr>
        <w:t>Notes: Proposed Q3 budget review milestones.</w:t>
      </w:r>
      <w:r>
        <w:br/>
      </w:r>
      <w:r>
        <w:rPr>
          <w:rFonts w:ascii="Times New Roman" w:hAnsi="Times New Roman" w:cs="Times New Roman"/>
          <w:sz w:val="18"/>
        </w:rPr>
        <w:t>Abbreviations: N/A</w:t>
      </w:r>
    </w:p>
    <w:p w:doc_index="30">
      <w:pPr>
        <w:pStyle w:val="BodyText"/>
      </w:pPr>
      <w:r w:run_index="60">
        <w:t xml:space="preserve" w:run_content_index="61">Milestone dates from the list above, shown as a single timeline for a</w:t>
      </w:r>
      <w:r w:run_index="61">
        <w:t xml:space="preserve" w:run_content_index="62"> </w:t>
      </w:r>
      <w:r w:run_index="62">
        <w:t xml:space="preserve" w:run_content_index="63">quick visual check before circulating (see</w:t>
      </w:r>
      <w:r w:run_index="63">
        <w:t xml:space="preserve" w:run_content_index="64"> </w:t>
      </w:r>
      <w:r w:run_index="64">
        <w:fldChar w:fldCharType="begin" w:run_content_index="65"/>
      </w:r>
      <w:r w:run_index="65">
        <w:instrText xml:space="preserve" w:run_content_index="66"> REF FigTimeline \h </w:instrText>
      </w:r>
      <w:r w:run_index="66">
        <w:fldChar w:fldCharType="separate" w:run_content_index="67"/>
      </w:r>
      <w:r w:run_index="67">
        <w:t w:run_content_index="68">Figure 1</w:t>
      </w:r>
      <w:r w:run_index="68">
        <w:fldChar w:fldCharType="end" w:run_content_index="69"/>
      </w:r>
      <w:r w:run_index="69">
        <w:t xml:space="preserve" w:run_content_index="70">).</w:t>
      </w:r>
    </w:p>
    <w:bookmarkEnd w:id="22"/>
    <w:bookmarkStart w:id="23" w:name="next-steps"/>
    <w:p w:doc_index="31">
      <w:pPr>
        <w:pStyle w:val="Heading1"/>
      </w:pPr>
      <w:r w:run_index="70">
        <w:t xml:space="preserve" w:run_content_index="71">Next Steps</w:t>
      </w:r>
    </w:p>
    <w:p w:doc_index="32">
      <w:pPr>
        <w:pStyle w:val="FirstParagraph"/>
      </w:pPr>
      <w:r w:run_index="71">
        <w:t xml:space="preserve" w:run_content_index="72">Please review the schedule above and reply with any conflicts by</w:t>
      </w:r>
      <w:r w:run_index="72">
        <w:t xml:space="preserve" w:run_content_index="73"> </w:t>
      </w:r>
      <w:r w:run_index="73">
        <w:t xml:space="preserve" w:run_content_index="74">August 19 so the timeline can be finalized before submissions open.</w:t>
      </w:r>
    </w:p>
    <w:bookmarkEnd w:id="23"/>
    <w:sectPr w:rsidR="00FC693F" w:rsidRPr="0006063C" w:rsidSect="00034616">
      <w:footerReference r:id="rId9" w:type="default"/>
      <w:headerReference w:type="default" r:id="rId2"/>
      <w:pgSz w:h="15840" w:w="12240"/>
      <w:pgMar w:bottom="1440" w:footer="720" w:gutter="0" w:header="720" w:left="1440" w:right="1440" w:top="1440"/>
      <w:cols w:space="720"/>
      <w:docGrid w:linePitch="360"/>
      <w:pgNumType w:start="1" w:fmt="decimal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right"/>
      </w:tabs>
      <w:jc w:val="left"/>
    </w:pPr>
    <w:r>
      <w:t>Internal Use Only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right"/>
      </w:tabs>
      <w:jc w:val="left"/>
    </w:pPr>
    <w:r>
      <w:t>Internal Use Only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right"/>
      </w:tabs>
      <w:jc w:val="left"/>
    </w:pPr>
    <w:r>
      <w:t>ACME-001 - MEMO-2026-014</w:t>
    </w:r>
    <w:r>
      <w:tab/>
    </w:r>
    <w:r>
      <w:t>FINAL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right"/>
      </w:tabs>
      <w:jc w:val="left"/>
    </w:pPr>
    <w:r>
      <w:t>ACME-001 - MEMO-2026-014</w:t>
    </w:r>
    <w:r>
      <w:tab/>
    </w:r>
    <w:r>
      <w:t>FINAL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xmlns:w="http://schemas.openxmlformats.org/wordprocessingml/2006/main" w:percent="NA"/>
  <w:embedSystemFonts/>
  <w:proofState w:grammar="clean" w:spelling="clean"/>
  <w:stylePaneFormatFilter w:val="0004"/>
  <w:doNotTrackMoves/>
  <w:defaultTabStop xmlns:w="http://schemas.openxmlformats.org/wordprocessingml/2006/main"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compat xmlns:w="http://schemas.openxmlformats.org/wordprocessingml/2006/main"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xmlns:w="http://schemas.openxmlformats.org/wordprocessingml/2006/main" w:val="."/>
  <w:listSeparator xmlns:w="http://schemas.openxmlformats.org/wordprocessingml/2006/main" w:val=","/>
  <w:hyphenationZone xmlns:w="http://schemas.openxmlformats.org/wordprocessingml/2006/main" w:val="360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76" w:lineRule="auto"/>
      <w:jc w:val="left"/>
    </w:pPr>
    <w:rPr>
      <w:rFonts w:ascii="Times New Roman" w:cs="Times New Roman" w:eastAsia="Times New Roman" w:hAnsi="Times New Roman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  <w:jc w:val="center"/>
    </w:pPr>
    <w:rPr>
      <w:rFonts w:ascii="Times New Roman" w:cs="Times New Roman" w:eastAsia="Times New Roman" w:hAnsi="Times New Roman"/>
      <w:color w:val="000000"/>
      <w:sz w:val="18"/>
    </w:r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cs="Times New Roman" w:eastAsia="Times New Roman" w:hAnsi="Times New Roman"/>
      <w:color w:val="000000"/>
      <w:sz w:val="18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Times New Roman" w:cs="Times New Roman" w:eastAsia="Times New Roman" w:hAnsi="Times New Roman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120" w:before="240"/>
      <w:outlineLvl w:val="4"/>
    </w:pPr>
    <w:rPr>
      <w:rFonts w:ascii="Times New Roman" w:cs="Times New Roman" w:eastAsia="Times New Roman" w:hAnsi="Times New Roman"/>
      <w:b/>
      <w:color w:val="000000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120" w:before="240"/>
      <w:outlineLvl w:val="5"/>
    </w:pPr>
    <w:rPr>
      <w:rFonts w:ascii="Times New Roman" w:cs="Times New Roman" w:eastAsia="Times New Roman" w:hAnsi="Times New Roman"/>
      <w:b/>
      <w:i/>
      <w:iCs/>
      <w:color w:val="000000"/>
      <w:sz w:val="22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40" w:lineRule="auto"/>
      <w:contextualSpacing/>
      <w:jc w:val="center"/>
      <w:pBdr>
        <w:bottom w:color="000000" w:space="4" w:sz="8" w:val="single"/>
      </w:pBdr>
    </w:pPr>
    <w:rPr>
      <w:rFonts w:ascii="Times New Roman" w:cs="Times New Roman" w:eastAsia="Times New Roman" w:hAnsi="Times New Roman"/>
      <w:b/>
      <w:color w:val="0000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  <w:jc w:val="center"/>
    </w:pPr>
    <w:rPr>
      <w:rFonts w:ascii="Times New Roman" w:cs="Times New Roman" w:eastAsia="Times New Roman" w:hAnsi="Times New Roman"/>
      <w:i/>
      <w:iCs/>
      <w:color w:val="000000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80" w:line="240" w:lineRule="auto"/>
    </w:pPr>
    <w:rPr>
      <w:rFonts w:ascii="Times New Roman" w:cs="Times New Roman" w:eastAsia="Times New Roman" w:hAnsi="Times New Roman"/>
      <w:b w:val="0"/>
      <w:bCs/>
      <w:i/>
      <w:color w:val="000000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color w:val="000000"/>
      <w:sz w:val="22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LogoLeft" w:type="paragraph">
    <w:name w:val="Logo Left"/>
    <w:basedOn w:val="Normal"/>
    <w:pPr>
      <w:jc w:val="left"/>
    </w:pPr>
  </w:style>
  <w:style w:customStyle="1" w:styleId="LogoRight" w:type="paragraph">
    <w:name w:val="Logo Right"/>
    <w:basedOn w:val="Normal"/>
    <w:pPr>
      <w:jc w:val="right"/>
    </w:pPr>
  </w:style>
  <w:style w:customStyle="1" w:styleId="TOC1" w:type="paragraph">
    <w:name w:val="TOC 1"/>
    <w:basedOn w:val="Normal"/>
    <w:pPr>
      <w:tabs>
        <w:tab w:leader="dot" w:pos="9360" w:val="right"/>
      </w:tabs>
      <w:spacing w:after="80"/>
      <w:ind w:left="0"/>
    </w:pPr>
    <w:rPr>
      <w:rFonts w:ascii="Times New Roman" w:cs="Times New Roman" w:eastAsia="Times New Roman" w:hAnsi="Times New Roman"/>
      <w:color w:val="000000"/>
      <w:sz w:val="22"/>
    </w:rPr>
  </w:style>
  <w:style w:customStyle="1" w:styleId="TOC2" w:type="paragraph">
    <w:name w:val="TOC 2"/>
    <w:basedOn w:val="Normal"/>
    <w:pPr>
      <w:tabs>
        <w:tab w:leader="dot" w:pos="9360" w:val="right"/>
      </w:tabs>
      <w:spacing w:after="80"/>
      <w:ind w:left="360"/>
    </w:pPr>
    <w:rPr>
      <w:rFonts w:ascii="Times New Roman" w:cs="Times New Roman" w:eastAsia="Times New Roman" w:hAnsi="Times New Roman"/>
      <w:color w:val="000000"/>
      <w:sz w:val="22"/>
    </w:rPr>
  </w:style>
  <w:style w:customStyle="1" w:styleId="TOC3" w:type="paragraph">
    <w:name w:val="TOC 3"/>
    <w:basedOn w:val="Normal"/>
    <w:pPr>
      <w:tabs>
        <w:tab w:leader="dot" w:pos="9360" w:val="right"/>
      </w:tabs>
      <w:spacing w:after="80"/>
      <w:ind w:left="720"/>
    </w:pPr>
    <w:rPr>
      <w:rFonts w:ascii="Times New Roman" w:cs="Times New Roman" w:eastAsia="Times New Roman" w:hAnsi="Times New Roman"/>
      <w:color w:val="000000"/>
      <w:sz w:val="22"/>
    </w:rPr>
  </w:style>
  <w:style w:customStyle="1" w:styleId="SynopsisLabel" w:type="paragraph">
    <w:name w:val="Synopsis Label"/>
    <w:basedOn w:val="Normal"/>
    <w:pPr>
      <w:spacing w:after="40" w:before="240"/>
    </w:pPr>
    <w:rPr>
      <w:rFonts w:ascii="Times New Roman" w:cs="Times New Roman" w:eastAsia="Times New Roman" w:hAnsi="Times New Roman"/>
      <w:b/>
      <w:color w:val="000000"/>
      <w:sz w:val="22"/>
    </w:rPr>
  </w:style>
  <w:style w:customStyle="1" w:styleId="SynopsisValue" w:type="paragraph">
    <w:name w:val="Synopsis Value"/>
    <w:basedOn w:val="Normal"/>
    <w:pPr>
      <w:spacing w:after="40"/>
      <w:ind w:left="360"/>
    </w:pPr>
  </w:style>
  <w:style w:customStyle="1" w:styleId="SynopsisInlineLabel" w:type="character">
    <w:name w:val="Synopsis Inline Label"/>
    <w:basedOn w:val="DefaultParagraphFont"/>
    <w:rPr>
      <w:rFonts w:ascii="Times New Roman" w:cs="Times New Roman" w:eastAsia="Times New Roman" w:hAnsi="Times New Roman"/>
      <w:b/>
      <w:color w:val="000000"/>
      <w:sz w:val="24"/>
    </w:rPr>
  </w:style>
  <w:style w:customStyle="1" w:styleId="Bibliography" w:type="paragraph">
    <w:name w:val="Bibliography"/>
    <w:basedOn w:val="Normal"/>
    <w:pPr>
      <w:spacing w:after="160"/>
      <w:ind w:hanging="720" w:left="720"/>
    </w:pPr>
    <w:rPr>
      <w:rFonts w:ascii="Times New Roman" w:cs="Times New Roman" w:eastAsia="Times New Roman" w:hAnsi="Times New Roman"/>
      <w:color w:val="000000"/>
      <w:sz w:val="22"/>
    </w:rPr>
  </w:style>
  <w:style w:customStyle="1" w:styleId="Hyperlink" w:type="character">
    <w:name w:val="Hyperlink"/>
    <w:basedOn w:val="DefaultParagraphFont"/>
    <w:rPr>
      <w:rFonts w:ascii="Times New Roman" w:cs="Times New Roman" w:eastAsia="Times New Roman" w:hAnsi="Times New Roman"/>
      <w:color w:val="000000"/>
      <w:sz w:val="22"/>
      <w:u w:val="non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18" Type="http://schemas.openxmlformats.org/officeDocument/2006/relationships/image" Target="media/rId18.png"/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footer" Target="footer2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2026-08-14T15:05:50Z</dcterms:created>
  <dcterms:modified xsi:type="dcterms:W3CDTF">2026-08-14T11:05:51Z</dcterms:modified>
  <cp:lastModifiedBy>jprybylski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onfidentiality">
    <vt:lpwstr>Internal Use Only</vt:lpwstr>
  </property>
  <property fmtid="{D5CDD505-2E9C-101B-9397-08002B2CF9AE}" pid="4" name="csl">
    <vt:lpwstr>_extensions/quartifyr/nlm.csl</vt:lpwstr>
  </property>
  <property fmtid="{D5CDD505-2E9C-101B-9397-08002B2CF9AE}" pid="5" name="document-status">
    <vt:lpwstr>FINAL</vt:lpwstr>
  </property>
  <property fmtid="{D5CDD505-2E9C-101B-9397-08002B2CF9AE}" pid="6" name="header-format">
    <vt:lpwstr>{project} - {memo_number}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indent-headers">
    <vt:lpwstr>False</vt:lpwstr>
  </property>
  <property fmtid="{D5CDD505-2E9C-101B-9397-08002B2CF9AE}" pid="11" name="labels">
    <vt:lpwstr/>
  </property>
  <property fmtid="{D5CDD505-2E9C-101B-9397-08002B2CF9AE}" pid="12" name="link-citations">
    <vt:lpwstr>True</vt:lpwstr>
  </property>
  <property fmtid="{D5CDD505-2E9C-101B-9397-08002B2CF9AE}" pid="13" name="logo">
    <vt:lpwstr>assets/logo.png</vt:lpwstr>
  </property>
  <property fmtid="{D5CDD505-2E9C-101B-9397-08002B2CF9AE}" pid="14" name="logo-width">
    <vt:lpwstr>1.5in</vt:lpwstr>
  </property>
  <property fmtid="{D5CDD505-2E9C-101B-9397-08002B2CF9AE}" pid="15" name="memo">
    <vt:lpwstr/>
  </property>
  <property fmtid="{D5CDD505-2E9C-101B-9397-08002B2CF9AE}" pid="16" name="memo_number">
    <vt:lpwstr>MEMO-2026-014</vt:lpwstr>
  </property>
  <property fmtid="{D5CDD505-2E9C-101B-9397-08002B2CF9AE}" pid="17" name="title-page-extra">
    <vt:lpwstr/>
  </property>
  <property fmtid="{D5CDD505-2E9C-101B-9397-08002B2CF9AE}" pid="18" name="toc-title">
    <vt:lpwstr>Table of contents</vt:lpwstr>
  </property>
</Properties>
</file>