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80"/>
      </w:pPr>
      <w:r>
        <w:rPr>
          <w:b/>
          <w:color w:val="1E3A8A"/>
          <w:sz w:val="40"/>
        </w:rPr>
        <w:t>RELATÓRIO – INSURMINDS DESAFIO 5</w:t>
      </w:r>
    </w:p>
    <w:p>
      <w:pPr>
        <w:spacing w:after="160"/>
      </w:pPr>
      <w:r>
        <w:rPr>
          <w:b/>
          <w:color w:val="374151"/>
          <w:sz w:val="26"/>
        </w:rPr>
        <w:t>InsureAlert — Sistema Multi-Agente de Comunicação Proativa com Segurados</w:t>
      </w:r>
    </w:p>
    <w:p>
      <w:pPr>
        <w:spacing w:after="80"/>
      </w:pPr>
      <w:r>
        <w:rPr>
          <w:b/>
        </w:rPr>
        <w:t>Equipe: JL</w:t>
      </w:r>
    </w:p>
    <w:p>
      <w:pPr>
        <w:spacing w:after="80"/>
      </w:pPr>
      <w:r>
        <w:rPr>
          <w:b/>
        </w:rPr>
        <w:t>Integrantes:</w:t>
      </w:r>
    </w:p>
    <w:tbl>
      <w:tblPr>
        <w:tblStyle w:val="TableGrid"/>
        <w:tblW w:type="auto" w:w="0"/>
        <w:tblLook w:firstColumn="1" w:firstRow="1" w:lastColumn="0" w:lastRow="0" w:noHBand="0" w:noVBand="1" w:val="04A0"/>
      </w:tblPr>
      <w:tblGrid>
        <w:gridCol w:w="2880"/>
        <w:gridCol w:w="2880"/>
        <w:gridCol w:w="2880"/>
      </w:tblGrid>
      <w:tr>
        <w:tc>
          <w:tcPr>
            <w:tcW w:type="dxa" w:w="2880"/>
            <w:shd w:fill="1E3A8A"/>
          </w:tcPr>
          <w:p>
            <w:r>
              <w:rPr>
                <w:b/>
                <w:color w:val="FFFFFF"/>
              </w:rPr>
              <w:t>Nome</w:t>
            </w:r>
          </w:p>
        </w:tc>
        <w:tc>
          <w:tcPr>
            <w:tcW w:type="dxa" w:w="2880"/>
            <w:shd w:fill="1E3A8A"/>
          </w:tcPr>
          <w:p>
            <w:r>
              <w:rPr>
                <w:b/>
                <w:color w:val="FFFFFF"/>
              </w:rPr>
              <w:t>E-mail</w:t>
            </w:r>
          </w:p>
        </w:tc>
        <w:tc>
          <w:tcPr>
            <w:tcW w:type="dxa" w:w="2880"/>
            <w:shd w:fill="1E3A8A"/>
          </w:tcPr>
          <w:p>
            <w:r>
              <w:rPr>
                <w:b/>
                <w:color w:val="FFFFFF"/>
              </w:rPr>
              <w:t>Telefone</w:t>
            </w:r>
          </w:p>
        </w:tc>
      </w:tr>
      <w:tr>
        <w:tc>
          <w:tcPr>
            <w:tcW w:type="dxa" w:w="2880"/>
          </w:tcPr>
          <w:p>
            <w:r>
              <w:t>Leonardo Pereira</w:t>
            </w:r>
          </w:p>
        </w:tc>
        <w:tc>
          <w:tcPr>
            <w:tcW w:type="dxa" w:w="2880"/>
          </w:tcPr>
          <w:p>
            <w:r>
              <w:t>ligueproleo@gmail.com</w:t>
            </w:r>
          </w:p>
        </w:tc>
        <w:tc>
          <w:tcPr>
            <w:tcW w:type="dxa" w:w="2880"/>
          </w:tcPr>
          <w:p>
            <w:r>
              <w:t>+55 11 98479-6122</w:t>
            </w:r>
          </w:p>
        </w:tc>
      </w:tr>
      <w:tr>
        <w:tc>
          <w:tcPr>
            <w:tcW w:type="dxa" w:w="2880"/>
            <w:shd w:fill="F1F5F9"/>
          </w:tcPr>
          <w:p>
            <w:r>
              <w:t>João Cardoso</w:t>
            </w:r>
          </w:p>
        </w:tc>
        <w:tc>
          <w:tcPr>
            <w:tcW w:type="dxa" w:w="2880"/>
            <w:shd w:fill="F1F5F9"/>
          </w:tcPr>
          <w:p>
            <w:r>
              <w:t>jpscardoso@ufpa.br</w:t>
            </w:r>
          </w:p>
        </w:tc>
        <w:tc>
          <w:tcPr>
            <w:tcW w:type="dxa" w:w="2880"/>
            <w:shd w:fill="F1F5F9"/>
          </w:tcPr>
          <w:p>
            <w:r>
              <w:t>+55 91 98273-6292</w:t>
            </w:r>
          </w:p>
        </w:tc>
      </w:tr>
    </w:tbl>
    <w:p>
      <w:pPr>
        <w:spacing w:before="160" w:after="40"/>
      </w:pPr>
      <w:r>
        <w:rPr>
          <w:b/>
        </w:rPr>
        <w:t xml:space="preserve">Github: </w:t>
      </w:r>
      <w:r>
        <w:t>https://github.com/jpscard/InsurMinds/tree/main/Desafio_5</w:t>
      </w:r>
    </w:p>
    <w:p>
      <w:pPr>
        <w:spacing w:after="240"/>
      </w:pPr>
      <w:r>
        <w:rPr>
          <w:b/>
        </w:rPr>
        <w:t xml:space="preserve">Aplicação: </w:t>
      </w:r>
      <w:r>
        <w:t>http://localhost:8000 (FastAPI + Dashboard Operacional)</w:t>
      </w:r>
    </w:p>
    <w:p>
      <w:pPr>
        <w:keepNext/>
        <w:spacing w:before="280" w:after="120"/>
      </w:pPr>
      <w:r>
        <w:rPr>
          <w:b/>
          <w:color w:val="1E3A8A"/>
          <w:sz w:val="28"/>
        </w:rPr>
        <w:t>1. FRAMEWORK E STACK TECNOLÓGICA ESCOLHIDA</w:t>
      </w:r>
    </w:p>
    <w:p>
      <w:pPr>
        <w:spacing w:after="120"/>
      </w:pPr>
      <w:r>
        <w:t>Para atender aos requisitos de monitoramento meteorológico em tempo real, inteligência contextual e geração de mensagens humanizadas e personalizadas por apólice, a solução foi construída utilizando o ecossistema Python moderno para APIs assíncronas e IA generativa:</w:t>
      </w:r>
    </w:p>
    <w:tbl>
      <w:tblPr>
        <w:tblStyle w:val="TableGrid"/>
        <w:tblW w:type="auto" w:w="0"/>
        <w:tblLook w:firstColumn="1" w:firstRow="1" w:lastColumn="0" w:lastRow="0" w:noHBand="0" w:noVBand="1" w:val="04A0"/>
      </w:tblPr>
      <w:tblGrid>
        <w:gridCol w:w="2880"/>
        <w:gridCol w:w="2880"/>
        <w:gridCol w:w="2880"/>
      </w:tblGrid>
      <w:tr>
        <w:tc>
          <w:tcPr>
            <w:tcW w:type="dxa" w:w="2880"/>
            <w:shd w:fill="1E3A8A"/>
          </w:tcPr>
          <w:p>
            <w:r>
              <w:rPr>
                <w:b/>
                <w:color w:val="FFFFFF"/>
              </w:rPr>
              <w:t>Componente</w:t>
            </w:r>
          </w:p>
        </w:tc>
        <w:tc>
          <w:tcPr>
            <w:tcW w:type="dxa" w:w="2880"/>
            <w:shd w:fill="1E3A8A"/>
          </w:tcPr>
          <w:p>
            <w:r>
              <w:rPr>
                <w:b/>
                <w:color w:val="FFFFFF"/>
              </w:rPr>
              <w:t>Tecnologia / Versão</w:t>
            </w:r>
          </w:p>
        </w:tc>
        <w:tc>
          <w:tcPr>
            <w:tcW w:type="dxa" w:w="2880"/>
            <w:shd w:fill="1E3A8A"/>
          </w:tcPr>
          <w:p>
            <w:r>
              <w:rPr>
                <w:b/>
                <w:color w:val="FFFFFF"/>
              </w:rPr>
              <w:t>Justificativa e Papel na Solução</w:t>
            </w:r>
          </w:p>
        </w:tc>
      </w:tr>
      <w:tr>
        <w:tc>
          <w:tcPr>
            <w:tcW w:type="dxa" w:w="2880"/>
          </w:tcPr>
          <w:p>
            <w:r>
              <w:t>Framework Web / API</w:t>
            </w:r>
          </w:p>
        </w:tc>
        <w:tc>
          <w:tcPr>
            <w:tcW w:type="dxa" w:w="2880"/>
          </w:tcPr>
          <w:p>
            <w:r>
              <w:t>FastAPI (&gt;= 0.100.0)</w:t>
            </w:r>
          </w:p>
        </w:tc>
        <w:tc>
          <w:tcPr>
            <w:tcW w:type="dxa" w:w="2880"/>
          </w:tcPr>
          <w:p>
            <w:r>
              <w:t>Framework assíncrono de alta performance para expor os endpoints REST e servir o frontend estático com mínima latência.</w:t>
            </w:r>
          </w:p>
        </w:tc>
      </w:tr>
      <w:tr>
        <w:tc>
          <w:tcPr>
            <w:tcW w:type="dxa" w:w="2880"/>
            <w:shd w:fill="F8FAFC"/>
          </w:tcPr>
          <w:p>
            <w:r>
              <w:t>Servidor ASGI</w:t>
            </w:r>
          </w:p>
        </w:tc>
        <w:tc>
          <w:tcPr>
            <w:tcW w:type="dxa" w:w="2880"/>
            <w:shd w:fill="F8FAFC"/>
          </w:tcPr>
          <w:p>
            <w:r>
              <w:t>Uvicorn (&gt;= 0.23.0)</w:t>
            </w:r>
          </w:p>
        </w:tc>
        <w:tc>
          <w:tcPr>
            <w:tcW w:type="dxa" w:w="2880"/>
            <w:shd w:fill="F8FAFC"/>
          </w:tcPr>
          <w:p>
            <w:r>
              <w:t>Servidor ASGI de produção, suportando a execução concorrente e assíncrona do pipeline de agentes.</w:t>
            </w:r>
          </w:p>
        </w:tc>
      </w:tr>
      <w:tr>
        <w:tc>
          <w:tcPr>
            <w:tcW w:type="dxa" w:w="2880"/>
          </w:tcPr>
          <w:p>
            <w:r>
              <w:t>Modelo de Linguagem (LLM)</w:t>
            </w:r>
          </w:p>
        </w:tc>
        <w:tc>
          <w:tcPr>
            <w:tcW w:type="dxa" w:w="2880"/>
          </w:tcPr>
          <w:p>
            <w:r>
              <w:t>Google Gemini 2.0 Flash</w:t>
            </w:r>
          </w:p>
        </w:tc>
        <w:tc>
          <w:tcPr>
            <w:tcW w:type="dxa" w:w="2880"/>
          </w:tcPr>
          <w:p>
            <w:r>
              <w:t>Modelo com alta velocidade de inferência, excelente raciocínio contextual e custo reduzido, ideal para geração de mensagens em lote.</w:t>
            </w:r>
          </w:p>
        </w:tc>
      </w:tr>
      <w:tr>
        <w:tc>
          <w:tcPr>
            <w:tcW w:type="dxa" w:w="2880"/>
            <w:shd w:fill="F8FAFC"/>
          </w:tcPr>
          <w:p>
            <w:r>
              <w:t>Orquestração de Agentes</w:t>
            </w:r>
          </w:p>
        </w:tc>
        <w:tc>
          <w:tcPr>
            <w:tcW w:type="dxa" w:w="2880"/>
            <w:shd w:fill="F8FAFC"/>
          </w:tcPr>
          <w:p>
            <w:r>
              <w:t>Python Puro (Arquitetura OOP)</w:t>
            </w:r>
          </w:p>
        </w:tc>
        <w:tc>
          <w:tcPr>
            <w:tcW w:type="dxa" w:w="2880"/>
            <w:shd w:fill="F8FAFC"/>
          </w:tcPr>
          <w:p>
            <w:r>
              <w:t>Pipeline sequencial com 4 agentes especializados desacoplados, com tipagem estrita e validação entre etapas.</w:t>
            </w:r>
          </w:p>
        </w:tc>
      </w:tr>
      <w:tr>
        <w:tc>
          <w:tcPr>
            <w:tcW w:type="dxa" w:w="2880"/>
          </w:tcPr>
          <w:p>
            <w:r>
              <w:t>Validação de Dados</w:t>
            </w:r>
          </w:p>
        </w:tc>
        <w:tc>
          <w:tcPr>
            <w:tcW w:type="dxa" w:w="2880"/>
          </w:tcPr>
          <w:p>
            <w:r>
              <w:t>Pydantic v2 (&gt;= 2.0.0)</w:t>
            </w:r>
          </w:p>
        </w:tc>
        <w:tc>
          <w:tcPr>
            <w:tcW w:type="dxa" w:w="2880"/>
          </w:tcPr>
          <w:p>
            <w:r>
              <w:t>Modelagem declarativa e validação de esquemas de domínio (WeatherEvent, Policyholder, Notification, PipelineResult).</w:t>
            </w:r>
          </w:p>
        </w:tc>
      </w:tr>
      <w:tr>
        <w:tc>
          <w:tcPr>
            <w:tcW w:type="dxa" w:w="2880"/>
            <w:shd w:fill="F8FAFC"/>
          </w:tcPr>
          <w:p>
            <w:r>
              <w:t>Cliente HTTP Assíncrono</w:t>
            </w:r>
          </w:p>
        </w:tc>
        <w:tc>
          <w:tcPr>
            <w:tcW w:type="dxa" w:w="2880"/>
            <w:shd w:fill="F8FAFC"/>
          </w:tcPr>
          <w:p>
            <w:r>
              <w:t>HTTPX (&gt;= 0.24.0)</w:t>
            </w:r>
          </w:p>
        </w:tc>
        <w:tc>
          <w:tcPr>
            <w:tcW w:type="dxa" w:w="2880"/>
            <w:shd w:fill="F8FAFC"/>
          </w:tcPr>
          <w:p>
            <w:r>
              <w:t>Consultas assíncronas de alta performance para a API pública do INMET e OpenWeatherMap com tolerância a falhas.</w:t>
            </w:r>
          </w:p>
        </w:tc>
      </w:tr>
      <w:tr>
        <w:tc>
          <w:tcPr>
            <w:tcW w:type="dxa" w:w="2880"/>
          </w:tcPr>
          <w:p>
            <w:r>
              <w:t>Gestão de Configuração</w:t>
            </w:r>
          </w:p>
        </w:tc>
        <w:tc>
          <w:tcPr>
            <w:tcW w:type="dxa" w:w="2880"/>
          </w:tcPr>
          <w:p>
            <w:r>
              <w:t>python-dotenv (&gt;= 1.0.0)</w:t>
            </w:r>
          </w:p>
        </w:tc>
        <w:tc>
          <w:tcPr>
            <w:tcW w:type="dxa" w:w="2880"/>
          </w:tcPr>
          <w:p>
            <w:r>
              <w:t>Gerenciamento seguro de variáveis de ambiente e chaves de API via arquivo .env.</w:t>
            </w:r>
          </w:p>
        </w:tc>
      </w:tr>
      <w:tr>
        <w:tc>
          <w:tcPr>
            <w:tcW w:type="dxa" w:w="2880"/>
            <w:shd w:fill="F8FAFC"/>
          </w:tcPr>
          <w:p>
            <w:r>
              <w:t>Interface e UX</w:t>
            </w:r>
          </w:p>
        </w:tc>
        <w:tc>
          <w:tcPr>
            <w:tcW w:type="dxa" w:w="2880"/>
            <w:shd w:fill="F8FAFC"/>
          </w:tcPr>
          <w:p>
            <w:r>
              <w:t>HTML5 / CSS3 / Vanilla JS</w:t>
            </w:r>
          </w:p>
        </w:tc>
        <w:tc>
          <w:tcPr>
            <w:tcW w:type="dxa" w:w="2880"/>
            <w:shd w:fill="F8FAFC"/>
          </w:tcPr>
          <w:p>
            <w:r>
              <w:t>Design system escuro com glassmorphism, micro-animações e feedback visual completo sem dependências externas.</w:t>
            </w:r>
          </w:p>
        </w:tc>
      </w:tr>
    </w:tbl>
    <w:p>
      <w:pPr>
        <w:keepNext/>
        <w:spacing w:before="280" w:after="120"/>
      </w:pPr>
      <w:r>
        <w:rPr>
          <w:b/>
          <w:color w:val="1E3A8A"/>
          <w:sz w:val="28"/>
        </w:rPr>
        <w:t>2. ARQUITETURA DA SOLUÇÃO</w:t>
      </w:r>
    </w:p>
    <w:p>
      <w:r>
        <w:t>A solução foi concebida sob uma arquitetura modular em camadas orientada a eventos e agentes autônomos:</w:t>
      </w:r>
    </w:p>
    <w:p>
      <w:pPr>
        <w:spacing w:before="80" w:after="120"/>
      </w:pPr>
      <w:r>
        <w:rPr>
          <w:rFonts w:ascii="Courier New" w:hAnsi="Courier New"/>
          <w:sz w:val="17"/>
        </w:rPr>
        <w:t>┌─────────────────────────────────────────────────────────────────────────┐</w:t>
        <w:br/>
        <w:t>│                 CAMADA DE APRESENTAÇÃO (frontend/)                      │</w:t>
        <w:br/>
        <w:t>│   Landing Page · Login · Registro · Dashboard Operacional · Modais      │</w:t>
        <w:br/>
        <w:t>└────────────────────────────────────┬────────────────────────────────────┘</w:t>
        <w:br/>
        <w:t xml:space="preserve">                                     │ HTTP REST (JSON)</w:t>
        <w:br/>
        <w:t>┌────────────────────────────────────▼────────────────────────────────────┐</w:t>
        <w:br/>
        <w:t>│                 CAMADA DE ORQUESTRAÇÃO (backend/main.py)                │</w:t>
        <w:br/>
        <w:t>│   FastAPI · 11 Rotas REST · Autenticação · Ciclo de Vida · Logs         │</w:t>
        <w:br/>
        <w:t>└────────────────────────────────────┬────────────────────────────────────┘</w:t>
        <w:br/>
        <w:t xml:space="preserve">                                     │</w:t>
        <w:br/>
        <w:t>┌────────────────────────────────────▼────────────────────────────────────┐</w:t>
        <w:br/>
        <w:t>│                 CAMADA DE AGENTES INTELIGENTES (backend/agents/)        │</w:t>
        <w:br/>
        <w:t>│                                                                         │</w:t>
        <w:br/>
        <w:t>│  ┌──────────────┐    ┌──────────────┐    ┌──────────────┐    ┌─────────┐│</w:t>
        <w:br/>
        <w:t>│  │ 1. Coletor   │───&gt;│ 2. Analisador│───&gt;│ 3. Regras    │───&gt;│4. Mensag││</w:t>
        <w:br/>
        <w:t>│  │ (INMET/API)  │    │ (NLP/Severid)│    │ (Cruzamento) │    │ (Gemini)││</w:t>
        <w:br/>
        <w:t>│  └──────────────┘    └──────────────┘    └──────────────┘    └─────────┘│</w:t>
        <w:br/>
        <w:t>└───────────────┬───────────────────────────────────────────────┬─────────┘</w:t>
        <w:br/>
        <w:t xml:space="preserve">                │                                               │</w:t>
        <w:br/>
        <w:t>┌───────────────▼───────────────┐               ┌───────────────▼─────────┐</w:t>
        <w:br/>
        <w:t>│     FONTES METEOROLÓGICAS     │               │   MOTOR DE INTELIGÊNCIA │</w:t>
        <w:br/>
        <w:t>│   INMET (Avisos Ativos Brasil)│               │   Google Gemini 2.0     │</w:t>
        <w:br/>
        <w:t>│   OpenWeatherMap (Fallback)   │               │   Templates Dinâmicos   │</w:t>
        <w:br/>
        <w:t>└───────────────────────────────┘               └─────────────────────────┘</w:t>
      </w:r>
    </w:p>
    <w:p>
      <w:r>
        <w:t>● Camada de Apresentação (frontend/): Dashboard interativo em Dark Theme profissional com feedback em tempo real, monitoramento de saúde do sistema, barra de progresso global e pesquisa instantânea.</w:t>
      </w:r>
    </w:p>
    <w:p>
      <w:r>
        <w:t>● Camada de Orquestração (backend/main.py): Ponto central de integração que expõe endpoints de execução, histórico e status, além de servir os assets web.</w:t>
      </w:r>
    </w:p>
    <w:p>
      <w:r>
        <w:t>● Camada de Agentes (backend/agents/): Quatro agentes com responsabilidades especializadas bem delimitadas e encadeadas.</w:t>
      </w:r>
    </w:p>
    <w:p>
      <w:r>
        <w:t>● Camada de Domínio e Modelos (backend/models/): Estruturas Pydantic estritas que garantem validação e integridade de tipos em todo o fluxo.</w:t>
      </w:r>
    </w:p>
    <w:p>
      <w:r>
        <w:t>● Camada de Dados (backend/data/): 20 segurados simulados com 32 apólices ativas (Automóvel, Residencial, Agro, Empresarial, Vida) cobrindo mais de R$ 25 milhões em coberturas.</w:t>
      </w:r>
    </w:p>
    <w:p>
      <w:pPr>
        <w:keepNext/>
        <w:spacing w:before="280" w:after="120"/>
      </w:pPr>
      <w:r>
        <w:rPr>
          <w:b/>
          <w:color w:val="1E3A8A"/>
          <w:sz w:val="28"/>
        </w:rPr>
        <w:t>3. DESCRIÇÃO DOS AGENTES DESENVOLVIDOS</w:t>
      </w:r>
    </w:p>
    <w:p>
      <w:pPr>
        <w:keepNext/>
        <w:spacing w:before="280" w:after="120"/>
      </w:pPr>
      <w:r>
        <w:rPr>
          <w:b/>
          <w:color w:val="374151"/>
          <w:sz w:val="24"/>
        </w:rPr>
        <w:t>Agente 1 — Coletor Meteorológico (weather_collector.py)</w:t>
      </w:r>
    </w:p>
    <w:p>
      <w:r>
        <w:t>Responsável pelo monitoramento e ingestão contínua de alertas climáticos. Conecta-se diretamente aos serviços públicos do INMET (/avisos/ativos) processando alertas ativos e previstos para as próximas 48 horas. Inclui gerador resiliente de cenários para garantia de continuidade operacional (modo demo com 3 alertas realistas caso o INMET esteja sem alertas no instante da consulta).</w:t>
      </w:r>
    </w:p>
    <w:p>
      <w:pPr>
        <w:keepNext/>
        <w:spacing w:before="280" w:after="120"/>
      </w:pPr>
      <w:r>
        <w:rPr>
          <w:b/>
          <w:color w:val="374151"/>
          <w:sz w:val="24"/>
        </w:rPr>
        <w:t>Agente 2 — Analisador Semântico de Eventos (event_analyzer.py)</w:t>
      </w:r>
    </w:p>
    <w:p>
      <w:r>
        <w:t>Especializado em classificar, enriquecer e priorizar os eventos brutos. Identifica 7 categorias de fenômenos meteorológicos (Chuva Intensa, Granizo, Vento Forte, Tempestade, Onda de Calor, Geada, Raios) e traduz as severidades do INMET em níveis padronizados (CRÍTICA, ALTA, MÉDIA, BAIXA). Aplica filtros de corte para focar exclusivamente em eventos com potencial de sinistro real.</w:t>
      </w:r>
    </w:p>
    <w:p>
      <w:pPr>
        <w:keepNext/>
        <w:spacing w:before="280" w:after="120"/>
      </w:pPr>
      <w:r>
        <w:rPr>
          <w:b/>
          <w:color w:val="374151"/>
          <w:sz w:val="24"/>
        </w:rPr>
        <w:t>Agente 3 — Motor de Regras e Cruzamento Geográfico (rules_engine.py)</w:t>
      </w:r>
    </w:p>
    <w:p>
      <w:r>
        <w:t>Núcleo de decisão securitária. Cruza a localização geográfica do alerta (estados e cidades abrangidas) com o portfólio de segurados e respectivas coberturas. Mapeia correlações técnicas de sinistralidade (ex.: Granizo -&gt; Automóvel, Residencial e Agrícola; Chuva Intensa -&gt; Residencial e Empresarial). Calcula score numérico de prioridade para envio e elimina comunicações redundantes através de chaves únicas de deduplicação.</w:t>
      </w:r>
    </w:p>
    <w:p>
      <w:pPr>
        <w:keepNext/>
        <w:spacing w:before="280" w:after="120"/>
      </w:pPr>
      <w:r>
        <w:rPr>
          <w:b/>
          <w:color w:val="374151"/>
          <w:sz w:val="24"/>
        </w:rPr>
        <w:t>Agente 4 — Comunicador Humanizado e Gerador de Mensagens (message_generator.py)</w:t>
      </w:r>
    </w:p>
    <w:p>
      <w:r>
        <w:t>Agente dotado de IA generativa (Google Gemini 2.0 Flash) que converte dados brutos e orientações de segurança da Defesa Civil em comunicações empáticas, claras e práticas. Gera variantes multicanal automáticas: versão completa (e-mail), versão curta compactada (SMS &lt;= 160 caracteres), WhatsApp estruturado e notificações Push, incluindo checklist de ações preventivas. Dispõe de templates de contingência para operação 100% offline.</w:t>
      </w:r>
    </w:p>
    <w:p>
      <w:pPr>
        <w:keepNext/>
        <w:spacing w:before="280" w:after="120"/>
      </w:pPr>
      <w:r>
        <w:rPr>
          <w:b/>
          <w:color w:val="1E3A8A"/>
          <w:sz w:val="28"/>
        </w:rPr>
        <w:t>4. FLUXO DE FUNCIONAMENTO DA APLICAÇÃO</w:t>
      </w:r>
    </w:p>
    <w:p>
      <w:r>
        <w:t>1. Acesso e Autenticação: O operador acessa a Landing Page, realiza login no sistema (autenticação JWT/API com fallback local de sessão) e entra no Dashboard operacional.</w:t>
      </w:r>
    </w:p>
    <w:p>
      <w:r>
        <w:t>2. Monitoramento e Inspeção Inicial: O operador visualiza os 20 segurados da carteira, podendo utilizar a busca interativa para filtrar por nome, município ou tipo de apólice.</w:t>
      </w:r>
    </w:p>
    <w:p>
      <w:r>
        <w:t>3. Disparo do Pipeline Multi-Agente: O clique no botão "Executar Pipeline" ativa o endpoint assíncrono POST /api/pipeline/run com feedback visual de carregamento e barra de progresso no topo.</w:t>
      </w:r>
    </w:p>
    <w:p>
      <w:r>
        <w:t>4. Coleta, Análise e Regras em Tempo Real: Os 4 agentes são executados em sequência, atualizando os indicadores numéricos (KPIs) com contadores animados.</w:t>
      </w:r>
    </w:p>
    <w:p>
      <w:r>
        <w:t>5. Emissão e Visualização das Notificações: Cada notificação gerada é apresentada em cartões com badges coloridas de criticidade. Ao clicar no cartão, um modal detalhado exibe a mensagem completa, SMS, checklist de prevenção e confirmação de envio.</w:t>
      </w:r>
    </w:p>
    <w:p>
      <w:pPr>
        <w:keepNext/>
        <w:spacing w:before="280" w:after="120"/>
      </w:pPr>
      <w:r>
        <w:rPr>
          <w:b/>
          <w:color w:val="1E3A8A"/>
          <w:sz w:val="28"/>
        </w:rPr>
        <w:t>5. CONSULTAS / DEMONSTRAÇÕES REALIZADAS</w:t>
      </w:r>
    </w:p>
    <w:p>
      <w:pPr>
        <w:keepNext/>
        <w:spacing w:before="280" w:after="120"/>
      </w:pPr>
      <w:r>
        <w:rPr>
          <w:b/>
          <w:color w:val="374151"/>
          <w:sz w:val="24"/>
        </w:rPr>
        <w:t>Demonstração 1 — Pipeline Operando com Alertas Reais do INMET</w:t>
      </w:r>
    </w:p>
    <w:p>
      <w:r>
        <w:t>Consulta ao vivo aos servidores do INMET (/avisos/ativos), efetuando o parsing dos dados GeoJSON/REST, normalizando municípios e identificando avisos meteorológicos ativos em território nacional.</w:t>
      </w:r>
    </w:p>
    <w:p>
      <w:pPr>
        <w:keepNext/>
        <w:spacing w:before="280" w:after="120"/>
      </w:pPr>
      <w:r>
        <w:rPr>
          <w:b/>
          <w:color w:val="374151"/>
          <w:sz w:val="24"/>
        </w:rPr>
        <w:t>Demonstração 2 — Modo de Demonstração e Resiliência sem Alertas</w:t>
      </w:r>
    </w:p>
    <w:p>
      <w:r>
        <w:t>Simulação automática de 3 eventos críticos com ampla abrangência geográfica: Tempestade no Sul/Sudeste (PR, SC, RS, SP), Chuva Intensa em MG/SP e Geada no Sul.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E3A8A"/>
          </w:tcPr>
          <w:p>
            <w:r>
              <w:rPr>
                <w:b/>
                <w:color w:val="FFFFFF"/>
              </w:rPr>
              <w:t>Evento Climático</w:t>
            </w:r>
          </w:p>
        </w:tc>
        <w:tc>
          <w:tcPr>
            <w:tcW w:type="dxa" w:w="2160"/>
            <w:shd w:fill="1E3A8A"/>
          </w:tcPr>
          <w:p>
            <w:r>
              <w:rPr>
                <w:b/>
                <w:color w:val="FFFFFF"/>
              </w:rPr>
              <w:t>Severidade</w:t>
            </w:r>
          </w:p>
        </w:tc>
        <w:tc>
          <w:tcPr>
            <w:tcW w:type="dxa" w:w="2160"/>
            <w:shd w:fill="1E3A8A"/>
          </w:tcPr>
          <w:p>
            <w:r>
              <w:rPr>
                <w:b/>
                <w:color w:val="FFFFFF"/>
              </w:rPr>
              <w:t>Região Afetada</w:t>
            </w:r>
          </w:p>
        </w:tc>
        <w:tc>
          <w:tcPr>
            <w:tcW w:type="dxa" w:w="2160"/>
            <w:shd w:fill="1E3A8A"/>
          </w:tcPr>
          <w:p>
            <w:r>
              <w:rPr>
                <w:b/>
                <w:color w:val="FFFFFF"/>
              </w:rPr>
              <w:t>Impacto Potencial</w:t>
            </w:r>
          </w:p>
        </w:tc>
      </w:tr>
      <w:tr>
        <w:tc>
          <w:tcPr>
            <w:tcW w:type="dxa" w:w="2160"/>
          </w:tcPr>
          <w:p>
            <w:r>
              <w:t>Tempestade Severa</w:t>
            </w:r>
          </w:p>
        </w:tc>
        <w:tc>
          <w:tcPr>
            <w:tcW w:type="dxa" w:w="2160"/>
          </w:tcPr>
          <w:p>
            <w:r>
              <w:t>MÉDIA / ALTA</w:t>
            </w:r>
          </w:p>
        </w:tc>
        <w:tc>
          <w:tcPr>
            <w:tcW w:type="dxa" w:w="2160"/>
          </w:tcPr>
          <w:p>
            <w:r>
              <w:t>PR, SC, RS, SP</w:t>
            </w:r>
          </w:p>
        </w:tc>
        <w:tc>
          <w:tcPr>
            <w:tcW w:type="dxa" w:w="2160"/>
          </w:tcPr>
          <w:p>
            <w:r>
              <w:t>Danos a veículos desprotegidos, destelhamentos e lavouras.</w:t>
            </w:r>
          </w:p>
        </w:tc>
      </w:tr>
      <w:tr>
        <w:tc>
          <w:tcPr>
            <w:tcW w:type="dxa" w:w="2160"/>
            <w:shd w:fill="F8FAFC"/>
          </w:tcPr>
          <w:p>
            <w:r>
              <w:t>Chuva Intensa</w:t>
            </w:r>
          </w:p>
        </w:tc>
        <w:tc>
          <w:tcPr>
            <w:tcW w:type="dxa" w:w="2160"/>
            <w:shd w:fill="F8FAFC"/>
          </w:tcPr>
          <w:p>
            <w:r>
              <w:t>ALTA</w:t>
            </w:r>
          </w:p>
        </w:tc>
        <w:tc>
          <w:tcPr>
            <w:tcW w:type="dxa" w:w="2160"/>
            <w:shd w:fill="F8FAFC"/>
          </w:tcPr>
          <w:p>
            <w:r>
              <w:t>MG, SP</w:t>
            </w:r>
          </w:p>
        </w:tc>
        <w:tc>
          <w:tcPr>
            <w:tcW w:type="dxa" w:w="2160"/>
            <w:shd w:fill="F8FAFC"/>
          </w:tcPr>
          <w:p>
            <w:r>
              <w:t>Alagamentos residenciais e inundação de galpões comerciais.</w:t>
            </w:r>
          </w:p>
        </w:tc>
      </w:tr>
      <w:tr>
        <w:tc>
          <w:tcPr>
            <w:tcW w:type="dxa" w:w="2160"/>
          </w:tcPr>
          <w:p>
            <w:r>
              <w:t>Geada</w:t>
            </w:r>
          </w:p>
        </w:tc>
        <w:tc>
          <w:tcPr>
            <w:tcW w:type="dxa" w:w="2160"/>
          </w:tcPr>
          <w:p>
            <w:r>
              <w:t>MÉDIA</w:t>
            </w:r>
          </w:p>
        </w:tc>
        <w:tc>
          <w:tcPr>
            <w:tcW w:type="dxa" w:w="2160"/>
          </w:tcPr>
          <w:p>
            <w:r>
              <w:t>PR, SC, RS</w:t>
            </w:r>
          </w:p>
        </w:tc>
        <w:tc>
          <w:tcPr>
            <w:tcW w:type="dxa" w:w="2160"/>
          </w:tcPr>
          <w:p>
            <w:r>
              <w:t>Perdas severas em pomares, cafezais e plantações agrícolas.</w:t>
            </w:r>
          </w:p>
        </w:tc>
      </w:tr>
    </w:tbl>
    <w:p>
      <w:pPr>
        <w:keepNext/>
        <w:spacing w:before="280" w:after="120"/>
      </w:pPr>
      <w:r>
        <w:rPr>
          <w:b/>
          <w:color w:val="374151"/>
          <w:sz w:val="24"/>
        </w:rPr>
        <w:t>Demonstração 3 — Raciocínio de Priorização do Motor de Regras</w:t>
      </w:r>
    </w:p>
    <w:p>
      <w:r>
        <w:t>O cruzamento dos 3 eventos com os 20 segurados resultou em 47 notificações específicas. Segurados com apólice de automóvel sob alerta de tempestade com risco de granizo receberam prioridade máxima (score 80 pts), seguidos por residências (score 70 pts).</w:t>
      </w:r>
    </w:p>
    <w:p>
      <w:pPr>
        <w:keepNext/>
        <w:spacing w:before="280" w:after="120"/>
      </w:pPr>
      <w:r>
        <w:rPr>
          <w:b/>
          <w:color w:val="374151"/>
          <w:sz w:val="24"/>
        </w:rPr>
        <w:t>Demonstração 4 — Mensagem Personalizada Gerada via Gemini 2.0 Flash</w:t>
      </w:r>
    </w:p>
    <w:p>
      <w:pPr>
        <w:spacing w:before="80" w:after="80"/>
        <w:ind w:left="576"/>
      </w:pPr>
      <w:r>
        <w:rPr>
          <w:color w:val="374151"/>
          <w:sz w:val="19"/>
        </w:rPr>
        <w:t>"⛈️ Alerta de Tempestade em Curitiba — Proteja seu Lar e Veículo</w:t>
        <w:br/>
        <w:t>Prezada Maria Silva,</w:t>
        <w:br/>
        <w:t>O INMET emitiu um alerta de tempestade severa para a região de Curitiba/PR. Como titular de apólice de seguro Residencial e Automóvel, recomendamos ações preventivas imediatas:</w:t>
        <w:br/>
        <w:t>• Guarde seu veículo em garagem coberta para prevenir avarias por granizo.</w:t>
        <w:br/>
        <w:t>• Recolha móveis de jardim, vasos e ferramentas externas.</w:t>
        <w:br/>
        <w:t>• Em caso de emergência, acione a Defesa Civil (199) ou Bombeiros (193).</w:t>
        <w:br/>
        <w:t>SMS: ⛈️ Alerta Curitiba: Tempestade c/ granizo. Guarde veículo em local coberto. Defesa Civil: 199"</w:t>
      </w:r>
    </w:p>
    <w:p>
      <w:pPr>
        <w:keepNext/>
        <w:spacing w:before="280" w:after="120"/>
      </w:pPr>
      <w:r>
        <w:rPr>
          <w:b/>
          <w:color w:val="374151"/>
          <w:sz w:val="24"/>
        </w:rPr>
        <w:t>Demonstração 5 — Contingência Offline por Templates Dinâmicos</w:t>
      </w:r>
    </w:p>
    <w:p>
      <w:pPr>
        <w:spacing w:before="80" w:after="80"/>
        <w:ind w:left="576"/>
      </w:pPr>
      <w:r>
        <w:rPr>
          <w:color w:val="374151"/>
          <w:sz w:val="19"/>
        </w:rPr>
        <w:t>"❄️ Alerta de Geada — Proteja sua Lavoura</w:t>
        <w:br/>
        <w:t>Prezada Fazenda São José Agrícola,</w:t>
        <w:br/>
        <w:t>Previsão de geada na região de Guarapuava/PR. Recomendações para seu seguro agrícola:</w:t>
        <w:br/>
        <w:t>• Acione medidas de irrigação por aspersão preventiva ou cobertura plástica se aplicável.</w:t>
        <w:br/>
        <w:t>• Abrigue o gado e animais jovens em galpões protegidos.</w:t>
        <w:br/>
        <w:t>SMS: ❄️ Alerta: Geada em Guarapuava. Proteja lavouras e tubulações contra congelamento."</w:t>
      </w:r>
    </w:p>
    <w:p>
      <w:pPr>
        <w:keepNext/>
        <w:spacing w:before="280" w:after="120"/>
      </w:pPr>
      <w:r>
        <w:rPr>
          <w:b/>
          <w:color w:val="1E3A8A"/>
          <w:sz w:val="28"/>
        </w:rPr>
        <w:t>6. DEMONSTRAÇÃO VISUAL DAS TELAS DA APLICAÇÃO</w:t>
      </w:r>
    </w:p>
    <w:p>
      <w:r>
        <w:t>● Landing Page (/): Página institucional moderna com proposta de valor, apresentação dos 4 agentes, estatísticas e botões de acesso direto.</w:t>
      </w:r>
    </w:p>
    <w:p>
      <w:r>
        <w:t>● Login (/login) e Registro (/register): Autenticação ágil com credenciais de demonstração (admin@insurealert.com.br / admin123) e indicador em tempo real de força de senha.</w:t>
      </w:r>
    </w:p>
    <w:p>
      <w:r>
        <w:t>● Dashboard Principal (/dashboard): Interface operacional rica contendo:</w:t>
      </w:r>
    </w:p>
    <w:p>
      <w:r>
        <w:t xml:space="preserve">  - Cards de KPIs com números atualizados dinamicamente (Alertas Coletados, Eventos Relevantes, Segurados Notificados e Notificações Geradas).</w:t>
      </w:r>
    </w:p>
    <w:p>
      <w:r>
        <w:t xml:space="preserve">  - Painel do Pipeline dos 4 Agentes com badges de execução e tempos de processamento.</w:t>
      </w:r>
    </w:p>
    <w:p>
      <w:r>
        <w:t xml:space="preserve">  - Listagem interativa de Eventos Climáticos com severidade em destaque.</w:t>
      </w:r>
    </w:p>
    <w:p>
      <w:r>
        <w:t xml:space="preserve">  - Painel de Notificações com prévia da mensagem e canal de envio (SMS, WhatsApp, E-mail, Push).</w:t>
      </w:r>
    </w:p>
    <w:p>
      <w:r>
        <w:t xml:space="preserve">  - Tabela com os 20 Segurados e filtro instantâneo de busca por nome, cidade ou tipo de seguro.</w:t>
      </w:r>
    </w:p>
    <w:p>
      <w:r>
        <w:t xml:space="preserve">  - Modal completo de detalhes da notificação exibindo texto completo, SMS de 160 caracteres e recomendações de segurança.</w:t>
      </w:r>
    </w:p>
    <w:p>
      <w:r>
        <w:t>----------------------------------------------------------------------</w:t>
      </w:r>
    </w:p>
    <w:p>
      <w:r>
        <w:rPr>
          <w:i/>
          <w:color w:val="374151"/>
          <w:sz w:val="18"/>
        </w:rPr>
        <w:t>Relatório Técnico — Desafio 5: Comunicação Proativa com Segurados — InsurMinds</w:t>
      </w:r>
    </w:p>
    <w:sectPr w:rsidR="00E65E4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845436875">
    <w:abstractNumId w:val="8"/>
  </w:num>
  <w:num w:numId="2" w16cid:durableId="138767839">
    <w:abstractNumId w:val="6"/>
  </w:num>
  <w:num w:numId="3" w16cid:durableId="808135303">
    <w:abstractNumId w:val="5"/>
  </w:num>
  <w:num w:numId="4" w16cid:durableId="984045802">
    <w:abstractNumId w:val="4"/>
  </w:num>
  <w:num w:numId="5" w16cid:durableId="395317778">
    <w:abstractNumId w:val="7"/>
  </w:num>
  <w:num w:numId="6" w16cid:durableId="1167136033">
    <w:abstractNumId w:val="3"/>
  </w:num>
  <w:num w:numId="7" w16cid:durableId="1486825157">
    <w:abstractNumId w:val="2"/>
  </w:num>
  <w:num w:numId="8" w16cid:durableId="907572669">
    <w:abstractNumId w:val="1"/>
  </w:num>
  <w:num w:numId="9" w16cid:durableId="519590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D71DA"/>
    <w:rsid w:val="005B28C0"/>
    <w:rsid w:val="006959BF"/>
    <w:rsid w:val="00A908D6"/>
    <w:rsid w:val="00AA1D8D"/>
    <w:rsid w:val="00B47730"/>
    <w:rsid w:val="00BA5F8D"/>
    <w:rsid w:val="00BB573E"/>
    <w:rsid w:val="00CB0664"/>
    <w:rsid w:val="00E65E40"/>
    <w:rsid w:val="00EC2E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422D49"/>
  <w14:defaultImageDpi w14:val="300"/>
  <w15:docId w15:val="{3BE9BC6D-4F51-4690-835D-B02F1D47F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1E3A8A"/>
      <w:sz w:val="32"/>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37415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E3A8A"/>
      <w:spacing w:val="5"/>
      <w:kern w:val="28"/>
      <w:sz w:val="48"/>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
    <w:name w:val="TableGrid"/>
    <w:rsid w:val="00EC2EB5"/>
    <w:pPr>
      <w:spacing w:after="0" w:line="240" w:lineRule="auto"/>
    </w:pPr>
    <w:rPr>
      <w:kern w:val="2"/>
      <w:sz w:val="24"/>
      <w:szCs w:val="24"/>
      <w:lang w:val="pt-BR" w:eastAsia="pt-BR"/>
      <w14:ligatures w14:val="standardContextual"/>
    </w:rPr>
    <w:tblPr>
      <w:tblCellMar>
        <w:top w:w="0" w:type="dxa"/>
        <w:left w:w="0" w:type="dxa"/>
        <w:bottom w:w="0" w:type="dxa"/>
        <w:right w:w="0" w:type="dxa"/>
      </w:tblCellMar>
    </w:tblPr>
  </w:style>
  <w:style w:type="character" w:styleId="Hyperlink">
    <w:name w:val="Hyperlink"/>
    <w:basedOn w:val="Fontepargpadro"/>
    <w:uiPriority w:val="99"/>
    <w:unhideWhenUsed/>
    <w:rsid w:val="00BA5F8D"/>
    <w:rPr>
      <w:color w:val="0000FF" w:themeColor="hyperlink"/>
      <w:u w:val="single"/>
    </w:rPr>
  </w:style>
  <w:style w:type="character" w:styleId="MenoPendente">
    <w:name w:val="Unresolved Mention"/>
    <w:basedOn w:val="Fontepargpadro"/>
    <w:uiPriority w:val="99"/>
    <w:semiHidden/>
    <w:unhideWhenUsed/>
    <w:rsid w:val="00BA5F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hyperlink" Target="https://insurminds-k2jblmjyqfkstptsror6bd.streamlit.app/"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jpscard/InsurMinds/tree/main/Desafio_4"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1673</Words>
  <Characters>9038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Audrey Branches</cp:lastModifiedBy>
  <cp:revision>4</cp:revision>
  <cp:lastPrinted>2026-08-17T01:15:00Z</cp:lastPrinted>
  <dcterms:created xsi:type="dcterms:W3CDTF">2026-08-17T01:15:00Z</dcterms:created>
  <dcterms:modified xsi:type="dcterms:W3CDTF">2026-08-17T01:45:00Z</dcterms:modified>
  <cp:category/>
</cp:coreProperties>
</file>