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Segoe UI" w:hAnsi="Segoe UI" w:eastAsia="Segoe UI"/>
          <w:b/>
          <w:i w:val="0"/>
          <w:color w:val="2563EB"/>
          <w:sz w:val="24"/>
        </w:rPr>
        <w:t>RELATÓRIO TÉCNICO — INSURMINDS PROJETO FINAL</w:t>
      </w:r>
    </w:p>
    <w:p>
      <w:pPr>
        <w:spacing w:after="280"/>
        <w:jc w:val="center"/>
      </w:pPr>
      <w:r>
        <w:rPr>
          <w:rFonts w:ascii="Segoe UI" w:hAnsi="Segoe UI" w:eastAsia="Segoe UI"/>
          <w:b/>
          <w:i w:val="0"/>
          <w:color w:val="0F2B48"/>
          <w:sz w:val="32"/>
        </w:rPr>
        <w:t>Apólis — Plataforma Inteligente para Análise e Comparação de Apólices D&amp;O</w:t>
      </w:r>
    </w:p>
    <w:p>
      <w:pPr>
        <w:spacing w:after="80" w:line="276" w:lineRule="auto"/>
      </w:pPr>
      <w:r>
        <w:rPr>
          <w:rFonts w:ascii="Segoe UI" w:hAnsi="Segoe UI" w:eastAsia="Segoe UI"/>
          <w:b/>
          <w:i w:val="0"/>
          <w:color w:val="1F2937"/>
          <w:sz w:val="20"/>
        </w:rPr>
        <w:t>Equipe: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JL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65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Nome</w:t>
            </w:r>
          </w:p>
        </w:tc>
        <w:tc>
          <w:tcPr>
            <w:tcW w:type="dxa" w:w="344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32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Telefone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Leonardo Pereira</w:t>
            </w:r>
          </w:p>
        </w:tc>
        <w:tc>
          <w:tcPr>
            <w:tcW w:type="dxa" w:w="344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ligueproleo@gmail.com</w:t>
            </w:r>
          </w:p>
        </w:tc>
        <w:tc>
          <w:tcPr>
            <w:tcW w:type="dxa" w:w="32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+55 11 98479-6122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João Cardoso</w:t>
            </w:r>
          </w:p>
        </w:tc>
        <w:tc>
          <w:tcPr>
            <w:tcW w:type="dxa" w:w="344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jpscardoso@ufpa.br</w:t>
            </w:r>
          </w:p>
        </w:tc>
        <w:tc>
          <w:tcPr>
            <w:tcW w:type="dxa" w:w="32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+55 91 98273-6292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Segoe UI" w:hAnsi="Segoe UI" w:eastAsia="Segoe UI"/>
          <w:b/>
          <w:i w:val="0"/>
          <w:color w:val="1F2937"/>
          <w:sz w:val="20"/>
        </w:rPr>
        <w:t>GitHub: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</w:t>
      </w:r>
      <w:hyperlink r:id="rId11">
        <w:r>
          <w:rPr>
            <w:rFonts w:ascii="Segoe UI" w:hAnsi="Segoe UI"/>
            <w:color w:val="2563EB"/>
            <w:u w:val="single"/>
            <w:sz w:val="20"/>
          </w:rPr>
          <w:t xml:space="preserve">github.com/jpscard/InsurMinds/tree/main/Projeto_Final</w:t>
        </w:r>
      </w:hyperlink>
    </w:p>
    <w:p>
      <w:pPr>
        <w:spacing w:after="80" w:line="276" w:lineRule="auto"/>
      </w:pPr>
      <w:r>
        <w:rPr>
          <w:rFonts w:ascii="Segoe UI" w:hAnsi="Segoe UI" w:eastAsia="Segoe UI"/>
          <w:b/>
          <w:i w:val="0"/>
          <w:color w:val="1F2937"/>
          <w:sz w:val="20"/>
        </w:rPr>
        <w:t>Aplicação online: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</w:t>
      </w:r>
      <w:hyperlink r:id="rId12">
        <w:r>
          <w:rPr>
            <w:rFonts w:ascii="Segoe UI" w:hAnsi="Segoe UI"/>
            <w:color w:val="2563EB"/>
            <w:u w:val="single"/>
            <w:sz w:val="20"/>
          </w:rPr>
          <w:t xml:space="preserve">insurminds.onrender.com</w:t>
        </w:r>
      </w:hyperlink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(landing page) · </w:t>
      </w:r>
      <w:hyperlink r:id="rId13">
        <w:r>
          <w:rPr>
            <w:rFonts w:ascii="Segoe UI" w:hAnsi="Segoe UI"/>
            <w:color w:val="2563EB"/>
            <w:u w:val="single"/>
            <w:sz w:val="20"/>
          </w:rPr>
          <w:t xml:space="preserve">insurminds.onrender.com/app</w:t>
        </w:r>
      </w:hyperlink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(plataforma)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E"/>
            <w:tcBorders>
              <w:top w:val="single" w:sz="8" w:space="0" w:color="DBEAFE"/>
              <w:left w:val="single" w:sz="8" w:space="0" w:color="2563EB"/>
              <w:bottom w:val="single" w:sz="8" w:space="0" w:color="DBEAFE"/>
              <w:right w:val="single" w:sz="8" w:space="0" w:color="DBEAF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Segoe UI" w:hAnsi="Segoe UI" w:eastAsia="Segoe UI"/>
                <w:b/>
                <w:i w:val="0"/>
                <w:color w:val="1F2937"/>
                <w:sz w:val="19"/>
              </w:rPr>
              <w:t>Resumo.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9"/>
              </w:rPr>
              <w:t xml:space="preserve"> O Apólis recebe apólices de seguro D&amp;O (Responsabilidade Civil de Administradores e Diretores) em PDF digital, PDF digitalizado ou imagem, lê o conteúdo com OCR quando necessário, usa IA generativa para estruturar coberturas, limites, franquias, exclusões e vigência, e permite </w:t>
            </w:r>
            <w:r>
              <w:rPr>
                <w:rFonts w:ascii="Segoe UI" w:hAnsi="Segoe UI" w:eastAsia="Segoe UI"/>
                <w:b/>
                <w:i w:val="0"/>
                <w:color w:val="1F2937"/>
                <w:sz w:val="19"/>
              </w:rPr>
              <w:t>comparar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9"/>
              </w:rPr>
              <w:t xml:space="preserve"> duas ou mais apólices lado a lado e </w:t>
            </w:r>
            <w:r>
              <w:rPr>
                <w:rFonts w:ascii="Segoe UI" w:hAnsi="Segoe UI" w:eastAsia="Segoe UI"/>
                <w:b/>
                <w:i w:val="0"/>
                <w:color w:val="1F2937"/>
                <w:sz w:val="19"/>
              </w:rPr>
              <w:t>consultar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9"/>
              </w:rPr>
              <w:t xml:space="preserve"> a carteira em linguagem natural. A consulta usa um </w:t>
            </w:r>
            <w:r>
              <w:rPr>
                <w:rFonts w:ascii="Segoe UI" w:hAnsi="Segoe UI" w:eastAsia="Segoe UI"/>
                <w:b/>
                <w:i w:val="0"/>
                <w:color w:val="1F2937"/>
                <w:sz w:val="19"/>
              </w:rPr>
              <w:t>RAG por raciocínio sobre o índice hierárquico de cada documento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9"/>
              </w:rPr>
              <w:t xml:space="preserve"> (abordagem PageIndex), orquestrado como um grafo </w:t>
            </w:r>
            <w:r>
              <w:rPr>
                <w:rFonts w:ascii="Segoe UI" w:hAnsi="Segoe UI" w:eastAsia="Segoe UI"/>
                <w:b/>
                <w:i w:val="0"/>
                <w:color w:val="1F2937"/>
                <w:sz w:val="19"/>
              </w:rPr>
              <w:t>LangGraph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9"/>
              </w:rPr>
              <w:t>, e cita a seção e a página de onde veio cada informação.</w:t>
            </w:r>
          </w:p>
        </w:tc>
      </w:tr>
    </w:tbl>
    <w:p>
      <w:pPr>
        <w:spacing w:after="40"/>
      </w:pPr>
    </w:p>
    <w:p>
      <w:pPr>
        <w:pStyle w:val="Heading1"/>
      </w:pPr>
      <w:r>
        <w:t>1. Framework e stack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Tecnologia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Papel na solução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API e servidor web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FastAPI + Uvicorn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Endpoints REST e entrega da interface; documentação automática em /docs.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Orquestração da consulta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LangGraph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Grafo com estado: roteador, navegador do índice, leitor, avaliador e respondedor, com arestas condicionais e ciclo de nova navegação.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IA generativa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Anthropic (Claude), OpenAI (GPT), Google (Gemini)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Provedor e modelo escolhidos pelo usuário; a lista de modelos vem da API do próprio provedor. Modo offline por regras para testes.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Leitura de documentos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pdfplumber, pypdfium2, Tesseract OCR (português)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Texto nativo quando existe; OCR página a página nas páginas digitalizadas e em imagens.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Modelo de dados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Pydantic v2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 xml:space="preserve">Esquema canônico </w:t>
            </w:r>
            <w:r>
              <w:rPr>
                <w:rFonts w:ascii="Consolas" w:hAnsi="Consolas" w:eastAsia="Consolas"/>
                <w:b w:val="0"/>
                <w:i w:val="0"/>
                <w:color w:val="0F172A"/>
                <w:sz w:val="16"/>
              </w:rPr>
              <w:t>ApoliceDO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, contrato entre os agentes e validação da saída da IA.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Armazenamento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SQLite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Dados relacionais (apólices, coberturas, exclusões), JSON completo, texto por página e índice de cada documento.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Interface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HTML, CSS e JavaScript sem framework e sem build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Landing page e plataforma com tema claro/escuro, responsivas, no mesmo design system do Desafio 5.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Exportação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reportlab, pandas + openpyxl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Relatório de comparação em PDF (com a marca Apólis, métricas, análise e detalhamento), planilha Excel e Markdown.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Deploy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Docker + Render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 xml:space="preserve">Imagem com Tesseract e português; deploy automático a cada push no </w:t>
            </w:r>
            <w:r>
              <w:rPr>
                <w:rFonts w:ascii="Consolas" w:hAnsi="Consolas" w:eastAsia="Consolas"/>
                <w:b w:val="0"/>
                <w:i w:val="0"/>
                <w:color w:val="0F172A"/>
                <w:sz w:val="16"/>
              </w:rPr>
              <w:t>main</w:t>
            </w: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Testes</w:t>
            </w:r>
          </w:p>
        </w:tc>
        <w:tc>
          <w:tcPr>
            <w:tcW w:type="dxa" w:w="182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pytest + TestClient</w:t>
            </w:r>
          </w:p>
        </w:tc>
        <w:tc>
          <w:tcPr>
            <w:tcW w:type="dxa" w:w="5813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47 testes automatizados, sem chave de API (LLM simulado e modo offline).</w:t>
            </w:r>
          </w:p>
        </w:tc>
      </w:tr>
    </w:tbl>
    <w:p>
      <w:pPr>
        <w:spacing w:after="40"/>
      </w:pPr>
    </w:p>
    <w:p>
      <w:pPr>
        <w:pStyle w:val="Heading1"/>
      </w:pPr>
      <w:r>
        <w:t>2. Arquitetura da solução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86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quite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Arquitetura em camadas do Apólis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Apresentação (</w:t>
      </w:r>
      <w:r>
        <w:rPr>
          <w:rFonts w:ascii="Consolas" w:hAnsi="Consolas" w:eastAsia="Consolas"/>
          <w:b/>
          <w:i w:val="0"/>
          <w:color w:val="0F172A"/>
          <w:sz w:val="18"/>
        </w:rPr>
        <w:t>web/</w:t>
      </w:r>
      <w:r>
        <w:rPr>
          <w:rFonts w:ascii="Segoe UI" w:hAnsi="Segoe UI" w:eastAsia="Segoe UI"/>
          <w:b/>
          <w:i w:val="0"/>
          <w:color w:val="1F2937"/>
          <w:sz w:val="19"/>
        </w:rPr>
        <w:t>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landing page em </w:t>
      </w:r>
      <w:r>
        <w:rPr>
          <w:rFonts w:ascii="Consolas" w:hAnsi="Consolas" w:eastAsia="Consolas"/>
          <w:b w:val="0"/>
          <w:i w:val="0"/>
          <w:color w:val="0F172A"/>
          <w:sz w:val="18"/>
        </w:rPr>
        <w:t>/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e plataforma em </w:t>
      </w:r>
      <w:r>
        <w:rPr>
          <w:rFonts w:ascii="Consolas" w:hAnsi="Consolas" w:eastAsia="Consolas"/>
          <w:b w:val="0"/>
          <w:i w:val="0"/>
          <w:color w:val="0F172A"/>
          <w:sz w:val="18"/>
        </w:rPr>
        <w:t>/app</w:t>
      </w:r>
      <w:r>
        <w:rPr>
          <w:rFonts w:ascii="Segoe UI" w:hAnsi="Segoe UI" w:eastAsia="Segoe UI"/>
          <w:b w:val="0"/>
          <w:i w:val="0"/>
          <w:color w:val="1F2937"/>
          <w:sz w:val="19"/>
        </w:rPr>
        <w:t>. O provedor, o modelo e a chave de API ficam no navegador e seguem em cabeçalhos a cada requisição; o servidor nunca grava a chave.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API (</w:t>
      </w:r>
      <w:r>
        <w:rPr>
          <w:rFonts w:ascii="Consolas" w:hAnsi="Consolas" w:eastAsia="Consolas"/>
          <w:b/>
          <w:i w:val="0"/>
          <w:color w:val="0F172A"/>
          <w:sz w:val="18"/>
        </w:rPr>
        <w:t>api/main.py</w:t>
      </w:r>
      <w:r>
        <w:rPr>
          <w:rFonts w:ascii="Segoe UI" w:hAnsi="Segoe UI" w:eastAsia="Segoe UI"/>
          <w:b/>
          <w:i w:val="0"/>
          <w:color w:val="1F2937"/>
          <w:sz w:val="19"/>
        </w:rPr>
        <w:t>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expõe envio, detalhe, revisão, índice e documento original das apólices; comparação e exportação; consulta por IA e SQL somente leitura; e a lista de modelos de cada provedor.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Pipeline (</w:t>
      </w:r>
      <w:r>
        <w:rPr>
          <w:rFonts w:ascii="Consolas" w:hAnsi="Consolas" w:eastAsia="Consolas"/>
          <w:b/>
          <w:i w:val="0"/>
          <w:color w:val="0F172A"/>
          <w:sz w:val="18"/>
        </w:rPr>
        <w:t>do_platform/pipeline.py</w:t>
      </w:r>
      <w:r>
        <w:rPr>
          <w:rFonts w:ascii="Segoe UI" w:hAnsi="Segoe UI" w:eastAsia="Segoe UI"/>
          <w:b/>
          <w:i w:val="0"/>
          <w:color w:val="1F2937"/>
          <w:sz w:val="19"/>
        </w:rPr>
        <w:t>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orquestra os agentes. Interface web, API e linha de comando usam só o pipeline, nunca os agentes diretamente.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Agentes (</w:t>
      </w:r>
      <w:r>
        <w:rPr>
          <w:rFonts w:ascii="Consolas" w:hAnsi="Consolas" w:eastAsia="Consolas"/>
          <w:b/>
          <w:i w:val="0"/>
          <w:color w:val="0F172A"/>
          <w:sz w:val="18"/>
        </w:rPr>
        <w:t>do_platform/agents</w:t>
      </w:r>
      <w:r>
        <w:rPr>
          <w:rFonts w:ascii="Segoe UI" w:hAnsi="Segoe UI" w:eastAsia="Segoe UI"/>
          <w:b/>
          <w:i w:val="0"/>
          <w:color w:val="1F2937"/>
          <w:sz w:val="19"/>
        </w:rPr>
        <w:t>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seis agentes especializados, cada um com uma responsabilidade e um prompt (seção 3).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Camada de LLM (</w:t>
      </w:r>
      <w:r>
        <w:rPr>
          <w:rFonts w:ascii="Consolas" w:hAnsi="Consolas" w:eastAsia="Consolas"/>
          <w:b/>
          <w:i w:val="0"/>
          <w:color w:val="0F172A"/>
          <w:sz w:val="18"/>
        </w:rPr>
        <w:t>do_platform/llm</w:t>
      </w:r>
      <w:r>
        <w:rPr>
          <w:rFonts w:ascii="Segoe UI" w:hAnsi="Segoe UI" w:eastAsia="Segoe UI"/>
          <w:b/>
          <w:i w:val="0"/>
          <w:color w:val="1F2937"/>
          <w:sz w:val="19"/>
        </w:rPr>
        <w:t>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interface única para Anthropic, OpenAI, Gemini e modo offline, com novas tentativas, backoff e leitura tolerante de JSON.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Armazenamento (SQLite):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modelo híbrido, com colunas relacionais para consultas SQL diretas e o JSON completo de cada apólice, além do texto original por página e da árvore de seções usada pela consulta.</w:t>
      </w:r>
    </w:p>
    <w:p>
      <w:pPr>
        <w:pStyle w:val="Heading1"/>
      </w:pPr>
      <w:r>
        <w:t>3. Descrição dos agentes desenvolvidos</w:t>
      </w:r>
    </w:p>
    <w:p>
      <w:pPr>
        <w:pStyle w:val="Heading2"/>
      </w:pPr>
      <w:r>
        <w:t>Agente 1 — Triagem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>Lê o início do documento e classifica: é uma apólice D&amp;O? É apólice, condições gerais, proposta ou cotação? Evita processar documentos errados e sinaliza ao usuário quando o arquivo não parece ser do tipo esperado.</w:t>
      </w:r>
    </w:p>
    <w:p>
      <w:pPr>
        <w:pStyle w:val="Heading2"/>
      </w:pPr>
      <w:r>
        <w:t>Agente 2 — Extração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Núcleo da solução. Lê a linguagem jurídica heterogênea das apólices e produz o JSON no esquema </w:t>
      </w:r>
      <w:r>
        <w:rPr>
          <w:rFonts w:ascii="Consolas" w:hAnsi="Consolas" w:eastAsia="Consolas"/>
          <w:b w:val="0"/>
          <w:i w:val="0"/>
          <w:color w:val="0F172A"/>
          <w:sz w:val="19"/>
        </w:rPr>
        <w:t>ApoliceDO</w:t>
      </w:r>
      <w:r>
        <w:rPr>
          <w:rFonts w:ascii="Segoe UI" w:hAnsi="Segoe UI" w:eastAsia="Segoe UI"/>
          <w:b w:val="0"/>
          <w:i w:val="0"/>
          <w:color w:val="1F2937"/>
          <w:sz w:val="20"/>
        </w:rPr>
        <w:t>: identificação, vigência, Limite Máximo de Garantia, prêmio, base de cobertura, retroatividade, prazo complementar, territorialidade, custos de defesa, coberturas (classificadas em Lado A, B e C), exclusões, franquias e segurados. Cada cobertura guarda o trecho de origem. Documentos longos são extraídos em blocos de páginas e consolidados (estratégia map-reduce).</w:t>
      </w:r>
    </w:p>
    <w:p>
      <w:pPr>
        <w:pStyle w:val="Heading2"/>
      </w:pPr>
      <w:r>
        <w:t>Agente 3 — Validação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>Revisor determinístico: normaliza datas e valores e aponta inconsistências, como sublimite maior que o LMG, vigência invertida ou campos ausentes. Não corrige em silêncio: gera alertas que aparecem na tela da apólice.</w:t>
      </w:r>
    </w:p>
    <w:p>
      <w:pPr>
        <w:pStyle w:val="Heading2"/>
      </w:pPr>
      <w:r>
        <w:t>Agente 4 — Indexação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Monta o </w:t>
      </w:r>
      <w:r>
        <w:rPr>
          <w:rFonts w:ascii="Segoe UI" w:hAnsi="Segoe UI" w:eastAsia="Segoe UI"/>
          <w:b/>
          <w:i w:val="0"/>
          <w:color w:val="1F2937"/>
          <w:sz w:val="20"/>
        </w:rPr>
        <w:t>sumário em árvore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de cada documento (abordagem PageIndex). A estrutura vem do próprio layout, sem IA: títulos em maiúsculas (EXCLUSÕES, CLÁUSULAS PARTICULARES) viram seções e cláusulas numeradas (1., 5.2, 5.2.1) viram subseções, com as páginas de cada uma. A IA só escreve um resumo curto das seções principais, numa única chamada por documento.</w:t>
      </w:r>
    </w:p>
    <w:p>
      <w:pPr>
        <w:pStyle w:val="Heading2"/>
      </w:pPr>
      <w:r>
        <w:t>Agente 5 — Comparação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As diferenças objetivas (valores, presença ou ausência de coberturas e exclusões, franquias, custo relativo prêmio/LMG) são </w:t>
      </w:r>
      <w:r>
        <w:rPr>
          <w:rFonts w:ascii="Segoe UI" w:hAnsi="Segoe UI" w:eastAsia="Segoe UI"/>
          <w:b/>
          <w:i w:val="0"/>
          <w:color w:val="1F2937"/>
          <w:sz w:val="20"/>
        </w:rPr>
        <w:t>calculadas por código</w:t>
      </w:r>
      <w:r>
        <w:rPr>
          <w:rFonts w:ascii="Segoe UI" w:hAnsi="Segoe UI" w:eastAsia="Segoe UI"/>
          <w:b w:val="0"/>
          <w:i w:val="0"/>
          <w:color w:val="1F2937"/>
          <w:sz w:val="20"/>
        </w:rPr>
        <w:t>, o que as torna exatas e reprodutíveis. Coberturas com nomes diferentes em cada seguradora são alinhadas por similaridade. Só depois a IA interpreta os fatos já calculados e redige a análise executiva, as diferenças-chave por impacto, os pontos de atenção e a recomendação.</w:t>
      </w:r>
    </w:p>
    <w:p>
      <w:pPr>
        <w:pStyle w:val="Heading2"/>
      </w:pPr>
      <w:r>
        <w:t>Agente 6 — Consulta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>Responde perguntas em linguagem natural navegando o índice das apólices, como descrito na seção 4.</w:t>
      </w:r>
    </w:p>
    <w:p>
      <w:pPr>
        <w:pStyle w:val="Heading1"/>
      </w:pPr>
      <w:r>
        <w:t>4. Consulta: RAG por raciocínio sobre o índice (PageIndex + LangGraph)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Apólices são contratos longos e estruturados, em que a resposta depende de achar a cláusula certa e ler o contexto dela (exceções, remissões a outras cláusulas). Em vez de dividir o texto em pedaços soltos e buscar por similaridade, a consulta segue a abordagem </w:t>
      </w:r>
      <w:r>
        <w:rPr>
          <w:rFonts w:ascii="Segoe UI" w:hAnsi="Segoe UI" w:eastAsia="Segoe UI"/>
          <w:b/>
          <w:i w:val="0"/>
          <w:color w:val="1F2937"/>
          <w:sz w:val="20"/>
        </w:rPr>
        <w:t>PageIndex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: cada documento vira uma árvore de seções com resumos, e a IA </w:t>
      </w:r>
      <w:r>
        <w:rPr>
          <w:rFonts w:ascii="Segoe UI" w:hAnsi="Segoe UI" w:eastAsia="Segoe UI"/>
          <w:b/>
          <w:i w:val="0"/>
          <w:color w:val="1F2937"/>
          <w:sz w:val="20"/>
        </w:rPr>
        <w:t>lê o sumário e decide o que abrir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, como um especialista folheando a apólice. A orquestração é um grafo </w:t>
      </w:r>
      <w:r>
        <w:rPr>
          <w:rFonts w:ascii="Segoe UI" w:hAnsi="Segoe UI" w:eastAsia="Segoe UI"/>
          <w:b/>
          <w:i w:val="0"/>
          <w:color w:val="1F2937"/>
          <w:sz w:val="20"/>
        </w:rPr>
        <w:t>LangGraph</w:t>
      </w:r>
      <w:r>
        <w:rPr>
          <w:rFonts w:ascii="Segoe UI" w:hAnsi="Segoe UI" w:eastAsia="Segoe UI"/>
          <w:b w:val="0"/>
          <w:i w:val="0"/>
          <w:color w:val="1F2937"/>
          <w:sz w:val="20"/>
        </w:rPr>
        <w:t>, no mesmo padrão de supervisor com arestas condicionais usado no projeto SeguraBot da equipe.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grafo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Grafo da consulta em LangGraph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Nó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O que faz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roteador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Decide se os dados já extraídos bastam ("qual tem o maior LMG?") ou se é preciso ler o documento ("a exclusão X tem exceções?").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navegador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Recebe o sumário de cada apólice (id, título, páginas e resumo, sem o texto) e escolhe até 6 seções, com o motivo. Ids inexistentes ou repetidos são descartados.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leitor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Traz o texto das seções escolhidas, incluindo as subseções.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avaliador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Verifica se o que foi lido basta; se não, informa o que falta e o grafo navega de novo (no máximo 2 rodadas).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busca_lexical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Busca por palavras-chave (BM25) nas seções: caminho do modo offline e reserva quando a navegação falha.</w:t>
            </w:r>
          </w:p>
        </w:tc>
      </w:tr>
      <w:tr>
        <w:trPr>
          <w:cantSplit/>
        </w:trPr>
        <w:tc>
          <w:tcPr>
            <w:tcW w:type="dxa" w:w="1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respondedor</w:t>
            </w:r>
          </w:p>
        </w:tc>
        <w:tc>
          <w:tcPr>
            <w:tcW w:type="dxa" w:w="76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Responde apenas com os dados estruturados e as seções lidas, citando apólice, seção e página.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Segoe UI" w:hAnsi="Segoe UI" w:eastAsia="Segoe UI"/>
          <w:b/>
          <w:i w:val="0"/>
          <w:color w:val="1F2937"/>
          <w:sz w:val="20"/>
        </w:rPr>
        <w:t>Decisões de projeto: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Multiprovedor: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os nós chamam a camada de LLM do projeto, e não os modelos do LangChain; por isso a consulta funciona com Claude, GPT ou Gemini. A biblioteca oficial do PageIndex não foi usada porque a versão open source só aceita OpenAI.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Transparência: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cada nó registra o que fez. A interface mostra esse "caminho da consulta" junto da resposta, e cada citação informa por que a seção foi aberta.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Resiliência: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se a IA devolver uma resposta inválida, o grafo segue por um caminho alternativo (busca por palavras) em vez de falhar.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Custo: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uma pergunta sobre cláusulas usa até 5 chamadas à IA (roteador, navegador, avaliador, segunda navegação e resposta); perguntas respondidas pelos dados estruturados usam 2.</w:t>
      </w:r>
    </w:p>
    <w:p>
      <w:pPr>
        <w:pStyle w:val="Heading1"/>
      </w:pPr>
      <w:r>
        <w:t>5. Fluxo de funcionamento da aplicação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1. </w:t>
      </w:r>
      <w:r>
        <w:rPr>
          <w:rFonts w:ascii="Segoe UI" w:hAnsi="Segoe UI" w:eastAsia="Segoe UI"/>
          <w:b/>
          <w:i w:val="0"/>
          <w:color w:val="1F2937"/>
          <w:sz w:val="19"/>
        </w:rPr>
        <w:t>Acesso: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 usuário abre a landing page e entra na plataforma. Em </w:t>
      </w:r>
      <w:r>
        <w:rPr>
          <w:rFonts w:ascii="Segoe UI" w:hAnsi="Segoe UI" w:eastAsia="Segoe UI"/>
          <w:b/>
          <w:i w:val="0"/>
          <w:color w:val="1F2937"/>
          <w:sz w:val="19"/>
        </w:rPr>
        <w:t>Modelo de IA</w:t>
      </w:r>
      <w:r>
        <w:rPr>
          <w:rFonts w:ascii="Segoe UI" w:hAnsi="Segoe UI" w:eastAsia="Segoe UI"/>
          <w:b w:val="0"/>
          <w:i w:val="0"/>
          <w:color w:val="1F2937"/>
          <w:sz w:val="19"/>
        </w:rPr>
        <w:t>, escolhe o provedor, cola a chave e seleciona o modelo na lista trazida da API do provedor (ou usa o modo offline).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2. </w:t>
      </w:r>
      <w:r>
        <w:rPr>
          <w:rFonts w:ascii="Segoe UI" w:hAnsi="Segoe UI" w:eastAsia="Segoe UI"/>
          <w:b/>
          <w:i w:val="0"/>
          <w:color w:val="1F2937"/>
          <w:sz w:val="19"/>
        </w:rPr>
        <w:t>Envio: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arrasta os PDFs ou imagens em </w:t>
      </w:r>
      <w:r>
        <w:rPr>
          <w:rFonts w:ascii="Segoe UI" w:hAnsi="Segoe UI" w:eastAsia="Segoe UI"/>
          <w:b/>
          <w:i w:val="0"/>
          <w:color w:val="1F2937"/>
          <w:sz w:val="19"/>
        </w:rPr>
        <w:t>Enviar documentos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. Cada arquivo entra numa fila e as etapas aparecem </w:t>
      </w:r>
      <w:r>
        <w:rPr>
          <w:rFonts w:ascii="Segoe UI" w:hAnsi="Segoe UI" w:eastAsia="Segoe UI"/>
          <w:b/>
          <w:i w:val="0"/>
          <w:color w:val="1F2937"/>
          <w:sz w:val="19"/>
        </w:rPr>
        <w:t>ao vivo</w:t>
      </w:r>
      <w:r>
        <w:rPr>
          <w:rFonts w:ascii="Segoe UI" w:hAnsi="Segoe UI" w:eastAsia="Segoe UI"/>
          <w:b w:val="0"/>
          <w:i w:val="0"/>
          <w:color w:val="1F2937"/>
          <w:sz w:val="19"/>
        </w:rPr>
        <w:t>, à medida que terminam (leitura, triagem, extração, validação, gravação e indexação).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3. </w:t>
      </w:r>
      <w:r>
        <w:rPr>
          <w:rFonts w:ascii="Segoe UI" w:hAnsi="Segoe UI" w:eastAsia="Segoe UI"/>
          <w:b/>
          <w:i w:val="0"/>
          <w:color w:val="1F2937"/>
          <w:sz w:val="19"/>
        </w:rPr>
        <w:t>Processamento: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leitura (com OCR quando preciso), triagem, extração, validação, armazenamento e indexação. Um arquivo já processado é reconhecido pelo hash e não é processado de novo, a menos que o usuário peça.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4. </w:t>
      </w:r>
      <w:r>
        <w:rPr>
          <w:rFonts w:ascii="Segoe UI" w:hAnsi="Segoe UI" w:eastAsia="Segoe UI"/>
          <w:b/>
          <w:i w:val="0"/>
          <w:color w:val="1F2937"/>
          <w:sz w:val="19"/>
        </w:rPr>
        <w:t>Carteira e detalhe: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a carteira lista as apólices com vigência, LMG, prêmio e custo relativo. O detalhe mostra os dados extraídos, os alertas da validação, o índice, o texto de cada página, o documento original e a </w:t>
      </w:r>
      <w:r>
        <w:rPr>
          <w:rFonts w:ascii="Segoe UI" w:hAnsi="Segoe UI" w:eastAsia="Segoe UI"/>
          <w:b/>
          <w:i w:val="0"/>
          <w:color w:val="1F2937"/>
          <w:sz w:val="19"/>
        </w:rPr>
        <w:t>revisão humana</w:t>
      </w:r>
      <w:r>
        <w:rPr>
          <w:rFonts w:ascii="Segoe UI" w:hAnsi="Segoe UI" w:eastAsia="Segoe UI"/>
          <w:b w:val="0"/>
          <w:i w:val="0"/>
          <w:color w:val="1F2937"/>
          <w:sz w:val="19"/>
        </w:rPr>
        <w:t>, em que o usuário corrige o JSON extraído.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5. </w:t>
      </w:r>
      <w:r>
        <w:rPr>
          <w:rFonts w:ascii="Segoe UI" w:hAnsi="Segoe UI" w:eastAsia="Segoe UI"/>
          <w:b/>
          <w:i w:val="0"/>
          <w:color w:val="1F2937"/>
          <w:sz w:val="19"/>
        </w:rPr>
        <w:t>Comparação: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 usuário escolhe duas ou mais apólices e recebe métricas lado a lado, análise executiva, pontos de atenção e o detalhamento de coberturas, exclusões e franquias, com exportação de um relatório completo em PDF, de uma planilha Excel e de Markdown.</w:t>
      </w:r>
    </w:p>
    <w:p>
      <w:pPr>
        <w:spacing w:after="60"/>
        <w:ind w:left="360" w:hanging="288"/>
      </w:pPr>
      <w:r>
        <w:rPr>
          <w:rFonts w:ascii="Segoe UI" w:hAnsi="Segoe UI" w:eastAsia="Segoe UI"/>
          <w:b/>
          <w:i w:val="0"/>
          <w:color w:val="1E3A8A"/>
          <w:sz w:val="19"/>
        </w:rPr>
        <w:t xml:space="preserve">6. </w:t>
      </w:r>
      <w:r>
        <w:rPr>
          <w:rFonts w:ascii="Segoe UI" w:hAnsi="Segoe UI" w:eastAsia="Segoe UI"/>
          <w:b/>
          <w:i w:val="0"/>
          <w:color w:val="1F2937"/>
          <w:sz w:val="19"/>
        </w:rPr>
        <w:t>Consulta: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perguntas em linguagem natural com citação de seção e página, ou consultas SQL somente leitura sobre a carteira. Enquanto a IA trabalha, a tela mostra os nós do grafo concluídos e o que está em andamento ("Leitor: abrindo as seções escolhidas…").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>No modo offline, o painel, a comparação e a consulta explicam o que o modo faz e oferecem ativar a IA; a comparação por regras classifica as diferenças pelo impacto e mostra as seis mais importantes primeiro.</w:t>
      </w:r>
    </w:p>
    <w:p>
      <w:pPr>
        <w:pStyle w:val="Heading1"/>
      </w:pPr>
      <w:r>
        <w:t>6. Demonstrações realizadas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As demonstrações abaixo foram executadas no </w:t>
      </w:r>
      <w:r>
        <w:rPr>
          <w:rFonts w:ascii="Segoe UI" w:hAnsi="Segoe UI" w:eastAsia="Segoe UI"/>
          <w:b/>
          <w:i w:val="0"/>
          <w:color w:val="1F2937"/>
          <w:sz w:val="20"/>
        </w:rPr>
        <w:t>modo offline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(extração por regras, sem chamar IA), para serem reproduzíveis por qualquer avaliador sem chave de API. Foram usados sete documentos </w:t>
      </w:r>
      <w:r>
        <w:rPr>
          <w:rFonts w:ascii="Segoe UI" w:hAnsi="Segoe UI" w:eastAsia="Segoe UI"/>
          <w:b/>
          <w:i w:val="0"/>
          <w:color w:val="1F2937"/>
          <w:sz w:val="20"/>
        </w:rPr>
        <w:t>fictícios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(seguradoras, tomadores e valores inventados): três apólices curtas do mesmo tomador, com condições propositalmente diferentes, para a comparação; duas apólices completas de 10 páginas, com condições particulares, gerais e especiais e cláusulas numeradas com subitens e exceções; e dois documentos que exercitam casos difíceis: uma apólice longa digitalizada e um documento de condições gerais, que não é uma apólice. Dois deles são PDFs só com imagem, para exercitar o OCR.</w:t>
      </w:r>
    </w:p>
    <w:p>
      <w:pPr>
        <w:pStyle w:val="Heading2"/>
      </w:pPr>
      <w:r>
        <w:t>Demonstração 1 — Processamento dos sete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Leitura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Coberturas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Exclusões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Seções no índice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Tempo total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Aurora · 1010.0045871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Apólice, PDF digital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2 páginas, texto nativo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23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0,24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Boreal · 7702.2026.00913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Apólice, PDF digital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2 páginas, texto nativo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22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0,12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Cruzeiro Austral · 3300.558120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Apólice, PDF digitalizado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2 páginas via OCR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19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3,94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Equinócio · 4400.771205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 completa, PDF digital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10 páginas, texto nativo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163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0,48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Meridiana · ME-2026-000517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 completa, PDF digital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10 páginas, texto nativo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177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0,57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Pampa · PS-88.2026.1142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Apólice, PDF digitalizado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6 páginas via OCR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101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15,80 s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Condições gerais Equinócio</w:t>
            </w:r>
          </w:p>
        </w:tc>
        <w:tc>
          <w:tcPr>
            <w:tcW w:type="dxa" w:w="165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Condições gerais, PDF digital</w:t>
            </w:r>
          </w:p>
        </w:tc>
        <w:tc>
          <w:tcPr>
            <w:tcW w:type="dxa" w:w="12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11 páginas, texto nativo</w:t>
            </w:r>
          </w:p>
        </w:tc>
        <w:tc>
          <w:tcPr>
            <w:tcW w:type="dxa" w:w="139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128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9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174</w:t>
            </w:r>
          </w:p>
        </w:tc>
        <w:tc>
          <w:tcPr>
            <w:tcW w:type="dxa" w:w="86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0,74 s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>A triagem reconheceu as seis apólices e identificou corretamente o documento de condições gerais como um documento que não é apólice. Nas apólices completas, as exceções das exclusões ("5.6.1 Exceção: não se aplica a ações derivativas de acionistas minoritários…") ficam ligadas à exclusão correspondente, e exclusões repetidas entre as condições particulares e gerais são unificadas. O OCR em português reconheceu as apólices digitalizadas com os acentos corretos na maior parte do texto; ainda aparecem erros pontuais típicos de digitalização (por exemplo, "Investigagdes" no lugar de "Investigações"), que a revisão humana permite corrigir.</w:t>
      </w:r>
    </w:p>
    <w:p>
      <w:pPr>
        <w:pStyle w:val="Heading2"/>
      </w:pPr>
      <w:r>
        <w:t>Demonstração 2 — Índice hierárquico de uma apólice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O índice da Boreal tem 22 seções: 8 de primeiro nível (Dados da apólice, Quadro de coberturas, Franquias, Segurados, Exclusões, Cláusulas particulares, Disposições finais e o cabeçalho) e as subseções numeradas. A seção </w:t>
      </w:r>
      <w:r>
        <w:rPr>
          <w:rFonts w:ascii="Segoe UI" w:hAnsi="Segoe UI" w:eastAsia="Segoe UI"/>
          <w:b/>
          <w:i w:val="0"/>
          <w:color w:val="1F2937"/>
          <w:sz w:val="20"/>
        </w:rPr>
        <w:t>EXCLUSÕES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(páginas 1 e 2) reúne 8 itens, entre eles "6. Segurado contra Segurado" e "8. Oferta pública de valores mobiliários". Linhas no formato "rótulo: valor", como "CNPJ: 00.000.001/0001-91", não são confundidas com títulos. Nos documentos longos, a árvore acompanha a numeração das cláusulas em três níveis: na Meridiana, por exemplo, </w:t>
      </w:r>
      <w:r>
        <w:rPr>
          <w:rFonts w:ascii="Segoe UI" w:hAnsi="Segoe UI" w:eastAsia="Segoe UI"/>
          <w:b/>
          <w:i w:val="0"/>
          <w:color w:val="1F2937"/>
          <w:sz w:val="20"/>
        </w:rPr>
        <w:t>CLÁUSULA 5 – RISCOS EXCLUÍDOS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→ </w:t>
      </w:r>
      <w:r>
        <w:rPr>
          <w:rFonts w:ascii="Segoe UI" w:hAnsi="Segoe UI" w:eastAsia="Segoe UI"/>
          <w:b/>
          <w:i w:val="0"/>
          <w:color w:val="1F2937"/>
          <w:sz w:val="20"/>
        </w:rPr>
        <w:t>5.6 Segurado contra Segurado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→ </w:t>
      </w:r>
      <w:r>
        <w:rPr>
          <w:rFonts w:ascii="Segoe UI" w:hAnsi="Segoe UI" w:eastAsia="Segoe UI"/>
          <w:b/>
          <w:i w:val="0"/>
          <w:color w:val="1F2937"/>
          <w:sz w:val="20"/>
        </w:rPr>
        <w:t>5.6.1 Exceção</w:t>
      </w:r>
      <w:r>
        <w:rPr>
          <w:rFonts w:ascii="Segoe UI" w:hAnsi="Segoe UI" w:eastAsia="Segoe UI"/>
          <w:b w:val="0"/>
          <w:i w:val="0"/>
          <w:color w:val="1F2937"/>
          <w:sz w:val="20"/>
        </w:rPr>
        <w:t>, e cada cobertura contratada tem o seu capítulo de condições especiais.</w:t>
      </w:r>
    </w:p>
    <w:p>
      <w:pPr>
        <w:pStyle w:val="Heading2"/>
      </w:pPr>
      <w:r>
        <w:t>Demonstração 3 — Comparação das três apólices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Aurora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Boreal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E3A8A"/>
            <w:tcBorders>
              <w:top w:val="single" w:sz="4" w:space="0" w:color="1E3A8A"/>
              <w:left w:val="nil"/>
              <w:bottom w:val="single" w:sz="4" w:space="0" w:color="1E3A8A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Cruzeiro Austral</w:t>
            </w:r>
          </w:p>
        </w:tc>
      </w:tr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Limite Máximo de Garantia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R$ 20 mi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R$ 15 mi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1F2937"/>
                <w:sz w:val="17"/>
              </w:rPr>
              <w:t>R$ 25 mi</w:t>
            </w:r>
          </w:p>
        </w:tc>
      </w:tr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Prêmio total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R$ 148,5 mil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R$ 96,3 mil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R$ 201 mil</w:t>
            </w:r>
          </w:p>
        </w:tc>
      </w:tr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Prêmio / LMG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0,743%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1F2937"/>
                <w:sz w:val="17"/>
              </w:rPr>
              <w:t>0,642%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0,804%</w:t>
            </w:r>
          </w:p>
        </w:tc>
      </w:tr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Coberturas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30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Exclusões</w:t>
            </w:r>
          </w:p>
        </w:tc>
        <w:tc>
          <w:tcPr>
            <w:tcW w:type="dxa" w:w="1939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190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20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1F2937"/>
                <w:sz w:val="17"/>
              </w:rPr>
              <w:t>4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Foram identificadas </w:t>
      </w:r>
      <w:r>
        <w:rPr>
          <w:rFonts w:ascii="Segoe UI" w:hAnsi="Segoe UI" w:eastAsia="Segoe UI"/>
          <w:b/>
          <w:i w:val="0"/>
          <w:color w:val="1F2937"/>
          <w:sz w:val="20"/>
        </w:rPr>
        <w:t>28 diferenças objetivas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. Entre os destaques: a cobertura de </w:t>
      </w:r>
      <w:r>
        <w:rPr>
          <w:rFonts w:ascii="Segoe UI" w:hAnsi="Segoe UI" w:eastAsia="Segoe UI"/>
          <w:b/>
          <w:i w:val="0"/>
          <w:color w:val="1F2937"/>
          <w:sz w:val="20"/>
        </w:rPr>
        <w:t>Lado C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(mercado de capitais) não está prevista na Boreal; custos emergenciais e gerenciamento de crise só existem na Aurora; a exclusão </w:t>
      </w:r>
      <w:r>
        <w:rPr>
          <w:rFonts w:ascii="Segoe UI" w:hAnsi="Segoe UI" w:eastAsia="Segoe UI"/>
          <w:b/>
          <w:i w:val="0"/>
          <w:color w:val="1F2937"/>
          <w:sz w:val="20"/>
        </w:rPr>
        <w:t>"Segurado contra Segurado"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aparece apenas na Boreal, que é mais restritiva nesse ponto; e a Cruzeiro Austral é a única com cobertura para investigações de órgãos reguladores.</w:t>
      </w:r>
    </w:p>
    <w:p>
      <w:pPr>
        <w:pStyle w:val="Heading2"/>
      </w:pPr>
      <w:r>
        <w:t>Demonstração 4 — Consulta com citação da seção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Pergunta: </w:t>
      </w:r>
      <w:r>
        <w:rPr>
          <w:rFonts w:ascii="Segoe UI" w:hAnsi="Segoe UI" w:eastAsia="Segoe UI"/>
          <w:b w:val="0"/>
          <w:i/>
          <w:color w:val="1F2937"/>
          <w:sz w:val="20"/>
        </w:rPr>
        <w:t>"Existe exclusão de Segurado contra Segurado?"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. No modo offline, o grafo segue pela busca por palavras nas seções do índice e traz em primeiro lugar a cláusula certa: </w:t>
      </w:r>
      <w:r>
        <w:rPr>
          <w:rFonts w:ascii="Segoe UI" w:hAnsi="Segoe UI" w:eastAsia="Segoe UI"/>
          <w:b/>
          <w:i w:val="0"/>
          <w:color w:val="1F2937"/>
          <w:sz w:val="20"/>
        </w:rPr>
        <w:t>Boreal · 6. Segurado contra Segurado · página 2</w:t>
      </w:r>
      <w:r>
        <w:rPr>
          <w:rFonts w:ascii="Segoe UI" w:hAnsi="Segoe UI" w:eastAsia="Segoe UI"/>
          <w:b w:val="0"/>
          <w:i w:val="0"/>
          <w:color w:val="1F2937"/>
          <w:sz w:val="20"/>
        </w:rPr>
        <w:t>. Com um provedor de IA configurado, o mesmo grafo segue pelo roteador e pelo navegador do índice, abre a seção EXCLUSÕES de cada apólice e redige a resposta citando seção e página, mostrando o caminho percorrido.</w:t>
      </w:r>
    </w:p>
    <w:p>
      <w:pPr>
        <w:pStyle w:val="Heading2"/>
      </w:pPr>
      <w:r>
        <w:t>Demonstração 5 — Ambiente público de demonstração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No site publicado, os sete documentos de exemplo vêm de uma </w:t>
      </w:r>
      <w:r>
        <w:rPr>
          <w:rFonts w:ascii="Segoe UI" w:hAnsi="Segoe UI" w:eastAsia="Segoe UI"/>
          <w:b/>
          <w:i w:val="0"/>
          <w:color w:val="1F2937"/>
          <w:sz w:val="20"/>
        </w:rPr>
        <w:t>base pré-processada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, gerada fora do servidor e importada ao iniciar: tudo fica disponível em cerca de 2 segundos, sem OCR nem chamadas à IA, mesmo quando o servidor "acorda" (o disco do plano gratuito é apagado a cada reinício). Antes, só o OCR das amostras digitalizadas levava minutos na CPU do plano gratuito. As amostras são </w:t>
      </w:r>
      <w:r>
        <w:rPr>
          <w:rFonts w:ascii="Segoe UI" w:hAnsi="Segoe UI" w:eastAsia="Segoe UI"/>
          <w:b/>
          <w:i w:val="0"/>
          <w:color w:val="1F2937"/>
          <w:sz w:val="20"/>
        </w:rPr>
        <w:t>protegidas</w:t>
      </w:r>
      <w:r>
        <w:rPr>
          <w:rFonts w:ascii="Segoe UI" w:hAnsi="Segoe UI" w:eastAsia="Segoe UI"/>
          <w:b w:val="0"/>
          <w:i w:val="0"/>
          <w:color w:val="1F2937"/>
          <w:sz w:val="20"/>
        </w:rPr>
        <w:t>: a tentativa de excluir ou editar uma delas retorna erro 403 com uma mensagem explicativa. Os envios são limitados a 20 MB por arquivo, e o servidor não tem nenhuma chave de API configurada: cada visitante usa o modo offline ou a própria chave.</w:t>
      </w:r>
    </w:p>
    <w:p>
      <w:pPr>
        <w:pStyle w:val="Heading1"/>
      </w:pPr>
      <w:r>
        <w:t>7. Demonstração visual das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7430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and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43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Segoe UI" w:hAnsi="Segoe UI" w:eastAsia="Segoe UI"/>
                <w:b w:val="0"/>
                <w:i/>
                <w:color w:val="64748B"/>
                <w:sz w:val="17"/>
              </w:rPr>
              <w:t>Landing page, tema escuro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7430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anding_cla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43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Segoe UI" w:hAnsi="Segoe UI" w:eastAsia="Segoe UI"/>
                <w:b w:val="0"/>
                <w:i/>
                <w:color w:val="64748B"/>
                <w:sz w:val="17"/>
              </w:rPr>
              <w:t>Landing page, tema claro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Painel com os indicadores da carteira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44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tei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Carteira de apólices com busca, filtro de vigência e seleção para comparar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ol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Detalhe da apólice: indicadores, visão geral, segurados e cláusulas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9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d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Aba Índice: sumário em árvore que a IA percorre na consulta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77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dice_lon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Índice de uma apólice completa de 10 páginas (Meridiana): 177 seções, com cláusulas, subitens e exceções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46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nvi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Envio de documentos com fila de processamento e apólices de exemplo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9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r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Comparação de três apólices: métricas, diferenças classificadas por impacto e pontos de atenção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071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latorio_p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Primeira página do relatório de comparação exportado em PDF, com a marca Apólis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46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sul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Consulta com citação de apólice, seção e página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7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ob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Página Sobre a solução: fluxo de processamento e camadas da arquitetura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4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bre_graf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Página Sobre a solução, aba Consulta: o grafo LangGraph desenhado no tema claro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40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i_doc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b w:val="0"/>
          <w:i/>
          <w:color w:val="64748B"/>
          <w:sz w:val="17"/>
        </w:rPr>
        <w:t>Figura: Documentação interativa da API (FastAPI)</w:t>
      </w:r>
    </w:p>
    <w:p>
      <w:pPr>
        <w:pStyle w:val="Heading1"/>
      </w:pPr>
      <w:r>
        <w:t>8. Qualidade e testes</w:t>
      </w:r>
    </w:p>
    <w:p>
      <w:pPr>
        <w:spacing w:after="80" w:line="276" w:lineRule="auto"/>
      </w:pP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A suíte tem </w:t>
      </w:r>
      <w:r>
        <w:rPr>
          <w:rFonts w:ascii="Segoe UI" w:hAnsi="Segoe UI" w:eastAsia="Segoe UI"/>
          <w:b/>
          <w:i w:val="0"/>
          <w:color w:val="1F2937"/>
          <w:sz w:val="20"/>
        </w:rPr>
        <w:t>47 testes automatizados</w:t>
      </w:r>
      <w:r>
        <w:rPr>
          <w:rFonts w:ascii="Segoe UI" w:hAnsi="Segoe UI" w:eastAsia="Segoe UI"/>
          <w:b w:val="0"/>
          <w:i w:val="0"/>
          <w:color w:val="1F2937"/>
          <w:sz w:val="20"/>
        </w:rPr>
        <w:t xml:space="preserve"> que rodam sem chave de API, usando o modo offline e um LLM simulado com respostas roteirizadas: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Ingestão e OCR: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PDF digital, PDF digitalizado e imagem; formatos inválidos.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Extração e validação: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extração em blocos e consolidação, correção de JSON fora do esquema, detecção de inconsistências.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Documentos longos: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extração das apólices completas (exclusões com exceções, sem duplicatas), triagem das condições gerais e índice com níveis contínuos.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Índice: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detecção de seções e subseções, numeração hierárquica, rótulos que não são títulos, índice por página quando não há estrutura, resumos pela IA e queda para resumos automáticos se a IA falhar.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Grafo de consulta: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navegação com segunda rodada, descarte de seções inexistentes ou repetidas, rota direta pelos dados estruturados, queda para busca por palavras quando a IA devolve JSON inválido, modo offline.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API: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envio, detalhe, revisão humana, exclusão, comparação e exportação, progresso ao vivo (streaming), consulta, SQL somente leitura, proteção das amostras no modo demonstração, limite de tamanho e tentativa de acessar arquivos fora da pasta de amostras.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Segurança: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cabeçalhos de segurança e política de conteúdo (CSP), consulta SQL sem fim interrompida, limite de páginas por documento.</w:t>
      </w:r>
    </w:p>
    <w:p>
      <w:pPr>
        <w:pStyle w:val="Heading1"/>
      </w:pPr>
      <w:r>
        <w:t>9. Deploy e operação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Plataforma: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Render, serviço Docker com </w:t>
      </w:r>
      <w:r>
        <w:rPr>
          <w:rFonts w:ascii="Segoe UI" w:hAnsi="Segoe UI" w:eastAsia="Segoe UI"/>
          <w:b w:val="0"/>
          <w:i/>
          <w:color w:val="1F2937"/>
          <w:sz w:val="19"/>
        </w:rPr>
        <w:t>Root Directory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</w:t>
      </w:r>
      <w:r>
        <w:rPr>
          <w:rFonts w:ascii="Consolas" w:hAnsi="Consolas" w:eastAsia="Consolas"/>
          <w:b w:val="0"/>
          <w:i w:val="0"/>
          <w:color w:val="0F172A"/>
          <w:sz w:val="18"/>
        </w:rPr>
        <w:t>Projeto_Final</w:t>
      </w:r>
      <w:r>
        <w:rPr>
          <w:rFonts w:ascii="Segoe UI" w:hAnsi="Segoe UI" w:eastAsia="Segoe UI"/>
          <w:b w:val="0"/>
          <w:i w:val="0"/>
          <w:color w:val="1F2937"/>
          <w:sz w:val="19"/>
        </w:rPr>
        <w:t>. A imagem instala o Tesseract com português e serve a API e a interface.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Atualização: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deploy automático a cada push no </w:t>
      </w:r>
      <w:r>
        <w:rPr>
          <w:rFonts w:ascii="Consolas" w:hAnsi="Consolas" w:eastAsia="Consolas"/>
          <w:b w:val="0"/>
          <w:i w:val="0"/>
          <w:color w:val="0F172A"/>
          <w:sz w:val="18"/>
        </w:rPr>
        <w:t>main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que altere a pasta do projeto (cerca de 3 a 4 minutos, sem tirar a versão anterior do ar durante o build).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Modo demonstração: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amostras carregadas na inicialização e protegidas, limite de envio e selo "Demonstração" na interface.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Limites do plano gratuito: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 servidor hiberna após 15 minutos sem uso (o primeiro acesso seguinte leva cerca de 50 segundos) e os documentos enviados são apagados a cada reinício.</w:t>
      </w:r>
    </w:p>
    <w:p>
      <w:pPr>
        <w:pStyle w:val="Heading1"/>
      </w:pPr>
      <w:r>
        <w:t>10. Segurança e privacidade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Chave de API: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fica apenas na aba do navegador, segue ao provedor em cada requisição e nunca é gravada no servidor.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Injeção de código na interface: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todo dado vindo dos documentos é escapado antes de ir para a tela, e uma política de conteúdo (CSP) só permite executar os scripts do próprio sistema. Uma falha desse tipo foi encontrada na revisão de segurança (datas e moeda extraídas eram exibidas sem escape) e corrigida, com a correção verificada no navegador.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Consultas SQL: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banco aberto em modo somente leitura, apenas um SELECT por vez, interrupção após 3 segundos e no máximo 5.000 linhas.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Documentos enviados: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limite de tamanho (20 MB) e de páginas (60 no ambiente público), e limite de resolução na renderização para OCR, para que um arquivo malicioso não esgote o servidor.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Ambiente público: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as amostras não podem ser alteradas nem excluídas, e a tela de envio avisa que os documentos enviados ficam visíveis para outros visitantes. Não há login nem separação por usuário (ver seção 11).</w:t>
      </w:r>
    </w:p>
    <w:p>
      <w:pPr>
        <w:pStyle w:val="ListBullet"/>
        <w:spacing w:after="40"/>
      </w:pPr>
      <w:r>
        <w:rPr>
          <w:rFonts w:ascii="Segoe UI" w:hAnsi="Segoe UI" w:eastAsia="Segoe UI"/>
          <w:b w:val="0"/>
          <w:i w:val="0"/>
          <w:color w:val="1F2937"/>
          <w:sz w:val="19"/>
        </w:rPr>
        <w:t>Os documentos de exemplo são fictícios; nenhum dado real de segurado é usado.</w:t>
      </w:r>
    </w:p>
    <w:p>
      <w:pPr>
        <w:pStyle w:val="Heading1"/>
      </w:pPr>
      <w:r>
        <w:t>11. Limitações e próximos passos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Condições gerais separadas: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muitas exclusões ficam nas Condições Gerais; se só a apólice for enviada, a comparação de exclusões fica incompleta.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Índice depende do layout: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documentos sem títulos nem cláusulas numeradas viram uma seção por página, e a navegação perde precisão.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Alinhamento de coberturas por similaridade de palavras: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nomes muito diferentes para o mesmo conceito podem não ser pareados.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OCR: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depende da qualidade da digitalização; tabelas complexas podem perder a estrutura.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Sem login: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no ambiente público todos os visitantes compartilham a mesma carteira; não há limite de requisições por visitante.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Avaliação quantitativa: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o próximo passo é montar um gabarito das apólices de exemplo e medir a taxa de acerto por campo com cada provedor de IA.</w:t>
      </w:r>
    </w:p>
    <w:p>
      <w:pPr>
        <w:pStyle w:val="ListBullet"/>
        <w:spacing w:after="40"/>
      </w:pPr>
      <w:r>
        <w:rPr>
          <w:rFonts w:ascii="Segoe UI" w:hAnsi="Segoe UI" w:eastAsia="Segoe UI"/>
          <w:b/>
          <w:i w:val="0"/>
          <w:color w:val="1F2937"/>
          <w:sz w:val="19"/>
        </w:rPr>
        <w:t>Evolução:</w:t>
      </w: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 memória de conversa no grafo de consulta (perguntas de acompanhamento), embeddings para o alinhamento de cláusulas, autenticação com carteira por usuário e fila de processamento para lotes grandes.</w:t>
      </w:r>
    </w:p>
    <w:p>
      <w:pPr>
        <w:pStyle w:val="Heading1"/>
      </w:pPr>
      <w:r>
        <w:t>12. Referências</w:t>
      </w:r>
    </w:p>
    <w:p>
      <w:pPr>
        <w:pStyle w:val="ListBullet"/>
        <w:spacing w:after="40"/>
      </w:pP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VectifyAI. PageIndex: vectorless, reasoning-based RAG. </w:t>
      </w:r>
      <w:hyperlink r:id="rId30">
        <w:r>
          <w:rPr>
            <w:rFonts w:ascii="Segoe UI" w:hAnsi="Segoe UI"/>
            <w:color w:val="2563EB"/>
            <w:u w:val="single"/>
            <w:sz w:val="19"/>
          </w:rPr>
          <w:t xml:space="preserve">https://github.com/VectifyAI/PageIndex</w:t>
        </w:r>
      </w:hyperlink>
    </w:p>
    <w:p>
      <w:pPr>
        <w:pStyle w:val="ListBullet"/>
        <w:spacing w:after="40"/>
      </w:pP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LangChain. LangGraph. </w:t>
      </w:r>
      <w:hyperlink r:id="rId31">
        <w:r>
          <w:rPr>
            <w:rFonts w:ascii="Segoe UI" w:hAnsi="Segoe UI"/>
            <w:color w:val="2563EB"/>
            <w:u w:val="single"/>
            <w:sz w:val="19"/>
          </w:rPr>
          <w:t xml:space="preserve">https://github.com/langchain-ai/langgraph</w:t>
        </w:r>
      </w:hyperlink>
    </w:p>
    <w:p>
      <w:pPr>
        <w:pStyle w:val="ListBullet"/>
        <w:spacing w:after="40"/>
      </w:pPr>
      <w:r>
        <w:rPr>
          <w:rFonts w:ascii="Segoe UI" w:hAnsi="Segoe UI" w:eastAsia="Segoe UI"/>
          <w:b w:val="0"/>
          <w:i w:val="0"/>
          <w:color w:val="1F2937"/>
          <w:sz w:val="19"/>
        </w:rPr>
        <w:t>SUSEP. Circular SUSEP nº 637, de 27 de julho de 2021 — seguros do grupo Responsabilidades, incluindo RC D&amp;O.</w:t>
      </w:r>
    </w:p>
    <w:p>
      <w:pPr>
        <w:pStyle w:val="ListBullet"/>
        <w:spacing w:after="40"/>
      </w:pPr>
      <w:r>
        <w:rPr>
          <w:rFonts w:ascii="Segoe UI" w:hAnsi="Segoe UI" w:eastAsia="Segoe UI"/>
          <w:b w:val="0"/>
          <w:i w:val="0"/>
          <w:color w:val="1F2937"/>
          <w:sz w:val="19"/>
        </w:rPr>
        <w:t xml:space="preserve">Tesseract OCR. </w:t>
      </w:r>
      <w:hyperlink r:id="rId32">
        <w:r>
          <w:rPr>
            <w:rFonts w:ascii="Segoe UI" w:hAnsi="Segoe UI"/>
            <w:color w:val="2563EB"/>
            <w:u w:val="single"/>
            <w:sz w:val="19"/>
          </w:rPr>
          <w:t xml:space="preserve">https://github.com/tesseract-ocr/tesseract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 w:eastAsia="Segoe UI"/>
        <w:b w:val="0"/>
        <w:i w:val="0"/>
        <w:color w:val="94A3B8"/>
        <w:sz w:val="17"/>
      </w:rPr>
      <w:t>InsurMinds — Projeto Final | Grupo JL (Leonardo Pereira &amp; João Cardoso)</w:t>
    </w:r>
    <w:r>
      <w:tab/>
      <w:tab/>
    </w:r>
    <w:r>
      <w:rPr>
        <w:rFonts w:ascii="Segoe UI" w:hAnsi="Segoe UI" w:eastAsia="Segoe UI"/>
        <w:b w:val="0"/>
        <w:i w:val="0"/>
        <w:color w:val="94A3B8"/>
        <w:sz w:val="17"/>
      </w:rPr>
      <w:fldChar w:fldCharType="begin"/>
    </w:r>
    <w:r>
      <w:rPr>
        <w:rFonts w:ascii="Segoe UI" w:hAnsi="Segoe UI" w:eastAsia="Segoe UI"/>
        <w:b w:val="0"/>
        <w:i w:val="0"/>
        <w:color w:val="94A3B8"/>
        <w:sz w:val="17"/>
      </w:rPr>
      <w:instrText xml:space="preserve">PAGE</w:instrText>
    </w:r>
    <w:r>
      <w:rPr>
        <w:rFonts w:ascii="Segoe UI" w:hAnsi="Segoe UI" w:eastAsia="Segoe UI"/>
        <w:b w:val="0"/>
        <w:i w:val="0"/>
        <w:color w:val="94A3B8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94A3B8"/>
        <w:sz w:val="17"/>
      </w:rPr>
      <w:t>Apólis — Projeto Final InsurMinds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majorHAnsi" w:cstheme="majorBidi" w:ascii="Segoe UI" w:hAnsi="Segoe UI"/>
      <w:b/>
      <w:bCs/>
      <w:color w:val="0F2B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" w:eastAsiaTheme="majorEastAsia" w:hAnsiTheme="majorHAnsi" w:cstheme="majorBidi" w:ascii="Segoe UI" w:hAnsi="Segoe UI"/>
      <w:b/>
      <w:bCs/>
      <w:color w:val="1E3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" w:eastAsiaTheme="majorEastAsia" w:hAnsiTheme="majorHAnsi" w:cstheme="majorBidi" w:ascii="Segoe UI" w:hAnsi="Segoe UI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pscard/InsurMinds/tree/main/Projeto_Final" TargetMode="External"/><Relationship Id="rId12" Type="http://schemas.openxmlformats.org/officeDocument/2006/relationships/hyperlink" Target="https://insurminds.onrender.com" TargetMode="External"/><Relationship Id="rId13" Type="http://schemas.openxmlformats.org/officeDocument/2006/relationships/hyperlink" Target="https://insurminds.onrender.com/app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hyperlink" Target="https://github.com/VectifyAI/PageIndex" TargetMode="External"/><Relationship Id="rId31" Type="http://schemas.openxmlformats.org/officeDocument/2006/relationships/hyperlink" Target="https://github.com/langchain-ai/langgraph" TargetMode="External"/><Relationship Id="rId32" Type="http://schemas.openxmlformats.org/officeDocument/2006/relationships/hyperlink" Target="https://github.com/tesseract-ocr/tesse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Apólis — Relatório Técnico do Projeto Final</dc:title>
  <dc:subject/>
  <dc:creator>Grupo JL (Leonardo Pereira &amp; João Cardoso)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