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Circle only the legal identifiers below.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6315"/>
        <w:tblGridChange w:id="0">
          <w:tblGrid>
            <w:gridCol w:w="3045"/>
            <w:gridCol w:w="6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paycheck</w:t>
            </w:r>
          </w:p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Paycheck</w:t>
            </w:r>
          </w:p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Pay check</w:t>
            </w:r>
          </w:p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static</w:t>
            </w:r>
          </w:p>
          <w:p w:rsidR="00000000" w:rsidDel="00000000" w:rsidP="00000000" w:rsidRDefault="00000000" w:rsidRPr="00000000" w14:paraId="0000000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float</w:t>
            </w:r>
          </w:p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#phone</w:t>
            </w:r>
          </w:p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Ay56we</w:t>
            </w:r>
          </w:p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Theater_Tickets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decimal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102Item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heightInInches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Zip23891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What would be a good variable name for each of the following items? 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Variable names should obey the following rules: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should start with a lowercase letter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should use camel casing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should do a good job of describing what it holds and how that is different from other variables in your code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should not be too long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 should not be too short (generally 3+ characters)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10"/>
        <w:gridCol w:w="4275"/>
        <w:tblGridChange w:id="0">
          <w:tblGrid>
            <w:gridCol w:w="501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Descriptive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Variable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Salary before tax on an employee’s biweekly paycheck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Salary after tax on an employee’s biweekly paycheck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Employee’s annual salary before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Total sales for the current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Average sales for the current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Average of past three test scores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Average of all test scores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Worst test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Best test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Most flaps in flappy bird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Fonts w:ascii="Courier New" w:cs="Courier New" w:eastAsia="Courier New" w:hAnsi="Courier New"/>
        <w:b w:val="1"/>
        <w:rtl w:val="0"/>
      </w:rPr>
      <w:t xml:space="preserve">Naming Conventions Handout</w:t>
    </w:r>
    <w:r w:rsidDel="00000000" w:rsidR="00000000" w:rsidRPr="00000000">
      <w:rPr>
        <w:rFonts w:ascii="Courier New" w:cs="Courier New" w:eastAsia="Courier New" w:hAnsi="Courier New"/>
        <w:rtl w:val="0"/>
      </w:rPr>
      <w:t xml:space="preserve">            Student Name: __________________________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