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Jamaica eTitles – SMD AI Extraction Cost Scenarios</w:t>
      </w:r>
    </w:p>
    <w:p>
      <w:pPr>
        <w:jc w:val="center"/>
      </w:pPr>
      <w:r>
        <w:rPr>
          <w:i/>
          <w:sz w:val="22"/>
        </w:rPr>
        <w:t>Working estimate based on observed ExtractionAssistant API usage and published NLA plan-checking volumes</w:t>
      </w:r>
    </w:p>
    <w:tbl>
      <w:tblPr>
        <w:tblW w:type="auto" w:w="0"/>
        <w:jc w:val="center"/>
        <w:tblLook w:firstColumn="1" w:firstRow="1" w:lastColumn="0" w:lastRow="0" w:noHBand="0" w:noVBand="1" w:val="04A0"/>
      </w:tblPr>
      <w:tblGrid>
        <w:gridCol w:w="10224"/>
      </w:tblGrid>
      <w:tr>
        <w:tc>
          <w:tcPr>
            <w:tcW w:type="dxa" w:w="10224"/>
            <w:shd w:fill="EAF2F8"/>
            <w:tcMar>
              <w:top w:w="120" w:type="dxa"/>
              <w:start w:w="120" w:type="dxa"/>
              <w:bottom w:w="120" w:type="dxa"/>
              <w:end w:w="120" w:type="dxa"/>
            </w:tcMar>
          </w:tcPr>
          <w:p>
            <w:r>
              <w:rPr>
                <w:b/>
                <w:color w:val="17365D"/>
              </w:rPr>
              <w:t xml:space="preserve">Executive conclusion. </w:t>
            </w:r>
            <w:r>
              <w:t>Using the current observed API spend of $0.56 for 126 ExtractionAssistant requests, the blended cost is approximately $0.00444 per request. With NLA processing about 12,000 survey plans per year and assuming 5–6 AI requests per plan, the current production-equivalent estimate is approximately $267–$320 per year. A conservative stress scenario, with higher volume, 10 requests per plan and twice the current unit cost, is approximately $1,333 per year.</w:t>
            </w:r>
          </w:p>
        </w:tc>
      </w:tr>
    </w:tbl>
    <w:p>
      <w:pPr>
        <w:pStyle w:val="Heading1"/>
      </w:pPr>
      <w:r>
        <w:t>1. Baseline Inputs</w:t>
      </w:r>
    </w:p>
    <w:p>
      <w:r>
        <w:t>The model combines two independent inputs: (1) measured OpenAI API usage from the ExtractionAssistant key, and (2) official NLA Surveys &amp; Mapping Division statistics for pre-checking survey plans.</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1F4E78"/>
            <w:vAlign w:val="center"/>
            <w:tcMar>
              <w:top w:w="70" w:type="dxa"/>
              <w:start w:w="70" w:type="dxa"/>
              <w:bottom w:w="70" w:type="dxa"/>
              <w:end w:w="70" w:type="dxa"/>
            </w:tcMar>
          </w:tcPr>
          <w:p>
            <w:r>
              <w:rPr>
                <w:b/>
                <w:color w:val="FFFFFF"/>
                <w:sz w:val="17"/>
              </w:rPr>
              <w:t>Metric</w:t>
            </w:r>
          </w:p>
        </w:tc>
        <w:tc>
          <w:tcPr>
            <w:tcW w:type="dxa" w:w="3168"/>
            <w:shd w:fill="1F4E78"/>
            <w:vAlign w:val="center"/>
            <w:tcMar>
              <w:top w:w="70" w:type="dxa"/>
              <w:start w:w="70" w:type="dxa"/>
              <w:bottom w:w="70" w:type="dxa"/>
              <w:end w:w="70" w:type="dxa"/>
            </w:tcMar>
          </w:tcPr>
          <w:p>
            <w:r>
              <w:rPr>
                <w:b/>
                <w:color w:val="FFFFFF"/>
                <w:sz w:val="17"/>
              </w:rPr>
              <w:t>Observed / Published Value</w:t>
            </w:r>
          </w:p>
        </w:tc>
        <w:tc>
          <w:tcPr>
            <w:tcW w:type="dxa" w:w="4608"/>
            <w:shd w:fill="1F4E78"/>
            <w:vAlign w:val="center"/>
            <w:tcMar>
              <w:top w:w="70" w:type="dxa"/>
              <w:start w:w="70" w:type="dxa"/>
              <w:bottom w:w="70" w:type="dxa"/>
              <w:end w:w="70" w:type="dxa"/>
            </w:tcMar>
          </w:tcPr>
          <w:p>
            <w:r>
              <w:rPr>
                <w:b/>
                <w:color w:val="FFFFFF"/>
                <w:sz w:val="17"/>
              </w:rPr>
              <w:t>Use in Model</w:t>
            </w:r>
          </w:p>
        </w:tc>
      </w:tr>
      <w:tr>
        <w:tc>
          <w:tcPr>
            <w:tcW w:type="dxa" w:w="3312"/>
            <w:vAlign w:val="center"/>
            <w:tcMar>
              <w:top w:w="70" w:type="dxa"/>
              <w:start w:w="70" w:type="dxa"/>
              <w:bottom w:w="70" w:type="dxa"/>
              <w:end w:w="70" w:type="dxa"/>
            </w:tcMar>
          </w:tcPr>
          <w:p>
            <w:r>
              <w:rPr>
                <w:sz w:val="17"/>
              </w:rPr>
              <w:t>ExtractionAssistant spend (last 30 days)</w:t>
            </w:r>
          </w:p>
        </w:tc>
        <w:tc>
          <w:tcPr>
            <w:tcW w:type="dxa" w:w="3168"/>
            <w:vAlign w:val="center"/>
            <w:tcMar>
              <w:top w:w="70" w:type="dxa"/>
              <w:start w:w="70" w:type="dxa"/>
              <w:bottom w:w="70" w:type="dxa"/>
              <w:end w:w="70" w:type="dxa"/>
            </w:tcMar>
          </w:tcPr>
          <w:p>
            <w:r>
              <w:rPr>
                <w:sz w:val="17"/>
              </w:rPr>
              <w:t>$0.56</w:t>
            </w:r>
          </w:p>
        </w:tc>
        <w:tc>
          <w:tcPr>
            <w:tcW w:type="dxa" w:w="4608"/>
            <w:vAlign w:val="center"/>
            <w:tcMar>
              <w:top w:w="70" w:type="dxa"/>
              <w:start w:w="70" w:type="dxa"/>
              <w:bottom w:w="70" w:type="dxa"/>
              <w:end w:w="70" w:type="dxa"/>
            </w:tcMar>
          </w:tcPr>
          <w:p>
            <w:r>
              <w:rPr>
                <w:sz w:val="17"/>
              </w:rPr>
              <w:t>Measured cost baseline</w:t>
            </w:r>
          </w:p>
        </w:tc>
      </w:tr>
      <w:tr>
        <w:tc>
          <w:tcPr>
            <w:tcW w:type="dxa" w:w="3312"/>
            <w:vAlign w:val="center"/>
            <w:tcMar>
              <w:top w:w="70" w:type="dxa"/>
              <w:start w:w="70" w:type="dxa"/>
              <w:bottom w:w="70" w:type="dxa"/>
              <w:end w:w="70" w:type="dxa"/>
            </w:tcMar>
          </w:tcPr>
          <w:p>
            <w:r>
              <w:rPr>
                <w:sz w:val="17"/>
              </w:rPr>
              <w:t>ExtractionAssistant requests</w:t>
            </w:r>
          </w:p>
        </w:tc>
        <w:tc>
          <w:tcPr>
            <w:tcW w:type="dxa" w:w="3168"/>
            <w:vAlign w:val="center"/>
            <w:tcMar>
              <w:top w:w="70" w:type="dxa"/>
              <w:start w:w="70" w:type="dxa"/>
              <w:bottom w:w="70" w:type="dxa"/>
              <w:end w:w="70" w:type="dxa"/>
            </w:tcMar>
          </w:tcPr>
          <w:p>
            <w:r>
              <w:rPr>
                <w:sz w:val="17"/>
              </w:rPr>
              <w:t>126</w:t>
            </w:r>
          </w:p>
        </w:tc>
        <w:tc>
          <w:tcPr>
            <w:tcW w:type="dxa" w:w="4608"/>
            <w:vAlign w:val="center"/>
            <w:tcMar>
              <w:top w:w="70" w:type="dxa"/>
              <w:start w:w="70" w:type="dxa"/>
              <w:bottom w:w="70" w:type="dxa"/>
              <w:end w:w="70" w:type="dxa"/>
            </w:tcMar>
          </w:tcPr>
          <w:p>
            <w:r>
              <w:rPr>
                <w:sz w:val="17"/>
              </w:rPr>
              <w:t>Measured request count</w:t>
            </w:r>
          </w:p>
        </w:tc>
      </w:tr>
      <w:tr>
        <w:tc>
          <w:tcPr>
            <w:tcW w:type="dxa" w:w="3312"/>
            <w:vAlign w:val="center"/>
            <w:tcMar>
              <w:top w:w="70" w:type="dxa"/>
              <w:start w:w="70" w:type="dxa"/>
              <w:bottom w:w="70" w:type="dxa"/>
              <w:end w:w="70" w:type="dxa"/>
            </w:tcMar>
          </w:tcPr>
          <w:p>
            <w:r>
              <w:rPr>
                <w:sz w:val="17"/>
              </w:rPr>
              <w:t>ExtractionAssistant tokens</w:t>
            </w:r>
          </w:p>
        </w:tc>
        <w:tc>
          <w:tcPr>
            <w:tcW w:type="dxa" w:w="3168"/>
            <w:vAlign w:val="center"/>
            <w:tcMar>
              <w:top w:w="70" w:type="dxa"/>
              <w:start w:w="70" w:type="dxa"/>
              <w:bottom w:w="70" w:type="dxa"/>
              <w:end w:w="70" w:type="dxa"/>
            </w:tcMar>
          </w:tcPr>
          <w:p>
            <w:r>
              <w:rPr>
                <w:sz w:val="17"/>
              </w:rPr>
              <w:t>592,404</w:t>
            </w:r>
          </w:p>
        </w:tc>
        <w:tc>
          <w:tcPr>
            <w:tcW w:type="dxa" w:w="4608"/>
            <w:vAlign w:val="center"/>
            <w:tcMar>
              <w:top w:w="70" w:type="dxa"/>
              <w:start w:w="70" w:type="dxa"/>
              <w:bottom w:w="70" w:type="dxa"/>
              <w:end w:w="70" w:type="dxa"/>
            </w:tcMar>
          </w:tcPr>
          <w:p>
            <w:r>
              <w:rPr>
                <w:sz w:val="17"/>
              </w:rPr>
              <w:t>Measured token volume</w:t>
            </w:r>
          </w:p>
        </w:tc>
      </w:tr>
      <w:tr>
        <w:tc>
          <w:tcPr>
            <w:tcW w:type="dxa" w:w="3312"/>
            <w:vAlign w:val="center"/>
            <w:tcMar>
              <w:top w:w="70" w:type="dxa"/>
              <w:start w:w="70" w:type="dxa"/>
              <w:bottom w:w="70" w:type="dxa"/>
              <w:end w:w="70" w:type="dxa"/>
            </w:tcMar>
          </w:tcPr>
          <w:p>
            <w:r>
              <w:rPr>
                <w:sz w:val="17"/>
              </w:rPr>
              <w:t>Average cost per request</w:t>
            </w:r>
          </w:p>
        </w:tc>
        <w:tc>
          <w:tcPr>
            <w:tcW w:type="dxa" w:w="3168"/>
            <w:vAlign w:val="center"/>
            <w:tcMar>
              <w:top w:w="70" w:type="dxa"/>
              <w:start w:w="70" w:type="dxa"/>
              <w:bottom w:w="70" w:type="dxa"/>
              <w:end w:w="70" w:type="dxa"/>
            </w:tcMar>
          </w:tcPr>
          <w:p>
            <w:r>
              <w:rPr>
                <w:sz w:val="17"/>
              </w:rPr>
              <w:t>$0.00444</w:t>
            </w:r>
          </w:p>
        </w:tc>
        <w:tc>
          <w:tcPr>
            <w:tcW w:type="dxa" w:w="4608"/>
            <w:vAlign w:val="center"/>
            <w:tcMar>
              <w:top w:w="70" w:type="dxa"/>
              <w:start w:w="70" w:type="dxa"/>
              <w:bottom w:w="70" w:type="dxa"/>
              <w:end w:w="70" w:type="dxa"/>
            </w:tcMar>
          </w:tcPr>
          <w:p>
            <w:r>
              <w:rPr>
                <w:sz w:val="17"/>
              </w:rPr>
              <w:t>Derived: $0.56 / 126</w:t>
            </w:r>
          </w:p>
        </w:tc>
      </w:tr>
      <w:tr>
        <w:tc>
          <w:tcPr>
            <w:tcW w:type="dxa" w:w="3312"/>
            <w:vAlign w:val="center"/>
            <w:tcMar>
              <w:top w:w="70" w:type="dxa"/>
              <w:start w:w="70" w:type="dxa"/>
              <w:bottom w:w="70" w:type="dxa"/>
              <w:end w:w="70" w:type="dxa"/>
            </w:tcMar>
          </w:tcPr>
          <w:p>
            <w:r>
              <w:rPr>
                <w:sz w:val="17"/>
              </w:rPr>
              <w:t>Average tokens per request</w:t>
            </w:r>
          </w:p>
        </w:tc>
        <w:tc>
          <w:tcPr>
            <w:tcW w:type="dxa" w:w="3168"/>
            <w:vAlign w:val="center"/>
            <w:tcMar>
              <w:top w:w="70" w:type="dxa"/>
              <w:start w:w="70" w:type="dxa"/>
              <w:bottom w:w="70" w:type="dxa"/>
              <w:end w:w="70" w:type="dxa"/>
            </w:tcMar>
          </w:tcPr>
          <w:p>
            <w:r>
              <w:rPr>
                <w:sz w:val="17"/>
              </w:rPr>
              <w:t>4,702</w:t>
            </w:r>
          </w:p>
        </w:tc>
        <w:tc>
          <w:tcPr>
            <w:tcW w:type="dxa" w:w="4608"/>
            <w:vAlign w:val="center"/>
            <w:tcMar>
              <w:top w:w="70" w:type="dxa"/>
              <w:start w:w="70" w:type="dxa"/>
              <w:bottom w:w="70" w:type="dxa"/>
              <w:end w:w="70" w:type="dxa"/>
            </w:tcMar>
          </w:tcPr>
          <w:p>
            <w:r>
              <w:rPr>
                <w:sz w:val="17"/>
              </w:rPr>
              <w:t>Derived: 592,404 / 126</w:t>
            </w:r>
          </w:p>
        </w:tc>
      </w:tr>
      <w:tr>
        <w:tc>
          <w:tcPr>
            <w:tcW w:type="dxa" w:w="3312"/>
            <w:vAlign w:val="center"/>
            <w:tcMar>
              <w:top w:w="70" w:type="dxa"/>
              <w:start w:w="70" w:type="dxa"/>
              <w:bottom w:w="70" w:type="dxa"/>
              <w:end w:w="70" w:type="dxa"/>
            </w:tcMar>
          </w:tcPr>
          <w:p>
            <w:r>
              <w:rPr>
                <w:sz w:val="17"/>
              </w:rPr>
              <w:t>FY 2022/23 plans checked</w:t>
            </w:r>
          </w:p>
        </w:tc>
        <w:tc>
          <w:tcPr>
            <w:tcW w:type="dxa" w:w="3168"/>
            <w:vAlign w:val="center"/>
            <w:tcMar>
              <w:top w:w="70" w:type="dxa"/>
              <w:start w:w="70" w:type="dxa"/>
              <w:bottom w:w="70" w:type="dxa"/>
              <w:end w:w="70" w:type="dxa"/>
            </w:tcMar>
          </w:tcPr>
          <w:p>
            <w:r>
              <w:rPr>
                <w:sz w:val="17"/>
              </w:rPr>
              <w:t>13,275</w:t>
            </w:r>
          </w:p>
        </w:tc>
        <w:tc>
          <w:tcPr>
            <w:tcW w:type="dxa" w:w="4608"/>
            <w:vAlign w:val="center"/>
            <w:tcMar>
              <w:top w:w="70" w:type="dxa"/>
              <w:start w:w="70" w:type="dxa"/>
              <w:bottom w:w="70" w:type="dxa"/>
              <w:end w:w="70" w:type="dxa"/>
            </w:tcMar>
          </w:tcPr>
          <w:p>
            <w:r>
              <w:rPr>
                <w:sz w:val="17"/>
              </w:rPr>
              <w:t>Published NLA actual</w:t>
            </w:r>
          </w:p>
        </w:tc>
      </w:tr>
      <w:tr>
        <w:tc>
          <w:tcPr>
            <w:tcW w:type="dxa" w:w="3312"/>
            <w:vAlign w:val="center"/>
            <w:tcMar>
              <w:top w:w="70" w:type="dxa"/>
              <w:start w:w="70" w:type="dxa"/>
              <w:bottom w:w="70" w:type="dxa"/>
              <w:end w:w="70" w:type="dxa"/>
            </w:tcMar>
          </w:tcPr>
          <w:p>
            <w:r>
              <w:rPr>
                <w:sz w:val="17"/>
              </w:rPr>
              <w:t>FY 2023/24 plans checked</w:t>
            </w:r>
          </w:p>
        </w:tc>
        <w:tc>
          <w:tcPr>
            <w:tcW w:type="dxa" w:w="3168"/>
            <w:vAlign w:val="center"/>
            <w:tcMar>
              <w:top w:w="70" w:type="dxa"/>
              <w:start w:w="70" w:type="dxa"/>
              <w:bottom w:w="70" w:type="dxa"/>
              <w:end w:w="70" w:type="dxa"/>
            </w:tcMar>
          </w:tcPr>
          <w:p>
            <w:r>
              <w:rPr>
                <w:sz w:val="17"/>
              </w:rPr>
              <w:t>11,845</w:t>
            </w:r>
          </w:p>
        </w:tc>
        <w:tc>
          <w:tcPr>
            <w:tcW w:type="dxa" w:w="4608"/>
            <w:vAlign w:val="center"/>
            <w:tcMar>
              <w:top w:w="70" w:type="dxa"/>
              <w:start w:w="70" w:type="dxa"/>
              <w:bottom w:w="70" w:type="dxa"/>
              <w:end w:w="70" w:type="dxa"/>
            </w:tcMar>
          </w:tcPr>
          <w:p>
            <w:r>
              <w:rPr>
                <w:sz w:val="17"/>
              </w:rPr>
              <w:t>Published NLA actual</w:t>
            </w:r>
          </w:p>
        </w:tc>
      </w:tr>
      <w:tr>
        <w:tc>
          <w:tcPr>
            <w:tcW w:type="dxa" w:w="3312"/>
            <w:vAlign w:val="center"/>
            <w:tcMar>
              <w:top w:w="70" w:type="dxa"/>
              <w:start w:w="70" w:type="dxa"/>
              <w:bottom w:w="70" w:type="dxa"/>
              <w:end w:w="70" w:type="dxa"/>
            </w:tcMar>
          </w:tcPr>
          <w:p>
            <w:r>
              <w:rPr>
                <w:sz w:val="17"/>
              </w:rPr>
              <w:t>Current planning target</w:t>
            </w:r>
          </w:p>
        </w:tc>
        <w:tc>
          <w:tcPr>
            <w:tcW w:type="dxa" w:w="3168"/>
            <w:vAlign w:val="center"/>
            <w:tcMar>
              <w:top w:w="70" w:type="dxa"/>
              <w:start w:w="70" w:type="dxa"/>
              <w:bottom w:w="70" w:type="dxa"/>
              <w:end w:w="70" w:type="dxa"/>
            </w:tcMar>
          </w:tcPr>
          <w:p>
            <w:r>
              <w:rPr>
                <w:sz w:val="17"/>
              </w:rPr>
              <w:t>12,000/year</w:t>
            </w:r>
          </w:p>
        </w:tc>
        <w:tc>
          <w:tcPr>
            <w:tcW w:type="dxa" w:w="4608"/>
            <w:vAlign w:val="center"/>
            <w:tcMar>
              <w:top w:w="70" w:type="dxa"/>
              <w:start w:w="70" w:type="dxa"/>
              <w:bottom w:w="70" w:type="dxa"/>
              <w:end w:w="70" w:type="dxa"/>
            </w:tcMar>
          </w:tcPr>
          <w:p>
            <w:r>
              <w:rPr>
                <w:sz w:val="17"/>
              </w:rPr>
              <w:t>Published NLA target</w:t>
            </w:r>
          </w:p>
        </w:tc>
      </w:tr>
    </w:tbl>
    <w:p>
      <w:r>
        <w:rPr>
          <w:b/>
        </w:rPr>
        <w:t xml:space="preserve">Important scope note: </w:t>
      </w:r>
      <w:r>
        <w:t>The NLA statistic is “Number of Plans Checked” under pre-checking of survey plans. It is a strong proxy for PE/PXA extraction workload, but it should not be interpreted as the total number of all SMD transactions such as map requests, RT examination, cadastral maintenance, or other services.</w:t>
      </w:r>
    </w:p>
    <w:p>
      <w:pPr>
        <w:pStyle w:val="Heading1"/>
      </w:pPr>
      <w:r>
        <w:t>2. Unit Economics of the Current Extraction Process</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1F4E78"/>
            <w:vAlign w:val="center"/>
            <w:tcMar>
              <w:top w:w="70" w:type="dxa"/>
              <w:start w:w="70" w:type="dxa"/>
              <w:bottom w:w="70" w:type="dxa"/>
              <w:end w:w="70" w:type="dxa"/>
            </w:tcMar>
          </w:tcPr>
          <w:p>
            <w:r>
              <w:rPr>
                <w:b/>
                <w:color w:val="FFFFFF"/>
                <w:sz w:val="17"/>
              </w:rPr>
              <w:t>Assumption</w:t>
            </w:r>
          </w:p>
        </w:tc>
        <w:tc>
          <w:tcPr>
            <w:tcW w:type="dxa" w:w="3888"/>
            <w:shd w:fill="1F4E78"/>
            <w:vAlign w:val="center"/>
            <w:tcMar>
              <w:top w:w="70" w:type="dxa"/>
              <w:start w:w="70" w:type="dxa"/>
              <w:bottom w:w="70" w:type="dxa"/>
              <w:end w:w="70" w:type="dxa"/>
            </w:tcMar>
          </w:tcPr>
          <w:p>
            <w:r>
              <w:rPr>
                <w:b/>
                <w:color w:val="FFFFFF"/>
                <w:sz w:val="17"/>
              </w:rPr>
              <w:t>Formula</w:t>
            </w:r>
          </w:p>
        </w:tc>
        <w:tc>
          <w:tcPr>
            <w:tcW w:type="dxa" w:w="3312"/>
            <w:shd w:fill="1F4E78"/>
            <w:vAlign w:val="center"/>
            <w:tcMar>
              <w:top w:w="70" w:type="dxa"/>
              <w:start w:w="70" w:type="dxa"/>
              <w:bottom w:w="70" w:type="dxa"/>
              <w:end w:w="70" w:type="dxa"/>
            </w:tcMar>
          </w:tcPr>
          <w:p>
            <w:r>
              <w:rPr>
                <w:b/>
                <w:color w:val="FFFFFF"/>
                <w:sz w:val="17"/>
              </w:rPr>
              <w:t>Result</w:t>
            </w:r>
          </w:p>
        </w:tc>
      </w:tr>
      <w:tr>
        <w:tc>
          <w:tcPr>
            <w:tcW w:type="dxa" w:w="3888"/>
            <w:vAlign w:val="center"/>
            <w:tcMar>
              <w:top w:w="70" w:type="dxa"/>
              <w:start w:w="70" w:type="dxa"/>
              <w:bottom w:w="70" w:type="dxa"/>
              <w:end w:w="70" w:type="dxa"/>
            </w:tcMar>
          </w:tcPr>
          <w:p>
            <w:r>
              <w:rPr>
                <w:sz w:val="17"/>
              </w:rPr>
              <w:t>Cost per API request</w:t>
            </w:r>
          </w:p>
        </w:tc>
        <w:tc>
          <w:tcPr>
            <w:tcW w:type="dxa" w:w="3888"/>
            <w:vAlign w:val="center"/>
            <w:tcMar>
              <w:top w:w="70" w:type="dxa"/>
              <w:start w:w="70" w:type="dxa"/>
              <w:bottom w:w="70" w:type="dxa"/>
              <w:end w:w="70" w:type="dxa"/>
            </w:tcMar>
          </w:tcPr>
          <w:p>
            <w:r>
              <w:rPr>
                <w:sz w:val="17"/>
              </w:rPr>
              <w:t>$0.56 / 126</w:t>
            </w:r>
          </w:p>
        </w:tc>
        <w:tc>
          <w:tcPr>
            <w:tcW w:type="dxa" w:w="3312"/>
            <w:vAlign w:val="center"/>
            <w:tcMar>
              <w:top w:w="70" w:type="dxa"/>
              <w:start w:w="70" w:type="dxa"/>
              <w:bottom w:w="70" w:type="dxa"/>
              <w:end w:w="70" w:type="dxa"/>
            </w:tcMar>
          </w:tcPr>
          <w:p>
            <w:r>
              <w:rPr>
                <w:sz w:val="17"/>
              </w:rPr>
              <w:t>$0.00444</w:t>
            </w:r>
          </w:p>
        </w:tc>
      </w:tr>
      <w:tr>
        <w:tc>
          <w:tcPr>
            <w:tcW w:type="dxa" w:w="3888"/>
            <w:vAlign w:val="center"/>
            <w:tcMar>
              <w:top w:w="70" w:type="dxa"/>
              <w:start w:w="70" w:type="dxa"/>
              <w:bottom w:w="70" w:type="dxa"/>
              <w:end w:w="70" w:type="dxa"/>
            </w:tcMar>
          </w:tcPr>
          <w:p>
            <w:r>
              <w:rPr>
                <w:sz w:val="17"/>
              </w:rPr>
              <w:t>Cost per plan – 5 requests</w:t>
            </w:r>
          </w:p>
        </w:tc>
        <w:tc>
          <w:tcPr>
            <w:tcW w:type="dxa" w:w="3888"/>
            <w:vAlign w:val="center"/>
            <w:tcMar>
              <w:top w:w="70" w:type="dxa"/>
              <w:start w:w="70" w:type="dxa"/>
              <w:bottom w:w="70" w:type="dxa"/>
              <w:end w:w="70" w:type="dxa"/>
            </w:tcMar>
          </w:tcPr>
          <w:p>
            <w:r>
              <w:rPr>
                <w:sz w:val="17"/>
              </w:rPr>
              <w:t>5 × $0.00444</w:t>
            </w:r>
          </w:p>
        </w:tc>
        <w:tc>
          <w:tcPr>
            <w:tcW w:type="dxa" w:w="3312"/>
            <w:vAlign w:val="center"/>
            <w:tcMar>
              <w:top w:w="70" w:type="dxa"/>
              <w:start w:w="70" w:type="dxa"/>
              <w:bottom w:w="70" w:type="dxa"/>
              <w:end w:w="70" w:type="dxa"/>
            </w:tcMar>
          </w:tcPr>
          <w:p>
            <w:r>
              <w:rPr>
                <w:sz w:val="17"/>
              </w:rPr>
              <w:t>$0.0222</w:t>
            </w:r>
          </w:p>
        </w:tc>
      </w:tr>
      <w:tr>
        <w:tc>
          <w:tcPr>
            <w:tcW w:type="dxa" w:w="3888"/>
            <w:vAlign w:val="center"/>
            <w:tcMar>
              <w:top w:w="70" w:type="dxa"/>
              <w:start w:w="70" w:type="dxa"/>
              <w:bottom w:w="70" w:type="dxa"/>
              <w:end w:w="70" w:type="dxa"/>
            </w:tcMar>
          </w:tcPr>
          <w:p>
            <w:r>
              <w:rPr>
                <w:sz w:val="17"/>
              </w:rPr>
              <w:t>Cost per plan – 6 requests</w:t>
            </w:r>
          </w:p>
        </w:tc>
        <w:tc>
          <w:tcPr>
            <w:tcW w:type="dxa" w:w="3888"/>
            <w:vAlign w:val="center"/>
            <w:tcMar>
              <w:top w:w="70" w:type="dxa"/>
              <w:start w:w="70" w:type="dxa"/>
              <w:bottom w:w="70" w:type="dxa"/>
              <w:end w:w="70" w:type="dxa"/>
            </w:tcMar>
          </w:tcPr>
          <w:p>
            <w:r>
              <w:rPr>
                <w:sz w:val="17"/>
              </w:rPr>
              <w:t>6 × $0.00444</w:t>
            </w:r>
          </w:p>
        </w:tc>
        <w:tc>
          <w:tcPr>
            <w:tcW w:type="dxa" w:w="3312"/>
            <w:vAlign w:val="center"/>
            <w:tcMar>
              <w:top w:w="70" w:type="dxa"/>
              <w:start w:w="70" w:type="dxa"/>
              <w:bottom w:w="70" w:type="dxa"/>
              <w:end w:w="70" w:type="dxa"/>
            </w:tcMar>
          </w:tcPr>
          <w:p>
            <w:r>
              <w:rPr>
                <w:sz w:val="17"/>
              </w:rPr>
              <w:t>$0.0267</w:t>
            </w:r>
          </w:p>
        </w:tc>
      </w:tr>
      <w:tr>
        <w:tc>
          <w:tcPr>
            <w:tcW w:type="dxa" w:w="3888"/>
            <w:vAlign w:val="center"/>
            <w:tcMar>
              <w:top w:w="70" w:type="dxa"/>
              <w:start w:w="70" w:type="dxa"/>
              <w:bottom w:w="70" w:type="dxa"/>
              <w:end w:w="70" w:type="dxa"/>
            </w:tcMar>
          </w:tcPr>
          <w:p>
            <w:r>
              <w:rPr>
                <w:sz w:val="17"/>
              </w:rPr>
              <w:t>Tokens per plan – 5 requests</w:t>
            </w:r>
          </w:p>
        </w:tc>
        <w:tc>
          <w:tcPr>
            <w:tcW w:type="dxa" w:w="3888"/>
            <w:vAlign w:val="center"/>
            <w:tcMar>
              <w:top w:w="70" w:type="dxa"/>
              <w:start w:w="70" w:type="dxa"/>
              <w:bottom w:w="70" w:type="dxa"/>
              <w:end w:w="70" w:type="dxa"/>
            </w:tcMar>
          </w:tcPr>
          <w:p>
            <w:r>
              <w:rPr>
                <w:sz w:val="17"/>
              </w:rPr>
              <w:t>5 × 4,702</w:t>
            </w:r>
          </w:p>
        </w:tc>
        <w:tc>
          <w:tcPr>
            <w:tcW w:type="dxa" w:w="3312"/>
            <w:vAlign w:val="center"/>
            <w:tcMar>
              <w:top w:w="70" w:type="dxa"/>
              <w:start w:w="70" w:type="dxa"/>
              <w:bottom w:w="70" w:type="dxa"/>
              <w:end w:w="70" w:type="dxa"/>
            </w:tcMar>
          </w:tcPr>
          <w:p>
            <w:r>
              <w:rPr>
                <w:sz w:val="17"/>
              </w:rPr>
              <w:t>23,508</w:t>
            </w:r>
          </w:p>
        </w:tc>
      </w:tr>
      <w:tr>
        <w:tc>
          <w:tcPr>
            <w:tcW w:type="dxa" w:w="3888"/>
            <w:vAlign w:val="center"/>
            <w:tcMar>
              <w:top w:w="70" w:type="dxa"/>
              <w:start w:w="70" w:type="dxa"/>
              <w:bottom w:w="70" w:type="dxa"/>
              <w:end w:w="70" w:type="dxa"/>
            </w:tcMar>
          </w:tcPr>
          <w:p>
            <w:r>
              <w:rPr>
                <w:sz w:val="17"/>
              </w:rPr>
              <w:t>Tokens per plan – 6 requests</w:t>
            </w:r>
          </w:p>
        </w:tc>
        <w:tc>
          <w:tcPr>
            <w:tcW w:type="dxa" w:w="3888"/>
            <w:vAlign w:val="center"/>
            <w:tcMar>
              <w:top w:w="70" w:type="dxa"/>
              <w:start w:w="70" w:type="dxa"/>
              <w:bottom w:w="70" w:type="dxa"/>
              <w:end w:w="70" w:type="dxa"/>
            </w:tcMar>
          </w:tcPr>
          <w:p>
            <w:r>
              <w:rPr>
                <w:sz w:val="17"/>
              </w:rPr>
              <w:t>6 × 4,702</w:t>
            </w:r>
          </w:p>
        </w:tc>
        <w:tc>
          <w:tcPr>
            <w:tcW w:type="dxa" w:w="3312"/>
            <w:vAlign w:val="center"/>
            <w:tcMar>
              <w:top w:w="70" w:type="dxa"/>
              <w:start w:w="70" w:type="dxa"/>
              <w:bottom w:w="70" w:type="dxa"/>
              <w:end w:w="70" w:type="dxa"/>
            </w:tcMar>
          </w:tcPr>
          <w:p>
            <w:r>
              <w:rPr>
                <w:sz w:val="17"/>
              </w:rPr>
              <w:t>28,210</w:t>
            </w:r>
          </w:p>
        </w:tc>
      </w:tr>
    </w:tbl>
    <w:p>
      <w:r>
        <w:rPr>
          <w:b/>
        </w:rPr>
        <w:t xml:space="preserve">Interpretation: </w:t>
      </w:r>
      <w:r>
        <w:t>At today’s observed blended rate, five to six ExtractionAssistant calls represent only about 2.2–2.7 cents of API expenditure per plan. This is an observed test-period average, not a guaranteed future price.</w:t>
      </w:r>
    </w:p>
    <w:p>
      <w:pPr>
        <w:pStyle w:val="Heading1"/>
      </w:pPr>
      <w:r>
        <w:t>3. Annual Production Scenarios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448"/>
            <w:shd w:fill="1F4E78"/>
            <w:vAlign w:val="center"/>
            <w:tcMar>
              <w:top w:w="70" w:type="dxa"/>
              <w:start w:w="70" w:type="dxa"/>
              <w:bottom w:w="70" w:type="dxa"/>
              <w:end w:w="70" w:type="dxa"/>
            </w:tcMar>
          </w:tcPr>
          <w:p>
            <w:r>
              <w:rPr>
                <w:b/>
                <w:color w:val="FFFFFF"/>
                <w:sz w:val="17"/>
              </w:rPr>
              <w:t>Scenario</w:t>
            </w:r>
          </w:p>
        </w:tc>
        <w:tc>
          <w:tcPr>
            <w:tcW w:type="dxa" w:w="1440"/>
            <w:shd w:fill="1F4E78"/>
            <w:vAlign w:val="center"/>
            <w:tcMar>
              <w:top w:w="70" w:type="dxa"/>
              <w:start w:w="70" w:type="dxa"/>
              <w:bottom w:w="70" w:type="dxa"/>
              <w:end w:w="70" w:type="dxa"/>
            </w:tcMar>
          </w:tcPr>
          <w:p>
            <w:r>
              <w:rPr>
                <w:b/>
                <w:color w:val="FFFFFF"/>
                <w:sz w:val="17"/>
              </w:rPr>
              <w:t>Plans / Year</w:t>
            </w:r>
          </w:p>
        </w:tc>
        <w:tc>
          <w:tcPr>
            <w:tcW w:type="dxa" w:w="1296"/>
            <w:shd w:fill="1F4E78"/>
            <w:vAlign w:val="center"/>
            <w:tcMar>
              <w:top w:w="70" w:type="dxa"/>
              <w:start w:w="70" w:type="dxa"/>
              <w:bottom w:w="70" w:type="dxa"/>
              <w:end w:w="70" w:type="dxa"/>
            </w:tcMar>
          </w:tcPr>
          <w:p>
            <w:r>
              <w:rPr>
                <w:b/>
                <w:color w:val="FFFFFF"/>
                <w:sz w:val="17"/>
              </w:rPr>
              <w:t>Requests / Plan</w:t>
            </w:r>
          </w:p>
        </w:tc>
        <w:tc>
          <w:tcPr>
            <w:tcW w:type="dxa" w:w="1296"/>
            <w:shd w:fill="1F4E78"/>
            <w:vAlign w:val="center"/>
            <w:tcMar>
              <w:top w:w="70" w:type="dxa"/>
              <w:start w:w="70" w:type="dxa"/>
              <w:bottom w:w="70" w:type="dxa"/>
              <w:end w:w="70" w:type="dxa"/>
            </w:tcMar>
          </w:tcPr>
          <w:p>
            <w:r>
              <w:rPr>
                <w:b/>
                <w:color w:val="FFFFFF"/>
                <w:sz w:val="17"/>
              </w:rPr>
              <w:t>Unit-Cost Factor</w:t>
            </w:r>
          </w:p>
        </w:tc>
        <w:tc>
          <w:tcPr>
            <w:tcW w:type="dxa" w:w="1728"/>
            <w:shd w:fill="1F4E78"/>
            <w:vAlign w:val="center"/>
            <w:tcMar>
              <w:top w:w="70" w:type="dxa"/>
              <w:start w:w="70" w:type="dxa"/>
              <w:bottom w:w="70" w:type="dxa"/>
              <w:end w:w="70" w:type="dxa"/>
            </w:tcMar>
          </w:tcPr>
          <w:p>
            <w:r>
              <w:rPr>
                <w:b/>
                <w:color w:val="FFFFFF"/>
                <w:sz w:val="17"/>
              </w:rPr>
              <w:t>API Requests / Year</w:t>
            </w:r>
          </w:p>
        </w:tc>
        <w:tc>
          <w:tcPr>
            <w:tcW w:type="dxa" w:w="1440"/>
            <w:shd w:fill="1F4E78"/>
            <w:vAlign w:val="center"/>
            <w:tcMar>
              <w:top w:w="70" w:type="dxa"/>
              <w:start w:w="70" w:type="dxa"/>
              <w:bottom w:w="70" w:type="dxa"/>
              <w:end w:w="70" w:type="dxa"/>
            </w:tcMar>
          </w:tcPr>
          <w:p>
            <w:r>
              <w:rPr>
                <w:b/>
                <w:color w:val="FFFFFF"/>
                <w:sz w:val="17"/>
              </w:rPr>
              <w:t>Annual Cost</w:t>
            </w:r>
          </w:p>
        </w:tc>
        <w:tc>
          <w:tcPr>
            <w:tcW w:type="dxa" w:w="1440"/>
            <w:shd w:fill="1F4E78"/>
            <w:vAlign w:val="center"/>
            <w:tcMar>
              <w:top w:w="70" w:type="dxa"/>
              <w:start w:w="70" w:type="dxa"/>
              <w:bottom w:w="70" w:type="dxa"/>
              <w:end w:w="70" w:type="dxa"/>
            </w:tcMar>
          </w:tcPr>
          <w:p>
            <w:r>
              <w:rPr>
                <w:b/>
                <w:color w:val="FFFFFF"/>
                <w:sz w:val="17"/>
              </w:rPr>
              <w:t>Monthly Avg.</w:t>
            </w:r>
          </w:p>
        </w:tc>
      </w:tr>
      <w:tr>
        <w:tc>
          <w:tcPr>
            <w:tcW w:type="dxa" w:w="2448"/>
            <w:vAlign w:val="center"/>
            <w:tcMar>
              <w:top w:w="70" w:type="dxa"/>
              <w:start w:w="70" w:type="dxa"/>
              <w:bottom w:w="70" w:type="dxa"/>
              <w:end w:w="70" w:type="dxa"/>
            </w:tcMar>
          </w:tcPr>
          <w:p>
            <w:r>
              <w:rPr>
                <w:sz w:val="17"/>
              </w:rPr>
              <w:t>Optimized / Lower Actual</w:t>
            </w:r>
          </w:p>
        </w:tc>
        <w:tc>
          <w:tcPr>
            <w:tcW w:type="dxa" w:w="1440"/>
            <w:vAlign w:val="center"/>
            <w:tcMar>
              <w:top w:w="70" w:type="dxa"/>
              <w:start w:w="70" w:type="dxa"/>
              <w:bottom w:w="70" w:type="dxa"/>
              <w:end w:w="70" w:type="dxa"/>
            </w:tcMar>
          </w:tcPr>
          <w:p>
            <w:r>
              <w:rPr>
                <w:sz w:val="17"/>
              </w:rPr>
              <w:t>11,845</w:t>
            </w:r>
          </w:p>
        </w:tc>
        <w:tc>
          <w:tcPr>
            <w:tcW w:type="dxa" w:w="1296"/>
            <w:vAlign w:val="center"/>
            <w:tcMar>
              <w:top w:w="70" w:type="dxa"/>
              <w:start w:w="70" w:type="dxa"/>
              <w:bottom w:w="70" w:type="dxa"/>
              <w:end w:w="70" w:type="dxa"/>
            </w:tcMar>
          </w:tcPr>
          <w:p>
            <w:r>
              <w:rPr>
                <w:sz w:val="17"/>
              </w:rPr>
              <w:t>5</w:t>
            </w:r>
          </w:p>
        </w:tc>
        <w:tc>
          <w:tcPr>
            <w:tcW w:type="dxa" w:w="1296"/>
            <w:vAlign w:val="center"/>
            <w:tcMar>
              <w:top w:w="70" w:type="dxa"/>
              <w:start w:w="70" w:type="dxa"/>
              <w:bottom w:w="70" w:type="dxa"/>
              <w:end w:w="70" w:type="dxa"/>
            </w:tcMar>
          </w:tcPr>
          <w:p>
            <w:r>
              <w:rPr>
                <w:sz w:val="17"/>
              </w:rPr>
              <w:t>1.0×</w:t>
            </w:r>
          </w:p>
        </w:tc>
        <w:tc>
          <w:tcPr>
            <w:tcW w:type="dxa" w:w="1728"/>
            <w:vAlign w:val="center"/>
            <w:tcMar>
              <w:top w:w="70" w:type="dxa"/>
              <w:start w:w="70" w:type="dxa"/>
              <w:bottom w:w="70" w:type="dxa"/>
              <w:end w:w="70" w:type="dxa"/>
            </w:tcMar>
          </w:tcPr>
          <w:p>
            <w:r>
              <w:rPr>
                <w:sz w:val="17"/>
              </w:rPr>
              <w:t>59,225</w:t>
            </w:r>
          </w:p>
        </w:tc>
        <w:tc>
          <w:tcPr>
            <w:tcW w:type="dxa" w:w="1440"/>
            <w:vAlign w:val="center"/>
            <w:tcMar>
              <w:top w:w="70" w:type="dxa"/>
              <w:start w:w="70" w:type="dxa"/>
              <w:bottom w:w="70" w:type="dxa"/>
              <w:end w:w="70" w:type="dxa"/>
            </w:tcMar>
          </w:tcPr>
          <w:p>
            <w:r>
              <w:rPr>
                <w:sz w:val="17"/>
              </w:rPr>
              <w:t>$263</w:t>
            </w:r>
          </w:p>
        </w:tc>
        <w:tc>
          <w:tcPr>
            <w:tcW w:type="dxa" w:w="1440"/>
            <w:vAlign w:val="center"/>
            <w:tcMar>
              <w:top w:w="70" w:type="dxa"/>
              <w:start w:w="70" w:type="dxa"/>
              <w:bottom w:w="70" w:type="dxa"/>
              <w:end w:w="70" w:type="dxa"/>
            </w:tcMar>
          </w:tcPr>
          <w:p>
            <w:r>
              <w:rPr>
                <w:sz w:val="17"/>
              </w:rPr>
              <w:t>$22</w:t>
            </w:r>
          </w:p>
        </w:tc>
      </w:tr>
      <w:tr>
        <w:tc>
          <w:tcPr>
            <w:tcW w:type="dxa" w:w="2448"/>
            <w:vAlign w:val="center"/>
            <w:tcMar>
              <w:top w:w="70" w:type="dxa"/>
              <w:start w:w="70" w:type="dxa"/>
              <w:bottom w:w="70" w:type="dxa"/>
              <w:end w:w="70" w:type="dxa"/>
            </w:tcMar>
          </w:tcPr>
          <w:p>
            <w:r>
              <w:rPr>
                <w:sz w:val="17"/>
              </w:rPr>
              <w:t>Planning Baseline</w:t>
            </w:r>
          </w:p>
        </w:tc>
        <w:tc>
          <w:tcPr>
            <w:tcW w:type="dxa" w:w="1440"/>
            <w:vAlign w:val="center"/>
            <w:tcMar>
              <w:top w:w="70" w:type="dxa"/>
              <w:start w:w="70" w:type="dxa"/>
              <w:bottom w:w="70" w:type="dxa"/>
              <w:end w:w="70" w:type="dxa"/>
            </w:tcMar>
          </w:tcPr>
          <w:p>
            <w:r>
              <w:rPr>
                <w:sz w:val="17"/>
              </w:rPr>
              <w:t>12,000</w:t>
            </w:r>
          </w:p>
        </w:tc>
        <w:tc>
          <w:tcPr>
            <w:tcW w:type="dxa" w:w="1296"/>
            <w:vAlign w:val="center"/>
            <w:tcMar>
              <w:top w:w="70" w:type="dxa"/>
              <w:start w:w="70" w:type="dxa"/>
              <w:bottom w:w="70" w:type="dxa"/>
              <w:end w:w="70" w:type="dxa"/>
            </w:tcMar>
          </w:tcPr>
          <w:p>
            <w:r>
              <w:rPr>
                <w:sz w:val="17"/>
              </w:rPr>
              <w:t>6</w:t>
            </w:r>
          </w:p>
        </w:tc>
        <w:tc>
          <w:tcPr>
            <w:tcW w:type="dxa" w:w="1296"/>
            <w:vAlign w:val="center"/>
            <w:tcMar>
              <w:top w:w="70" w:type="dxa"/>
              <w:start w:w="70" w:type="dxa"/>
              <w:bottom w:w="70" w:type="dxa"/>
              <w:end w:w="70" w:type="dxa"/>
            </w:tcMar>
          </w:tcPr>
          <w:p>
            <w:r>
              <w:rPr>
                <w:sz w:val="17"/>
              </w:rPr>
              <w:t>1.0×</w:t>
            </w:r>
          </w:p>
        </w:tc>
        <w:tc>
          <w:tcPr>
            <w:tcW w:type="dxa" w:w="1728"/>
            <w:vAlign w:val="center"/>
            <w:tcMar>
              <w:top w:w="70" w:type="dxa"/>
              <w:start w:w="70" w:type="dxa"/>
              <w:bottom w:w="70" w:type="dxa"/>
              <w:end w:w="70" w:type="dxa"/>
            </w:tcMar>
          </w:tcPr>
          <w:p>
            <w:r>
              <w:rPr>
                <w:sz w:val="17"/>
              </w:rPr>
              <w:t>72,000</w:t>
            </w:r>
          </w:p>
        </w:tc>
        <w:tc>
          <w:tcPr>
            <w:tcW w:type="dxa" w:w="1440"/>
            <w:vAlign w:val="center"/>
            <w:tcMar>
              <w:top w:w="70" w:type="dxa"/>
              <w:start w:w="70" w:type="dxa"/>
              <w:bottom w:w="70" w:type="dxa"/>
              <w:end w:w="70" w:type="dxa"/>
            </w:tcMar>
          </w:tcPr>
          <w:p>
            <w:r>
              <w:rPr>
                <w:sz w:val="17"/>
              </w:rPr>
              <w:t>$320</w:t>
            </w:r>
          </w:p>
        </w:tc>
        <w:tc>
          <w:tcPr>
            <w:tcW w:type="dxa" w:w="1440"/>
            <w:vAlign w:val="center"/>
            <w:tcMar>
              <w:top w:w="70" w:type="dxa"/>
              <w:start w:w="70" w:type="dxa"/>
              <w:bottom w:w="70" w:type="dxa"/>
              <w:end w:w="70" w:type="dxa"/>
            </w:tcMar>
          </w:tcPr>
          <w:p>
            <w:r>
              <w:rPr>
                <w:sz w:val="17"/>
              </w:rPr>
              <w:t>$27</w:t>
            </w:r>
          </w:p>
        </w:tc>
      </w:tr>
      <w:tr>
        <w:tc>
          <w:tcPr>
            <w:tcW w:type="dxa" w:w="2448"/>
            <w:vAlign w:val="center"/>
            <w:tcMar>
              <w:top w:w="70" w:type="dxa"/>
              <w:start w:w="70" w:type="dxa"/>
              <w:bottom w:w="70" w:type="dxa"/>
              <w:end w:w="70" w:type="dxa"/>
            </w:tcMar>
          </w:tcPr>
          <w:p>
            <w:r>
              <w:rPr>
                <w:sz w:val="17"/>
              </w:rPr>
              <w:t>High Production</w:t>
            </w:r>
          </w:p>
        </w:tc>
        <w:tc>
          <w:tcPr>
            <w:tcW w:type="dxa" w:w="1440"/>
            <w:vAlign w:val="center"/>
            <w:tcMar>
              <w:top w:w="70" w:type="dxa"/>
              <w:start w:w="70" w:type="dxa"/>
              <w:bottom w:w="70" w:type="dxa"/>
              <w:end w:w="70" w:type="dxa"/>
            </w:tcMar>
          </w:tcPr>
          <w:p>
            <w:r>
              <w:rPr>
                <w:sz w:val="17"/>
              </w:rPr>
              <w:t>13,275</w:t>
            </w:r>
          </w:p>
        </w:tc>
        <w:tc>
          <w:tcPr>
            <w:tcW w:type="dxa" w:w="1296"/>
            <w:vAlign w:val="center"/>
            <w:tcMar>
              <w:top w:w="70" w:type="dxa"/>
              <w:start w:w="70" w:type="dxa"/>
              <w:bottom w:w="70" w:type="dxa"/>
              <w:end w:w="70" w:type="dxa"/>
            </w:tcMar>
          </w:tcPr>
          <w:p>
            <w:r>
              <w:rPr>
                <w:sz w:val="17"/>
              </w:rPr>
              <w:t>8</w:t>
            </w:r>
          </w:p>
        </w:tc>
        <w:tc>
          <w:tcPr>
            <w:tcW w:type="dxa" w:w="1296"/>
            <w:vAlign w:val="center"/>
            <w:tcMar>
              <w:top w:w="70" w:type="dxa"/>
              <w:start w:w="70" w:type="dxa"/>
              <w:bottom w:w="70" w:type="dxa"/>
              <w:end w:w="70" w:type="dxa"/>
            </w:tcMar>
          </w:tcPr>
          <w:p>
            <w:r>
              <w:rPr>
                <w:sz w:val="17"/>
              </w:rPr>
              <w:t>1.5×</w:t>
            </w:r>
          </w:p>
        </w:tc>
        <w:tc>
          <w:tcPr>
            <w:tcW w:type="dxa" w:w="1728"/>
            <w:vAlign w:val="center"/>
            <w:tcMar>
              <w:top w:w="70" w:type="dxa"/>
              <w:start w:w="70" w:type="dxa"/>
              <w:bottom w:w="70" w:type="dxa"/>
              <w:end w:w="70" w:type="dxa"/>
            </w:tcMar>
          </w:tcPr>
          <w:p>
            <w:r>
              <w:rPr>
                <w:sz w:val="17"/>
              </w:rPr>
              <w:t>106,200</w:t>
            </w:r>
          </w:p>
        </w:tc>
        <w:tc>
          <w:tcPr>
            <w:tcW w:type="dxa" w:w="1440"/>
            <w:vAlign w:val="center"/>
            <w:tcMar>
              <w:top w:w="70" w:type="dxa"/>
              <w:start w:w="70" w:type="dxa"/>
              <w:bottom w:w="70" w:type="dxa"/>
              <w:end w:w="70" w:type="dxa"/>
            </w:tcMar>
          </w:tcPr>
          <w:p>
            <w:r>
              <w:rPr>
                <w:sz w:val="17"/>
              </w:rPr>
              <w:t>$708</w:t>
            </w:r>
          </w:p>
        </w:tc>
        <w:tc>
          <w:tcPr>
            <w:tcW w:type="dxa" w:w="1440"/>
            <w:vAlign w:val="center"/>
            <w:tcMar>
              <w:top w:w="70" w:type="dxa"/>
              <w:start w:w="70" w:type="dxa"/>
              <w:bottom w:w="70" w:type="dxa"/>
              <w:end w:w="70" w:type="dxa"/>
            </w:tcMar>
          </w:tcPr>
          <w:p>
            <w:r>
              <w:rPr>
                <w:sz w:val="17"/>
              </w:rPr>
              <w:t>$59</w:t>
            </w:r>
          </w:p>
        </w:tc>
      </w:tr>
      <w:tr>
        <w:tc>
          <w:tcPr>
            <w:tcW w:type="dxa" w:w="2448"/>
            <w:vAlign w:val="center"/>
            <w:tcMar>
              <w:top w:w="70" w:type="dxa"/>
              <w:start w:w="70" w:type="dxa"/>
              <w:bottom w:w="70" w:type="dxa"/>
              <w:end w:w="70" w:type="dxa"/>
            </w:tcMar>
          </w:tcPr>
          <w:p>
            <w:r>
              <w:rPr>
                <w:sz w:val="17"/>
              </w:rPr>
              <w:t>Stress / Worst Case</w:t>
            </w:r>
          </w:p>
        </w:tc>
        <w:tc>
          <w:tcPr>
            <w:tcW w:type="dxa" w:w="1440"/>
            <w:vAlign w:val="center"/>
            <w:tcMar>
              <w:top w:w="70" w:type="dxa"/>
              <w:start w:w="70" w:type="dxa"/>
              <w:bottom w:w="70" w:type="dxa"/>
              <w:end w:w="70" w:type="dxa"/>
            </w:tcMar>
          </w:tcPr>
          <w:p>
            <w:r>
              <w:rPr>
                <w:sz w:val="17"/>
              </w:rPr>
              <w:t>15,000</w:t>
            </w:r>
          </w:p>
        </w:tc>
        <w:tc>
          <w:tcPr>
            <w:tcW w:type="dxa" w:w="1296"/>
            <w:vAlign w:val="center"/>
            <w:tcMar>
              <w:top w:w="70" w:type="dxa"/>
              <w:start w:w="70" w:type="dxa"/>
              <w:bottom w:w="70" w:type="dxa"/>
              <w:end w:w="70" w:type="dxa"/>
            </w:tcMar>
          </w:tcPr>
          <w:p>
            <w:r>
              <w:rPr>
                <w:sz w:val="17"/>
              </w:rPr>
              <w:t>10</w:t>
            </w:r>
          </w:p>
        </w:tc>
        <w:tc>
          <w:tcPr>
            <w:tcW w:type="dxa" w:w="1296"/>
            <w:vAlign w:val="center"/>
            <w:tcMar>
              <w:top w:w="70" w:type="dxa"/>
              <w:start w:w="70" w:type="dxa"/>
              <w:bottom w:w="70" w:type="dxa"/>
              <w:end w:w="70" w:type="dxa"/>
            </w:tcMar>
          </w:tcPr>
          <w:p>
            <w:r>
              <w:rPr>
                <w:sz w:val="17"/>
              </w:rPr>
              <w:t>2.0×</w:t>
            </w:r>
          </w:p>
        </w:tc>
        <w:tc>
          <w:tcPr>
            <w:tcW w:type="dxa" w:w="1728"/>
            <w:vAlign w:val="center"/>
            <w:tcMar>
              <w:top w:w="70" w:type="dxa"/>
              <w:start w:w="70" w:type="dxa"/>
              <w:bottom w:w="70" w:type="dxa"/>
              <w:end w:w="70" w:type="dxa"/>
            </w:tcMar>
          </w:tcPr>
          <w:p>
            <w:r>
              <w:rPr>
                <w:sz w:val="17"/>
              </w:rPr>
              <w:t>150,000</w:t>
            </w:r>
          </w:p>
        </w:tc>
        <w:tc>
          <w:tcPr>
            <w:tcW w:type="dxa" w:w="1440"/>
            <w:vAlign w:val="center"/>
            <w:tcMar>
              <w:top w:w="70" w:type="dxa"/>
              <w:start w:w="70" w:type="dxa"/>
              <w:bottom w:w="70" w:type="dxa"/>
              <w:end w:w="70" w:type="dxa"/>
            </w:tcMar>
          </w:tcPr>
          <w:p>
            <w:r>
              <w:rPr>
                <w:sz w:val="17"/>
              </w:rPr>
              <w:t>$1,333</w:t>
            </w:r>
          </w:p>
        </w:tc>
        <w:tc>
          <w:tcPr>
            <w:tcW w:type="dxa" w:w="1440"/>
            <w:vAlign w:val="center"/>
            <w:tcMar>
              <w:top w:w="70" w:type="dxa"/>
              <w:start w:w="70" w:type="dxa"/>
              <w:bottom w:w="70" w:type="dxa"/>
              <w:end w:w="70" w:type="dxa"/>
            </w:tcMar>
          </w:tcPr>
          <w:p>
            <w:r>
              <w:rPr>
                <w:sz w:val="17"/>
              </w:rPr>
              <w:t>$111</w:t>
            </w:r>
          </w:p>
        </w:tc>
      </w:tr>
    </w:tbl>
    <w:p>
      <w:r>
        <w:rPr>
          <w:b/>
        </w:rPr>
        <w:t xml:space="preserve">Scenario definitions: </w:t>
      </w:r>
      <w:r>
        <w:t>Optimized uses the latest actual NLA volume (11,845) and five calls per plan. Planning Baseline uses the 12,000-plan NLA target and six calls. High Production uses the higher recent actual volume (13,275), eight calls, and a 1.5× unit-cost factor for more complex production documents/retries. Stress / Worst Case assumes 15,000 plans, ten calls per plan, and twice the current observed unit cost.</w:t>
      </w:r>
    </w:p>
    <w:p>
      <w:pPr>
        <w:jc w:val="center"/>
      </w:pPr>
      <w:r>
        <w:drawing>
          <wp:inline xmlns:a="http://schemas.openxmlformats.org/drawingml/2006/main" xmlns:pic="http://schemas.openxmlformats.org/drawingml/2006/picture">
            <wp:extent cx="6583680" cy="3067972"/>
            <wp:docPr id="1" name="Picture 1"/>
            <wp:cNvGraphicFramePr>
              <a:graphicFrameLocks noChangeAspect="1"/>
            </wp:cNvGraphicFramePr>
            <a:graphic>
              <a:graphicData uri="http://schemas.openxmlformats.org/drawingml/2006/picture">
                <pic:pic>
                  <pic:nvPicPr>
                    <pic:cNvPr id="0" name="smd_ai_requests_chart.png"/>
                    <pic:cNvPicPr/>
                  </pic:nvPicPr>
                  <pic:blipFill>
                    <a:blip r:embed="rId9"/>
                    <a:stretch>
                      <a:fillRect/>
                    </a:stretch>
                  </pic:blipFill>
                  <pic:spPr>
                    <a:xfrm>
                      <a:off x="0" y="0"/>
                      <a:ext cx="6583680" cy="3067972"/>
                    </a:xfrm>
                    <a:prstGeom prst="rect"/>
                  </pic:spPr>
                </pic:pic>
              </a:graphicData>
            </a:graphic>
          </wp:inline>
        </w:drawing>
      </w:r>
    </w:p>
    <w:p>
      <w:pPr>
        <w:jc w:val="center"/>
      </w:pPr>
      <w:r>
        <w:rPr>
          <w:i/>
        </w:rPr>
        <w:t>Figure 1. Projected annual ExtractionAssistant request volume</w:t>
      </w:r>
    </w:p>
    <w:p>
      <w:pPr>
        <w:jc w:val="center"/>
      </w:pPr>
      <w:r>
        <w:drawing>
          <wp:inline xmlns:a="http://schemas.openxmlformats.org/drawingml/2006/main" xmlns:pic="http://schemas.openxmlformats.org/drawingml/2006/picture">
            <wp:extent cx="6583680" cy="3080724"/>
            <wp:docPr id="2" name="Picture 2"/>
            <wp:cNvGraphicFramePr>
              <a:graphicFrameLocks noChangeAspect="1"/>
            </wp:cNvGraphicFramePr>
            <a:graphic>
              <a:graphicData uri="http://schemas.openxmlformats.org/drawingml/2006/picture">
                <pic:pic>
                  <pic:nvPicPr>
                    <pic:cNvPr id="0" name="smd_ai_cost_chart.png"/>
                    <pic:cNvPicPr/>
                  </pic:nvPicPr>
                  <pic:blipFill>
                    <a:blip r:embed="rId10"/>
                    <a:stretch>
                      <a:fillRect/>
                    </a:stretch>
                  </pic:blipFill>
                  <pic:spPr>
                    <a:xfrm>
                      <a:off x="0" y="0"/>
                      <a:ext cx="6583680" cy="3080724"/>
                    </a:xfrm>
                    <a:prstGeom prst="rect"/>
                  </pic:spPr>
                </pic:pic>
              </a:graphicData>
            </a:graphic>
          </wp:inline>
        </w:drawing>
      </w:r>
    </w:p>
    <w:p>
      <w:pPr>
        <w:jc w:val="center"/>
      </w:pPr>
      <w:r>
        <w:rPr>
          <w:i/>
        </w:rPr>
        <w:t>Figure 2. Projected annual API expenditure by scenario</w:t>
      </w:r>
    </w:p>
    <w:p>
      <w:pPr>
        <w:pStyle w:val="Heading1"/>
      </w:pPr>
      <w:r>
        <w:t>4. Planning Baseline for the PM</w:t>
      </w:r>
    </w:p>
    <w:tbl>
      <w:tblPr>
        <w:tblStyle w:val="TableGrid"/>
        <w:tblW w:type="auto" w:w="0"/>
        <w:jc w:val="center"/>
        <w:tblLook w:firstColumn="1" w:firstRow="1" w:lastColumn="0" w:lastRow="0" w:noHBand="0" w:noVBand="1" w:val="04A0"/>
      </w:tblPr>
      <w:tblGrid>
        <w:gridCol w:w="5112"/>
        <w:gridCol w:w="5112"/>
      </w:tblGrid>
      <w:tr>
        <w:tc>
          <w:tcPr>
            <w:tcW w:type="dxa" w:w="4608"/>
            <w:shd w:fill="1F4E78"/>
            <w:vAlign w:val="center"/>
            <w:tcMar>
              <w:top w:w="70" w:type="dxa"/>
              <w:start w:w="70" w:type="dxa"/>
              <w:bottom w:w="70" w:type="dxa"/>
              <w:end w:w="70" w:type="dxa"/>
            </w:tcMar>
          </w:tcPr>
          <w:p>
            <w:r>
              <w:rPr>
                <w:b/>
                <w:color w:val="FFFFFF"/>
                <w:sz w:val="17"/>
              </w:rPr>
              <w:t>Planning Item</w:t>
            </w:r>
          </w:p>
        </w:tc>
        <w:tc>
          <w:tcPr>
            <w:tcW w:type="dxa" w:w="6048"/>
            <w:shd w:fill="1F4E78"/>
            <w:vAlign w:val="center"/>
            <w:tcMar>
              <w:top w:w="70" w:type="dxa"/>
              <w:start w:w="70" w:type="dxa"/>
              <w:bottom w:w="70" w:type="dxa"/>
              <w:end w:w="70" w:type="dxa"/>
            </w:tcMar>
          </w:tcPr>
          <w:p>
            <w:r>
              <w:rPr>
                <w:b/>
                <w:color w:val="FFFFFF"/>
                <w:sz w:val="17"/>
              </w:rPr>
              <w:t>Estimate</w:t>
            </w:r>
          </w:p>
        </w:tc>
      </w:tr>
      <w:tr>
        <w:tc>
          <w:tcPr>
            <w:tcW w:type="dxa" w:w="4608"/>
            <w:vAlign w:val="center"/>
            <w:tcMar>
              <w:top w:w="70" w:type="dxa"/>
              <w:start w:w="70" w:type="dxa"/>
              <w:bottom w:w="70" w:type="dxa"/>
              <w:end w:w="70" w:type="dxa"/>
            </w:tcMar>
          </w:tcPr>
          <w:p>
            <w:r>
              <w:rPr>
                <w:sz w:val="17"/>
              </w:rPr>
              <w:t>Survey plans processed</w:t>
            </w:r>
          </w:p>
        </w:tc>
        <w:tc>
          <w:tcPr>
            <w:tcW w:type="dxa" w:w="6048"/>
            <w:vAlign w:val="center"/>
            <w:tcMar>
              <w:top w:w="70" w:type="dxa"/>
              <w:start w:w="70" w:type="dxa"/>
              <w:bottom w:w="70" w:type="dxa"/>
              <w:end w:w="70" w:type="dxa"/>
            </w:tcMar>
          </w:tcPr>
          <w:p>
            <w:r>
              <w:rPr>
                <w:sz w:val="17"/>
              </w:rPr>
              <w:t>~12,000/year (~1,000/month)</w:t>
            </w:r>
          </w:p>
        </w:tc>
      </w:tr>
      <w:tr>
        <w:tc>
          <w:tcPr>
            <w:tcW w:type="dxa" w:w="4608"/>
            <w:vAlign w:val="center"/>
            <w:tcMar>
              <w:top w:w="70" w:type="dxa"/>
              <w:start w:w="70" w:type="dxa"/>
              <w:bottom w:w="70" w:type="dxa"/>
              <w:end w:w="70" w:type="dxa"/>
            </w:tcMar>
          </w:tcPr>
          <w:p>
            <w:r>
              <w:rPr>
                <w:sz w:val="17"/>
              </w:rPr>
              <w:t>AI requests per plan</w:t>
            </w:r>
          </w:p>
        </w:tc>
        <w:tc>
          <w:tcPr>
            <w:tcW w:type="dxa" w:w="6048"/>
            <w:vAlign w:val="center"/>
            <w:tcMar>
              <w:top w:w="70" w:type="dxa"/>
              <w:start w:w="70" w:type="dxa"/>
              <w:bottom w:w="70" w:type="dxa"/>
              <w:end w:w="70" w:type="dxa"/>
            </w:tcMar>
          </w:tcPr>
          <w:p>
            <w:r>
              <w:rPr>
                <w:sz w:val="17"/>
              </w:rPr>
              <w:t>5–6</w:t>
            </w:r>
          </w:p>
        </w:tc>
      </w:tr>
      <w:tr>
        <w:tc>
          <w:tcPr>
            <w:tcW w:type="dxa" w:w="4608"/>
            <w:vAlign w:val="center"/>
            <w:tcMar>
              <w:top w:w="70" w:type="dxa"/>
              <w:start w:w="70" w:type="dxa"/>
              <w:bottom w:w="70" w:type="dxa"/>
              <w:end w:w="70" w:type="dxa"/>
            </w:tcMar>
          </w:tcPr>
          <w:p>
            <w:r>
              <w:rPr>
                <w:sz w:val="17"/>
              </w:rPr>
              <w:t>Expected API requests</w:t>
            </w:r>
          </w:p>
        </w:tc>
        <w:tc>
          <w:tcPr>
            <w:tcW w:type="dxa" w:w="6048"/>
            <w:vAlign w:val="center"/>
            <w:tcMar>
              <w:top w:w="70" w:type="dxa"/>
              <w:start w:w="70" w:type="dxa"/>
              <w:bottom w:w="70" w:type="dxa"/>
              <w:end w:w="70" w:type="dxa"/>
            </w:tcMar>
          </w:tcPr>
          <w:p>
            <w:r>
              <w:rPr>
                <w:sz w:val="17"/>
              </w:rPr>
              <w:t>60,000–72,000/year (~5,000–6,000/month)</w:t>
            </w:r>
          </w:p>
        </w:tc>
      </w:tr>
      <w:tr>
        <w:tc>
          <w:tcPr>
            <w:tcW w:type="dxa" w:w="4608"/>
            <w:vAlign w:val="center"/>
            <w:tcMar>
              <w:top w:w="70" w:type="dxa"/>
              <w:start w:w="70" w:type="dxa"/>
              <w:bottom w:w="70" w:type="dxa"/>
              <w:end w:w="70" w:type="dxa"/>
            </w:tcMar>
          </w:tcPr>
          <w:p>
            <w:r>
              <w:rPr>
                <w:sz w:val="17"/>
              </w:rPr>
              <w:t>Expected cost at current measured unit rate</w:t>
            </w:r>
          </w:p>
        </w:tc>
        <w:tc>
          <w:tcPr>
            <w:tcW w:type="dxa" w:w="6048"/>
            <w:vAlign w:val="center"/>
            <w:tcMar>
              <w:top w:w="70" w:type="dxa"/>
              <w:start w:w="70" w:type="dxa"/>
              <w:bottom w:w="70" w:type="dxa"/>
              <w:end w:w="70" w:type="dxa"/>
            </w:tcMar>
          </w:tcPr>
          <w:p>
            <w:r>
              <w:rPr>
                <w:sz w:val="17"/>
              </w:rPr>
              <w:t>$267–$320/year</w:t>
            </w:r>
          </w:p>
        </w:tc>
      </w:tr>
      <w:tr>
        <w:tc>
          <w:tcPr>
            <w:tcW w:type="dxa" w:w="4608"/>
            <w:vAlign w:val="center"/>
            <w:tcMar>
              <w:top w:w="70" w:type="dxa"/>
              <w:start w:w="70" w:type="dxa"/>
              <w:bottom w:w="70" w:type="dxa"/>
              <w:end w:w="70" w:type="dxa"/>
            </w:tcMar>
          </w:tcPr>
          <w:p>
            <w:r>
              <w:rPr>
                <w:sz w:val="17"/>
              </w:rPr>
              <w:t>Expected monthly cost at current measured unit rate</w:t>
            </w:r>
          </w:p>
        </w:tc>
        <w:tc>
          <w:tcPr>
            <w:tcW w:type="dxa" w:w="6048"/>
            <w:vAlign w:val="center"/>
            <w:tcMar>
              <w:top w:w="70" w:type="dxa"/>
              <w:start w:w="70" w:type="dxa"/>
              <w:bottom w:w="70" w:type="dxa"/>
              <w:end w:w="70" w:type="dxa"/>
            </w:tcMar>
          </w:tcPr>
          <w:p>
            <w:r>
              <w:rPr>
                <w:sz w:val="17"/>
              </w:rPr>
              <w:t>$22–$27/month</w:t>
            </w:r>
          </w:p>
        </w:tc>
      </w:tr>
      <w:tr>
        <w:tc>
          <w:tcPr>
            <w:tcW w:type="dxa" w:w="4608"/>
            <w:vAlign w:val="center"/>
            <w:tcMar>
              <w:top w:w="70" w:type="dxa"/>
              <w:start w:w="70" w:type="dxa"/>
              <w:bottom w:w="70" w:type="dxa"/>
              <w:end w:w="70" w:type="dxa"/>
            </w:tcMar>
          </w:tcPr>
          <w:p>
            <w:r>
              <w:rPr>
                <w:sz w:val="17"/>
              </w:rPr>
              <w:t>Conservative stress-case cost</w:t>
            </w:r>
          </w:p>
        </w:tc>
        <w:tc>
          <w:tcPr>
            <w:tcW w:type="dxa" w:w="6048"/>
            <w:vAlign w:val="center"/>
            <w:tcMar>
              <w:top w:w="70" w:type="dxa"/>
              <w:start w:w="70" w:type="dxa"/>
              <w:bottom w:w="70" w:type="dxa"/>
              <w:end w:w="70" w:type="dxa"/>
            </w:tcMar>
          </w:tcPr>
          <w:p>
            <w:r>
              <w:rPr>
                <w:sz w:val="17"/>
              </w:rPr>
              <w:t>~$1,333/year</w:t>
            </w:r>
          </w:p>
        </w:tc>
      </w:tr>
      <w:tr>
        <w:tc>
          <w:tcPr>
            <w:tcW w:type="dxa" w:w="4608"/>
            <w:vAlign w:val="center"/>
            <w:tcMar>
              <w:top w:w="70" w:type="dxa"/>
              <w:start w:w="70" w:type="dxa"/>
              <w:bottom w:w="70" w:type="dxa"/>
              <w:end w:w="70" w:type="dxa"/>
            </w:tcMar>
          </w:tcPr>
          <w:p>
            <w:r>
              <w:rPr>
                <w:sz w:val="17"/>
              </w:rPr>
              <w:t>Suggested annual budget allowance</w:t>
            </w:r>
          </w:p>
        </w:tc>
        <w:tc>
          <w:tcPr>
            <w:tcW w:type="dxa" w:w="6048"/>
            <w:vAlign w:val="center"/>
            <w:tcMar>
              <w:top w:w="70" w:type="dxa"/>
              <w:start w:w="70" w:type="dxa"/>
              <w:bottom w:w="70" w:type="dxa"/>
              <w:end w:w="70" w:type="dxa"/>
            </w:tcMar>
          </w:tcPr>
          <w:p>
            <w:r>
              <w:rPr>
                <w:sz w:val="17"/>
              </w:rPr>
              <w:t>$1,500/year for API extraction usage</w:t>
            </w:r>
          </w:p>
        </w:tc>
      </w:tr>
    </w:tbl>
    <w:p>
      <w:r>
        <w:rPr>
          <w:b/>
        </w:rPr>
        <w:t xml:space="preserve">Recommended management message. </w:t>
      </w:r>
      <w:r>
        <w:t>At NLA’s current scale of approximately 12,000 survey plans per year, an AI-assisted extraction pipeline averaging five to six API calls per plan would generate approximately 60,000–72,000 API calls annually. Based on actual ExtractionAssistant usage to date, the expected direct API cost is roughly $267–$320 per year. Even under a deliberately conservative stress case, the modeled annual API expense remains around $1,333, making a $1,500 annual allowance a reasonable preliminary planning envelope.</w:t>
      </w:r>
    </w:p>
    <w:p>
      <w:pPr>
        <w:pStyle w:val="Heading1"/>
      </w:pPr>
      <w:r>
        <w:t>5. What Could Increase or Reduce the Cost</w:t>
      </w:r>
    </w:p>
    <w:p>
      <w:pPr>
        <w:ind w:left="259"/>
      </w:pPr>
      <w:r>
        <w:rPr>
          <w:b/>
        </w:rPr>
        <w:t xml:space="preserve">Increase cost: </w:t>
      </w:r>
      <w:r>
        <w:t>Poor-quality scans, larger/multi-page plans, retries, repeated extraction after correction/re-lodgement, use of higher-cost models, or processing more supporting documents per transaction.</w:t>
      </w:r>
    </w:p>
    <w:p>
      <w:pPr>
        <w:ind w:left="259"/>
      </w:pPr>
      <w:r>
        <w:rPr>
          <w:b/>
        </w:rPr>
        <w:t xml:space="preserve">Reduce cost: </w:t>
      </w:r>
      <w:r>
        <w:t>Using extraction only where needed, avoiding repeat processing of unchanged documents, caching/reusing extracted results, moving deterministic geometry/closure/topology checks to ArcGIS/Python rather than AI, and using a lower-cost model for routine extraction.</w:t>
      </w:r>
    </w:p>
    <w:p>
      <w:pPr>
        <w:ind w:left="259"/>
      </w:pPr>
      <w:r>
        <w:rPr>
          <w:b/>
        </w:rPr>
        <w:t xml:space="preserve">Most important production metric: </w:t>
      </w:r>
      <w:r>
        <w:t>Track cost per successfully processed plan, not only cost per API request. A transaction-level metric should include requests, tokens, retries, model, document count/pages, and final extraction status.</w:t>
      </w:r>
    </w:p>
    <w:p>
      <w:pPr>
        <w:pStyle w:val="Heading1"/>
      </w:pPr>
      <w:r>
        <w:t>6. Recommended Metrics to Capture in Production</w:t>
      </w:r>
    </w:p>
    <w:p>
      <w:pPr>
        <w:pStyle w:val="ListBullet"/>
      </w:pPr>
      <w:r>
        <w:t>Plans/transactions submitted per month and year.</w:t>
      </w:r>
    </w:p>
    <w:p>
      <w:pPr>
        <w:pStyle w:val="ListBullet"/>
      </w:pPr>
      <w:r>
        <w:t>Percentage of SMD transactions that invoke AI extraction.</w:t>
      </w:r>
    </w:p>
    <w:p>
      <w:pPr>
        <w:pStyle w:val="ListBullet"/>
      </w:pPr>
      <w:r>
        <w:t>API requests per transaction and per document.</w:t>
      </w:r>
    </w:p>
    <w:p>
      <w:pPr>
        <w:pStyle w:val="ListBullet"/>
      </w:pPr>
      <w:r>
        <w:t>Input/output tokens and API cost per transaction.</w:t>
      </w:r>
    </w:p>
    <w:p>
      <w:pPr>
        <w:pStyle w:val="ListBullet"/>
      </w:pPr>
      <w:r>
        <w:t>Average number of retries or reprocessing events.</w:t>
      </w:r>
    </w:p>
    <w:p>
      <w:pPr>
        <w:pStyle w:val="ListBullet"/>
      </w:pPr>
      <w:r>
        <w:t>Percentage of extractions accepted without examiner correction.</w:t>
      </w:r>
    </w:p>
    <w:p>
      <w:pPr>
        <w:pStyle w:val="ListBullet"/>
      </w:pPr>
      <w:r>
        <w:t>Percentage escalated to manual review.</w:t>
      </w:r>
    </w:p>
    <w:p>
      <w:pPr>
        <w:pStyle w:val="ListBullet"/>
      </w:pPr>
      <w:r>
        <w:t>Processing time saved compared with manual coordinate/document extraction.</w:t>
      </w:r>
    </w:p>
    <w:p>
      <w:pPr>
        <w:pStyle w:val="ListBullet"/>
      </w:pPr>
      <w:r>
        <w:t>AI extraction cost per successful plan and total monthly API cost.</w:t>
      </w:r>
    </w:p>
    <w:p>
      <w:pPr>
        <w:pStyle w:val="Heading1"/>
      </w:pPr>
      <w:r>
        <w:t>7. Sources and Assumptions</w:t>
      </w:r>
    </w:p>
    <w:p>
      <w:r>
        <w:rPr>
          <w:b/>
        </w:rPr>
        <w:t xml:space="preserve">OpenAI API usage baseline: </w:t>
      </w:r>
      <w:r>
        <w:t>User-provided OpenAI Platform Usage screenshot filtered to the ExtractionAssistant API key, last 30 days: 126 requests, 592,404 tokens, $0.56 total spend.</w:t>
      </w:r>
    </w:p>
    <w:p>
      <w:r>
        <w:rPr>
          <w:b/>
        </w:rPr>
        <w:t>National Land Agency Strategic Business Plan 2023–2027</w:t>
      </w:r>
      <w:r>
        <w:br/>
        <w:t>https://nla.gov.jm/system/files/_NLA%20Strategic%20Business%20Plan-2023-2027.pdf</w:t>
        <w:br/>
        <w:t>Reports 13,275 plans checked in FY 2022/23 and a target of 12,000.</w:t>
      </w:r>
    </w:p>
    <w:p>
      <w:r>
        <w:rPr>
          <w:b/>
        </w:rPr>
        <w:t>National Land Agency Strategic Business Plan 2024–2028</w:t>
      </w:r>
      <w:r>
        <w:br/>
        <w:t>https://nla.gov.jm/system/files/NLA%20Strategic%20Business%20Plan-2024-2028%20Final-min.cleaned.pdf</w:t>
        <w:br/>
        <w:t>Reports 11,845 plans checked in FY 2023/24 and a target of 12,000 plans per year.</w:t>
      </w:r>
    </w:p>
    <w:p>
      <w:r>
        <w:rPr>
          <w:b/>
        </w:rPr>
        <w:t xml:space="preserve">Modeling caveat: </w:t>
      </w:r>
      <w:r>
        <w:t>Future API costs depend on the model selected, token mix, prompt/output size, retries and provider pricing. This document deliberately uses the measured blended cost from the ExtractionAssistant key as the main baseline, then applies explicit scenario multipliers rather than assuming a specific model tariff.</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Jamaica eTitles Project – SMD AI Extraction Cost Model | Working Estimate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