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86D02" w14:textId="2F638740" w:rsidR="008333F9" w:rsidRPr="00293AC8" w:rsidRDefault="00293AC8">
      <w:pPr>
        <w:rPr>
          <w:sz w:val="36"/>
          <w:szCs w:val="36"/>
          <w:u w:val="single"/>
          <w:lang w:val="en-GB"/>
        </w:rPr>
      </w:pPr>
      <w:r w:rsidRPr="00293AC8">
        <w:rPr>
          <w:sz w:val="36"/>
          <w:szCs w:val="36"/>
          <w:u w:val="single"/>
          <w:lang w:val="en-GB"/>
        </w:rPr>
        <w:t>GDPR (Since May 25th 2018)</w:t>
      </w:r>
    </w:p>
    <w:p w14:paraId="18485E58" w14:textId="36AE979D" w:rsidR="00293AC8" w:rsidRDefault="00293AC8">
      <w:pPr>
        <w:rPr>
          <w:sz w:val="28"/>
          <w:szCs w:val="28"/>
          <w:u w:val="single"/>
          <w:lang w:val="en-GB"/>
        </w:rPr>
      </w:pPr>
      <w:r w:rsidRPr="00293AC8">
        <w:rPr>
          <w:sz w:val="28"/>
          <w:szCs w:val="28"/>
          <w:u w:val="single"/>
          <w:lang w:val="en-GB"/>
        </w:rPr>
        <w:t xml:space="preserve">Grants individuals </w:t>
      </w:r>
      <w:r>
        <w:rPr>
          <w:sz w:val="28"/>
          <w:szCs w:val="28"/>
          <w:u w:val="single"/>
          <w:lang w:val="en-GB"/>
        </w:rPr>
        <w:t>the following rights</w:t>
      </w:r>
    </w:p>
    <w:p w14:paraId="62FB4011" w14:textId="4AA2ED65" w:rsidR="00293AC8" w:rsidRDefault="00293AC8" w:rsidP="00293AC8">
      <w:pPr>
        <w:pStyle w:val="Listenabsatz"/>
        <w:numPr>
          <w:ilvl w:val="0"/>
          <w:numId w:val="1"/>
        </w:numPr>
        <w:rPr>
          <w:lang w:val="en-GB"/>
        </w:rPr>
      </w:pPr>
      <w:r>
        <w:rPr>
          <w:lang w:val="en-GB"/>
        </w:rPr>
        <w:t>Be notified within 72 hours after private data have been compromised</w:t>
      </w:r>
    </w:p>
    <w:p w14:paraId="677A1168" w14:textId="4C0D8651" w:rsidR="00293AC8" w:rsidRDefault="00293AC8" w:rsidP="00293AC8">
      <w:pPr>
        <w:pStyle w:val="Listenabsatz"/>
        <w:numPr>
          <w:ilvl w:val="0"/>
          <w:numId w:val="1"/>
        </w:numPr>
        <w:rPr>
          <w:lang w:val="en-GB"/>
        </w:rPr>
      </w:pPr>
      <w:r>
        <w:rPr>
          <w:lang w:val="en-GB"/>
        </w:rPr>
        <w:t>Right to access data</w:t>
      </w:r>
    </w:p>
    <w:p w14:paraId="3DE6A472" w14:textId="1083115E" w:rsidR="00293AC8" w:rsidRDefault="00293AC8" w:rsidP="00293AC8">
      <w:pPr>
        <w:pStyle w:val="Listenabsatz"/>
        <w:numPr>
          <w:ilvl w:val="0"/>
          <w:numId w:val="1"/>
        </w:numPr>
        <w:rPr>
          <w:lang w:val="en-GB"/>
        </w:rPr>
      </w:pPr>
      <w:r>
        <w:rPr>
          <w:lang w:val="en-GB"/>
        </w:rPr>
        <w:t>Right to be forgotten</w:t>
      </w:r>
    </w:p>
    <w:p w14:paraId="0F3E041D" w14:textId="11513C22" w:rsidR="00293AC8" w:rsidRDefault="00293AC8" w:rsidP="00293AC8">
      <w:pPr>
        <w:pStyle w:val="Listenabsatz"/>
        <w:numPr>
          <w:ilvl w:val="0"/>
          <w:numId w:val="1"/>
        </w:numPr>
        <w:rPr>
          <w:lang w:val="en-GB"/>
        </w:rPr>
      </w:pPr>
      <w:r>
        <w:rPr>
          <w:lang w:val="en-GB"/>
        </w:rPr>
        <w:t>Data portability</w:t>
      </w:r>
    </w:p>
    <w:p w14:paraId="747CA2FD" w14:textId="5D65D577" w:rsidR="00293AC8" w:rsidRDefault="00293AC8" w:rsidP="00293AC8">
      <w:pPr>
        <w:rPr>
          <w:lang w:val="en-GB"/>
        </w:rPr>
      </w:pPr>
      <w:r>
        <w:rPr>
          <w:lang w:val="en-GB"/>
        </w:rPr>
        <w:t>Privacy is a fundamental right in the EU, for all EU citizens, all over the world, hence the GDPR has an extra-territorial approach.</w:t>
      </w:r>
    </w:p>
    <w:p w14:paraId="26BB12D8" w14:textId="7E4059AE" w:rsidR="00293AC8" w:rsidRDefault="00293AC8" w:rsidP="00293AC8">
      <w:pPr>
        <w:rPr>
          <w:sz w:val="28"/>
          <w:szCs w:val="28"/>
          <w:u w:val="single"/>
          <w:lang w:val="en-GB"/>
        </w:rPr>
      </w:pPr>
      <w:r>
        <w:rPr>
          <w:sz w:val="28"/>
          <w:szCs w:val="28"/>
          <w:u w:val="single"/>
          <w:lang w:val="en-GB"/>
        </w:rPr>
        <w:t>An organization needs to</w:t>
      </w:r>
    </w:p>
    <w:p w14:paraId="1B0F1F5F" w14:textId="790AB5E3" w:rsidR="00293AC8" w:rsidRDefault="00293AC8" w:rsidP="00293AC8">
      <w:pPr>
        <w:pStyle w:val="Listenabsatz"/>
        <w:numPr>
          <w:ilvl w:val="0"/>
          <w:numId w:val="2"/>
        </w:numPr>
        <w:rPr>
          <w:lang w:val="en-GB"/>
        </w:rPr>
      </w:pPr>
      <w:r>
        <w:rPr>
          <w:lang w:val="en-GB"/>
        </w:rPr>
        <w:t>Appoint an accountable employee</w:t>
      </w:r>
    </w:p>
    <w:p w14:paraId="2AF0C4EB" w14:textId="41981926" w:rsidR="00293AC8" w:rsidRDefault="00293AC8" w:rsidP="00293AC8">
      <w:pPr>
        <w:pStyle w:val="Listenabsatz"/>
        <w:numPr>
          <w:ilvl w:val="0"/>
          <w:numId w:val="2"/>
        </w:numPr>
        <w:rPr>
          <w:lang w:val="en-GB"/>
        </w:rPr>
      </w:pPr>
      <w:r>
        <w:rPr>
          <w:lang w:val="en-GB"/>
        </w:rPr>
        <w:t>Ensure safeguards are in place to stop attackers</w:t>
      </w:r>
    </w:p>
    <w:p w14:paraId="0309993B" w14:textId="57CBA942" w:rsidR="00293AC8" w:rsidRDefault="00293AC8" w:rsidP="00293AC8">
      <w:pPr>
        <w:pStyle w:val="Listenabsatz"/>
        <w:numPr>
          <w:ilvl w:val="0"/>
          <w:numId w:val="2"/>
        </w:numPr>
        <w:rPr>
          <w:lang w:val="en-GB"/>
        </w:rPr>
      </w:pPr>
      <w:r>
        <w:rPr>
          <w:lang w:val="en-GB"/>
        </w:rPr>
        <w:t>Ensure suppliers are GDPR compliant</w:t>
      </w:r>
    </w:p>
    <w:p w14:paraId="3B2922F7" w14:textId="188FD357" w:rsidR="00293AC8" w:rsidRDefault="00293AC8" w:rsidP="00293AC8">
      <w:pPr>
        <w:pStyle w:val="Listenabsatz"/>
        <w:numPr>
          <w:ilvl w:val="0"/>
          <w:numId w:val="2"/>
        </w:numPr>
        <w:rPr>
          <w:lang w:val="en-GB"/>
        </w:rPr>
      </w:pPr>
      <w:r>
        <w:rPr>
          <w:lang w:val="en-GB"/>
        </w:rPr>
        <w:t>Ensure users are always asked to consent</w:t>
      </w:r>
    </w:p>
    <w:p w14:paraId="60AB5F95" w14:textId="5BA85DF3" w:rsidR="00293AC8" w:rsidRDefault="00293AC8" w:rsidP="00293AC8">
      <w:pPr>
        <w:pStyle w:val="Listenabsatz"/>
        <w:numPr>
          <w:ilvl w:val="0"/>
          <w:numId w:val="2"/>
        </w:numPr>
        <w:rPr>
          <w:lang w:val="en-GB"/>
        </w:rPr>
      </w:pPr>
      <w:r>
        <w:rPr>
          <w:lang w:val="en-GB"/>
        </w:rPr>
        <w:t>Report breaches within 72 hours</w:t>
      </w:r>
    </w:p>
    <w:p w14:paraId="652915A8" w14:textId="5B017703" w:rsidR="00293AC8" w:rsidRDefault="00293AC8" w:rsidP="00293AC8">
      <w:pPr>
        <w:pStyle w:val="Listenabsatz"/>
        <w:numPr>
          <w:ilvl w:val="0"/>
          <w:numId w:val="2"/>
        </w:numPr>
        <w:rPr>
          <w:lang w:val="en-GB"/>
        </w:rPr>
      </w:pPr>
      <w:r>
        <w:rPr>
          <w:lang w:val="en-GB"/>
        </w:rPr>
        <w:t>Proof of privacy by design</w:t>
      </w:r>
    </w:p>
    <w:p w14:paraId="623F91BE" w14:textId="6E1177A7" w:rsidR="00293AC8" w:rsidRPr="00293AC8" w:rsidRDefault="00293AC8" w:rsidP="00293AC8">
      <w:pPr>
        <w:pStyle w:val="Listenabsatz"/>
        <w:numPr>
          <w:ilvl w:val="0"/>
          <w:numId w:val="2"/>
        </w:numPr>
        <w:rPr>
          <w:u w:val="single"/>
          <w:lang w:val="en-GB"/>
        </w:rPr>
      </w:pPr>
      <w:r w:rsidRPr="00293AC8">
        <w:rPr>
          <w:sz w:val="24"/>
          <w:szCs w:val="24"/>
          <w:u w:val="single"/>
          <w:lang w:val="en-GB"/>
        </w:rPr>
        <w:t>Massive penalty:</w:t>
      </w:r>
      <w:r w:rsidRPr="00293AC8">
        <w:rPr>
          <w:lang w:val="en-GB"/>
        </w:rPr>
        <w:t xml:space="preserve"> </w:t>
      </w:r>
      <w:r>
        <w:rPr>
          <w:lang w:val="en-GB"/>
        </w:rPr>
        <w:t>Up to 4% of the worldwide annual turnover of the previous fiscal year or up to €20 million, whichever is greater</w:t>
      </w:r>
    </w:p>
    <w:p w14:paraId="2F283C54" w14:textId="005F58C1" w:rsidR="00293AC8" w:rsidRDefault="00E54059" w:rsidP="00293AC8">
      <w:pPr>
        <w:rPr>
          <w:sz w:val="28"/>
          <w:szCs w:val="28"/>
          <w:u w:val="single"/>
          <w:lang w:val="en-GB"/>
        </w:rPr>
      </w:pPr>
      <w:r>
        <w:rPr>
          <w:sz w:val="28"/>
          <w:szCs w:val="28"/>
          <w:u w:val="single"/>
          <w:lang w:val="en-GB"/>
        </w:rPr>
        <w:t>GDPR definition of private / personal data</w:t>
      </w:r>
    </w:p>
    <w:p w14:paraId="64DC83F5" w14:textId="46389B65" w:rsidR="00E54059" w:rsidRDefault="00E54059" w:rsidP="00E54059">
      <w:pPr>
        <w:pStyle w:val="Listenabsatz"/>
        <w:numPr>
          <w:ilvl w:val="0"/>
          <w:numId w:val="3"/>
        </w:numPr>
        <w:rPr>
          <w:lang w:val="en-GB"/>
        </w:rPr>
      </w:pPr>
      <w:r>
        <w:rPr>
          <w:lang w:val="en-GB"/>
        </w:rPr>
        <w:t>Data / information that relates to an identified or identifiable living individual</w:t>
      </w:r>
    </w:p>
    <w:p w14:paraId="04AE5DD1" w14:textId="64BFF9E5" w:rsidR="00E54059" w:rsidRDefault="00E54059" w:rsidP="00E54059">
      <w:pPr>
        <w:pStyle w:val="Listenabsatz"/>
        <w:numPr>
          <w:ilvl w:val="0"/>
          <w:numId w:val="3"/>
        </w:numPr>
        <w:rPr>
          <w:lang w:val="en-GB"/>
        </w:rPr>
      </w:pPr>
      <w:r>
        <w:rPr>
          <w:lang w:val="en-GB"/>
        </w:rPr>
        <w:t>Data that has been de-identified, encrypted or pseudonymised, but can be used to re-identify a person remains personal data</w:t>
      </w:r>
    </w:p>
    <w:p w14:paraId="33E2A3AA" w14:textId="2D6EB893" w:rsidR="00E54059" w:rsidRDefault="00E54059" w:rsidP="00E54059">
      <w:pPr>
        <w:pStyle w:val="Listenabsatz"/>
        <w:numPr>
          <w:ilvl w:val="0"/>
          <w:numId w:val="3"/>
        </w:numPr>
        <w:rPr>
          <w:lang w:val="en-GB"/>
        </w:rPr>
      </w:pPr>
      <w:r>
        <w:rPr>
          <w:lang w:val="en-GB"/>
        </w:rPr>
        <w:t>Data that has ben rendered anonymous in such a way that the individual is not or no longer identifiable is not personal data anymore</w:t>
      </w:r>
    </w:p>
    <w:p w14:paraId="0BABAF48" w14:textId="0238FC99" w:rsidR="00E54059" w:rsidRDefault="00E54059" w:rsidP="00E54059">
      <w:pPr>
        <w:pStyle w:val="Listenabsatz"/>
        <w:numPr>
          <w:ilvl w:val="0"/>
          <w:numId w:val="3"/>
        </w:numPr>
        <w:rPr>
          <w:lang w:val="en-GB"/>
        </w:rPr>
      </w:pPr>
      <w:r>
        <w:rPr>
          <w:lang w:val="en-GB"/>
        </w:rPr>
        <w:t>GDPR protects data regardless of the technology used for processing data</w:t>
      </w:r>
    </w:p>
    <w:p w14:paraId="4DDD7D31" w14:textId="4BF580FD" w:rsidR="00E54059" w:rsidRDefault="00E54059" w:rsidP="00E54059">
      <w:pPr>
        <w:rPr>
          <w:sz w:val="28"/>
          <w:szCs w:val="28"/>
          <w:u w:val="single"/>
          <w:lang w:val="en-GB"/>
        </w:rPr>
      </w:pPr>
      <w:r>
        <w:rPr>
          <w:sz w:val="28"/>
          <w:szCs w:val="28"/>
          <w:u w:val="single"/>
          <w:lang w:val="en-GB"/>
        </w:rPr>
        <w:t>Principles that organizations storing personal data MUST follow</w:t>
      </w:r>
    </w:p>
    <w:p w14:paraId="246241BA" w14:textId="52F5A44D" w:rsidR="00E54059" w:rsidRDefault="00E54059" w:rsidP="00E54059">
      <w:pPr>
        <w:pStyle w:val="Listenabsatz"/>
        <w:numPr>
          <w:ilvl w:val="0"/>
          <w:numId w:val="4"/>
        </w:numPr>
        <w:rPr>
          <w:lang w:val="en-GB"/>
        </w:rPr>
      </w:pPr>
      <w:r>
        <w:rPr>
          <w:lang w:val="en-GB"/>
        </w:rPr>
        <w:t>Purpose limitation: have specific purpose for processing the data, must indicate those purposes to individuals when collecting their personal data, cannot reuse the personal data for other purposes that are not compatible with the original purpose</w:t>
      </w:r>
    </w:p>
    <w:p w14:paraId="34ACF258" w14:textId="01C8DC77" w:rsidR="00E54059" w:rsidRDefault="00E54059" w:rsidP="00E54059">
      <w:pPr>
        <w:pStyle w:val="Listenabsatz"/>
        <w:numPr>
          <w:ilvl w:val="0"/>
          <w:numId w:val="4"/>
        </w:numPr>
        <w:rPr>
          <w:lang w:val="en-GB"/>
        </w:rPr>
      </w:pPr>
      <w:r>
        <w:rPr>
          <w:lang w:val="en-GB"/>
        </w:rPr>
        <w:t>Data minimization: collect and process only the personal data necessary to fulfil the specific purpose</w:t>
      </w:r>
    </w:p>
    <w:p w14:paraId="2BCB6AF4" w14:textId="0B3B43F2" w:rsidR="00E54059" w:rsidRDefault="00E54059" w:rsidP="00E54059">
      <w:pPr>
        <w:pStyle w:val="Listenabsatz"/>
        <w:numPr>
          <w:ilvl w:val="0"/>
          <w:numId w:val="4"/>
        </w:numPr>
        <w:rPr>
          <w:lang w:val="en-GB"/>
        </w:rPr>
      </w:pPr>
      <w:r>
        <w:rPr>
          <w:lang w:val="en-GB"/>
        </w:rPr>
        <w:t>Accuracy: ensure the personal data is accurate and up-to-date, having regard to the purpose for which it is processed, and correct</w:t>
      </w:r>
      <w:r w:rsidR="0072055E">
        <w:rPr>
          <w:lang w:val="en-GB"/>
        </w:rPr>
        <w:t xml:space="preserve"> it if not</w:t>
      </w:r>
    </w:p>
    <w:p w14:paraId="7BAA4672" w14:textId="47DD7666" w:rsidR="0072055E" w:rsidRDefault="0072055E" w:rsidP="00E54059">
      <w:pPr>
        <w:pStyle w:val="Listenabsatz"/>
        <w:numPr>
          <w:ilvl w:val="0"/>
          <w:numId w:val="4"/>
        </w:numPr>
        <w:rPr>
          <w:lang w:val="en-GB"/>
        </w:rPr>
      </w:pPr>
      <w:r>
        <w:rPr>
          <w:lang w:val="en-GB"/>
        </w:rPr>
        <w:t>Storage limitation: ensure that personal data is stored for no longer than necessary for the purposes for which it was collected</w:t>
      </w:r>
    </w:p>
    <w:p w14:paraId="161412F4" w14:textId="332BA6F3" w:rsidR="0072055E" w:rsidRDefault="0072055E" w:rsidP="00E54059">
      <w:pPr>
        <w:pStyle w:val="Listenabsatz"/>
        <w:numPr>
          <w:ilvl w:val="0"/>
          <w:numId w:val="4"/>
        </w:numPr>
        <w:rPr>
          <w:lang w:val="en-GB"/>
        </w:rPr>
      </w:pPr>
      <w:r>
        <w:rPr>
          <w:lang w:val="en-GB"/>
        </w:rPr>
        <w:t>Integrity and confidentiality: install appropriate technical and organisational safeguards that ensure the security of the personal data, including protection against unauthorized or unlawful processing and against accidental loss, destruction or damage, using appropriate technology</w:t>
      </w:r>
    </w:p>
    <w:p w14:paraId="2CB086E1" w14:textId="33371602" w:rsidR="0072055E" w:rsidRDefault="0072055E" w:rsidP="0072055E">
      <w:pPr>
        <w:rPr>
          <w:lang w:val="en-GB"/>
        </w:rPr>
      </w:pPr>
    </w:p>
    <w:p w14:paraId="63541966" w14:textId="2C5F539E" w:rsidR="0072055E" w:rsidRDefault="0072055E" w:rsidP="0072055E">
      <w:pPr>
        <w:rPr>
          <w:lang w:val="en-GB"/>
        </w:rPr>
      </w:pPr>
    </w:p>
    <w:p w14:paraId="6017AE03" w14:textId="1AE3D31C" w:rsidR="0072055E" w:rsidRPr="0072055E" w:rsidRDefault="0072055E" w:rsidP="0072055E">
      <w:pPr>
        <w:rPr>
          <w:sz w:val="28"/>
          <w:szCs w:val="28"/>
          <w:u w:val="single"/>
          <w:lang w:val="en-GB"/>
        </w:rPr>
      </w:pPr>
      <w:r w:rsidRPr="0072055E">
        <w:rPr>
          <w:lang w:val="en-GB"/>
        </w:rPr>
        <w:lastRenderedPageBreak/>
        <w:drawing>
          <wp:anchor distT="0" distB="0" distL="114300" distR="114300" simplePos="0" relativeHeight="251658240" behindDoc="0" locked="0" layoutInCell="1" allowOverlap="1" wp14:anchorId="64A2AAA3" wp14:editId="6410EDE6">
            <wp:simplePos x="0" y="0"/>
            <wp:positionH relativeFrom="column">
              <wp:posOffset>-3175</wp:posOffset>
            </wp:positionH>
            <wp:positionV relativeFrom="paragraph">
              <wp:posOffset>250624</wp:posOffset>
            </wp:positionV>
            <wp:extent cx="5760720" cy="3047365"/>
            <wp:effectExtent l="0" t="0" r="0" b="63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60720" cy="3047365"/>
                    </a:xfrm>
                    <a:prstGeom prst="rect">
                      <a:avLst/>
                    </a:prstGeom>
                  </pic:spPr>
                </pic:pic>
              </a:graphicData>
            </a:graphic>
          </wp:anchor>
        </w:drawing>
      </w:r>
      <w:r>
        <w:rPr>
          <w:sz w:val="28"/>
          <w:szCs w:val="28"/>
          <w:u w:val="single"/>
          <w:lang w:val="en-GB"/>
        </w:rPr>
        <w:t>GDPR Authorit</w:t>
      </w:r>
      <w:r w:rsidR="002B5D88">
        <w:rPr>
          <w:sz w:val="28"/>
          <w:szCs w:val="28"/>
          <w:u w:val="single"/>
          <w:lang w:val="en-GB"/>
        </w:rPr>
        <w:t>i</w:t>
      </w:r>
      <w:r>
        <w:rPr>
          <w:sz w:val="28"/>
          <w:szCs w:val="28"/>
          <w:u w:val="single"/>
          <w:lang w:val="en-GB"/>
        </w:rPr>
        <w:t>es</w:t>
      </w:r>
    </w:p>
    <w:p w14:paraId="4A7A8D84" w14:textId="4379FF07" w:rsidR="0072055E" w:rsidRDefault="0072055E" w:rsidP="0072055E">
      <w:pPr>
        <w:rPr>
          <w:sz w:val="28"/>
          <w:szCs w:val="28"/>
          <w:u w:val="single"/>
          <w:lang w:val="en-GB"/>
        </w:rPr>
      </w:pPr>
    </w:p>
    <w:p w14:paraId="3A397CF2" w14:textId="2215EE13" w:rsidR="0072055E" w:rsidRDefault="0072055E" w:rsidP="0072055E">
      <w:pPr>
        <w:pStyle w:val="Listenabsatz"/>
        <w:numPr>
          <w:ilvl w:val="0"/>
          <w:numId w:val="7"/>
        </w:numPr>
        <w:rPr>
          <w:lang w:val="en-GB"/>
        </w:rPr>
      </w:pPr>
      <w:r>
        <w:rPr>
          <w:lang w:val="en-GB"/>
        </w:rPr>
        <w:t>Data controller: determine the purpose for which &amp; the means by which personal data is processed</w:t>
      </w:r>
    </w:p>
    <w:p w14:paraId="3E5B0D3E" w14:textId="317B8291" w:rsidR="0072055E" w:rsidRDefault="0072055E" w:rsidP="0072055E">
      <w:pPr>
        <w:pStyle w:val="Listenabsatz"/>
        <w:numPr>
          <w:ilvl w:val="0"/>
          <w:numId w:val="7"/>
        </w:numPr>
        <w:rPr>
          <w:lang w:val="en-GB"/>
        </w:rPr>
      </w:pPr>
      <w:r>
        <w:rPr>
          <w:lang w:val="en-GB"/>
        </w:rPr>
        <w:t>Data processors: processes personal data on behalf of the controller</w:t>
      </w:r>
    </w:p>
    <w:p w14:paraId="6A4CB004" w14:textId="61B302A7" w:rsidR="0072055E" w:rsidRDefault="0072055E" w:rsidP="0072055E">
      <w:pPr>
        <w:pStyle w:val="Listenabsatz"/>
        <w:numPr>
          <w:ilvl w:val="0"/>
          <w:numId w:val="7"/>
        </w:numPr>
        <w:rPr>
          <w:lang w:val="en-GB"/>
        </w:rPr>
      </w:pPr>
      <w:r>
        <w:rPr>
          <w:lang w:val="en-GB"/>
        </w:rPr>
        <w:t>Data protection officer: assisting controller, reports to the highest level of management of the organization</w:t>
      </w:r>
    </w:p>
    <w:p w14:paraId="2B79AAC5" w14:textId="41D3D3B7" w:rsidR="0072055E" w:rsidRDefault="0072055E" w:rsidP="0072055E">
      <w:pPr>
        <w:rPr>
          <w:sz w:val="28"/>
          <w:szCs w:val="28"/>
          <w:u w:val="single"/>
          <w:lang w:val="en-GB"/>
        </w:rPr>
      </w:pPr>
      <w:r>
        <w:rPr>
          <w:sz w:val="28"/>
          <w:szCs w:val="28"/>
          <w:u w:val="single"/>
          <w:lang w:val="en-GB"/>
        </w:rPr>
        <w:t>What happens when a breach has been taken place</w:t>
      </w:r>
    </w:p>
    <w:p w14:paraId="766DF170" w14:textId="6EEDE0B3" w:rsidR="0072055E" w:rsidRDefault="0072055E" w:rsidP="0072055E">
      <w:pPr>
        <w:pStyle w:val="Listenabsatz"/>
        <w:numPr>
          <w:ilvl w:val="0"/>
          <w:numId w:val="8"/>
        </w:numPr>
        <w:rPr>
          <w:lang w:val="en-GB"/>
        </w:rPr>
      </w:pPr>
      <w:r>
        <w:rPr>
          <w:lang w:val="en-GB"/>
        </w:rPr>
        <w:t>If it is likely that the breach poses a risk to an individual’s rights and freedom</w:t>
      </w:r>
    </w:p>
    <w:p w14:paraId="36F84536" w14:textId="79B4DE10" w:rsidR="0072055E" w:rsidRDefault="0072055E" w:rsidP="0072055E">
      <w:pPr>
        <w:pStyle w:val="Listenabsatz"/>
        <w:numPr>
          <w:ilvl w:val="1"/>
          <w:numId w:val="8"/>
        </w:numPr>
        <w:rPr>
          <w:lang w:val="en-GB"/>
        </w:rPr>
      </w:pPr>
      <w:r>
        <w:rPr>
          <w:lang w:val="en-GB"/>
        </w:rPr>
        <w:t>Your organization has to notify the supervisory authority without undue delay, and at the latest within 72 hours after having become aware of the breach</w:t>
      </w:r>
    </w:p>
    <w:p w14:paraId="4D6C71BF" w14:textId="566389E5" w:rsidR="0072055E" w:rsidRDefault="0072055E" w:rsidP="0072055E">
      <w:pPr>
        <w:pStyle w:val="Listenabsatz"/>
        <w:numPr>
          <w:ilvl w:val="0"/>
          <w:numId w:val="8"/>
        </w:numPr>
        <w:rPr>
          <w:lang w:val="en-GB"/>
        </w:rPr>
      </w:pPr>
      <w:r>
        <w:rPr>
          <w:lang w:val="en-GB"/>
        </w:rPr>
        <w:t>If you organization is a data processor</w:t>
      </w:r>
    </w:p>
    <w:p w14:paraId="43AE06F5" w14:textId="52257F3F" w:rsidR="0072055E" w:rsidRDefault="0072055E" w:rsidP="0072055E">
      <w:pPr>
        <w:pStyle w:val="Listenabsatz"/>
        <w:numPr>
          <w:ilvl w:val="1"/>
          <w:numId w:val="8"/>
        </w:numPr>
        <w:rPr>
          <w:lang w:val="en-GB"/>
        </w:rPr>
      </w:pPr>
      <w:r>
        <w:rPr>
          <w:lang w:val="en-GB"/>
        </w:rPr>
        <w:t xml:space="preserve">It must notify every data breach </w:t>
      </w:r>
      <w:r w:rsidR="002B5D88">
        <w:rPr>
          <w:lang w:val="en-GB"/>
        </w:rPr>
        <w:t>to the data controller</w:t>
      </w:r>
    </w:p>
    <w:p w14:paraId="0577E3F9" w14:textId="48B32CC3" w:rsidR="002B5D88" w:rsidRDefault="002B5D88" w:rsidP="002B5D88">
      <w:pPr>
        <w:pStyle w:val="Listenabsatz"/>
        <w:numPr>
          <w:ilvl w:val="0"/>
          <w:numId w:val="8"/>
        </w:numPr>
        <w:rPr>
          <w:lang w:val="en-GB"/>
        </w:rPr>
      </w:pPr>
      <w:r>
        <w:rPr>
          <w:lang w:val="en-GB"/>
        </w:rPr>
        <w:t>If the data breach poses a high risk to those individuals affected</w:t>
      </w:r>
    </w:p>
    <w:p w14:paraId="1CC91D6F" w14:textId="711B1212" w:rsidR="002B5D88" w:rsidRDefault="002B5D88" w:rsidP="002B5D88">
      <w:pPr>
        <w:pStyle w:val="Listenabsatz"/>
        <w:numPr>
          <w:ilvl w:val="1"/>
          <w:numId w:val="8"/>
        </w:numPr>
        <w:rPr>
          <w:lang w:val="en-GB"/>
        </w:rPr>
      </w:pPr>
      <w:r>
        <w:rPr>
          <w:lang w:val="en-GB"/>
        </w:rPr>
        <w:t>Those individuals should all also be informed, unless there are effective technical and organisational protection measures that have been put in place, or other measures that ensure that the risk is no longer likely to materialise</w:t>
      </w:r>
    </w:p>
    <w:p w14:paraId="369123B7" w14:textId="5F7CDFDF" w:rsidR="002B5D88" w:rsidRDefault="002B5D88" w:rsidP="002B5D88">
      <w:pPr>
        <w:pStyle w:val="Listenabsatz"/>
        <w:numPr>
          <w:ilvl w:val="0"/>
          <w:numId w:val="8"/>
        </w:numPr>
        <w:rPr>
          <w:lang w:val="en-GB"/>
        </w:rPr>
      </w:pPr>
      <w:r>
        <w:rPr>
          <w:lang w:val="en-GB"/>
        </w:rPr>
        <w:t>Whenever processing is likely to result in a high risk to the rights and freedoms of individuals</w:t>
      </w:r>
    </w:p>
    <w:p w14:paraId="54A55E07" w14:textId="7FBC6DC9" w:rsidR="002B5D88" w:rsidRDefault="002B5D88" w:rsidP="002B5D88">
      <w:pPr>
        <w:pStyle w:val="Listenabsatz"/>
        <w:numPr>
          <w:ilvl w:val="1"/>
          <w:numId w:val="8"/>
        </w:numPr>
        <w:rPr>
          <w:lang w:val="en-GB"/>
        </w:rPr>
      </w:pPr>
      <w:r>
        <w:rPr>
          <w:lang w:val="en-GB"/>
        </w:rPr>
        <w:t>A data protection impact assessment (DPIA), done from an authorized and certified organization, is required</w:t>
      </w:r>
    </w:p>
    <w:p w14:paraId="7ACCB90B" w14:textId="506EF542" w:rsidR="002B5D88" w:rsidRDefault="002B5D88" w:rsidP="002B5D88">
      <w:pPr>
        <w:rPr>
          <w:sz w:val="28"/>
          <w:szCs w:val="28"/>
          <w:u w:val="single"/>
          <w:lang w:val="en-GB"/>
        </w:rPr>
      </w:pPr>
      <w:r>
        <w:rPr>
          <w:sz w:val="28"/>
          <w:szCs w:val="28"/>
          <w:u w:val="single"/>
          <w:lang w:val="en-GB"/>
        </w:rPr>
        <w:t>Privacy by Design – principles</w:t>
      </w:r>
    </w:p>
    <w:p w14:paraId="1F4627B4" w14:textId="6A0447B6" w:rsidR="002B5D88" w:rsidRDefault="002B5D88" w:rsidP="002B5D88">
      <w:pPr>
        <w:pStyle w:val="Listenabsatz"/>
        <w:numPr>
          <w:ilvl w:val="0"/>
          <w:numId w:val="9"/>
        </w:numPr>
        <w:rPr>
          <w:lang w:val="en-GB"/>
        </w:rPr>
      </w:pPr>
      <w:r>
        <w:rPr>
          <w:lang w:val="en-GB"/>
        </w:rPr>
        <w:t>Proactive not reactive</w:t>
      </w:r>
    </w:p>
    <w:p w14:paraId="413FF2E6" w14:textId="2AEAB741" w:rsidR="002B5D88" w:rsidRDefault="002B5D88" w:rsidP="002B5D88">
      <w:pPr>
        <w:pStyle w:val="Listenabsatz"/>
        <w:numPr>
          <w:ilvl w:val="0"/>
          <w:numId w:val="9"/>
        </w:numPr>
        <w:rPr>
          <w:lang w:val="en-GB"/>
        </w:rPr>
      </w:pPr>
      <w:r>
        <w:rPr>
          <w:lang w:val="en-GB"/>
        </w:rPr>
        <w:t>Privacy as the default setting</w:t>
      </w:r>
    </w:p>
    <w:p w14:paraId="09851288" w14:textId="70AD2F38" w:rsidR="002B5D88" w:rsidRDefault="002B5D88" w:rsidP="002B5D88">
      <w:pPr>
        <w:pStyle w:val="Listenabsatz"/>
        <w:numPr>
          <w:ilvl w:val="0"/>
          <w:numId w:val="9"/>
        </w:numPr>
        <w:rPr>
          <w:lang w:val="en-GB"/>
        </w:rPr>
      </w:pPr>
      <w:r>
        <w:rPr>
          <w:lang w:val="en-GB"/>
        </w:rPr>
        <w:t xml:space="preserve">Privacy embedded into design </w:t>
      </w:r>
    </w:p>
    <w:p w14:paraId="3EF96D82" w14:textId="6E8162C9" w:rsidR="002B5D88" w:rsidRDefault="002B5D88" w:rsidP="002B5D88">
      <w:pPr>
        <w:pStyle w:val="Listenabsatz"/>
        <w:numPr>
          <w:ilvl w:val="0"/>
          <w:numId w:val="9"/>
        </w:numPr>
        <w:rPr>
          <w:lang w:val="en-GB"/>
        </w:rPr>
      </w:pPr>
      <w:r>
        <w:rPr>
          <w:lang w:val="en-GB"/>
        </w:rPr>
        <w:t>Full functionality</w:t>
      </w:r>
    </w:p>
    <w:p w14:paraId="74B7ABCF" w14:textId="7F180215" w:rsidR="002B5D88" w:rsidRDefault="002B5D88" w:rsidP="002B5D88">
      <w:pPr>
        <w:pStyle w:val="Listenabsatz"/>
        <w:numPr>
          <w:ilvl w:val="0"/>
          <w:numId w:val="9"/>
        </w:numPr>
        <w:rPr>
          <w:lang w:val="en-GB"/>
        </w:rPr>
      </w:pPr>
      <w:r>
        <w:rPr>
          <w:lang w:val="en-GB"/>
        </w:rPr>
        <w:t>End-to-end security</w:t>
      </w:r>
    </w:p>
    <w:p w14:paraId="5714D0B2" w14:textId="512C44CD" w:rsidR="002B5D88" w:rsidRDefault="002B5D88" w:rsidP="002B5D88">
      <w:pPr>
        <w:pStyle w:val="Listenabsatz"/>
        <w:numPr>
          <w:ilvl w:val="0"/>
          <w:numId w:val="9"/>
        </w:numPr>
        <w:rPr>
          <w:lang w:val="en-GB"/>
        </w:rPr>
      </w:pPr>
      <w:r>
        <w:rPr>
          <w:lang w:val="en-GB"/>
        </w:rPr>
        <w:t>Visibility and transparency</w:t>
      </w:r>
    </w:p>
    <w:p w14:paraId="2A58487C" w14:textId="07CC979E" w:rsidR="002B5D88" w:rsidRDefault="002B5D88" w:rsidP="002B5D88">
      <w:pPr>
        <w:pStyle w:val="Listenabsatz"/>
        <w:numPr>
          <w:ilvl w:val="0"/>
          <w:numId w:val="9"/>
        </w:numPr>
        <w:rPr>
          <w:lang w:val="en-GB"/>
        </w:rPr>
      </w:pPr>
      <w:r>
        <w:rPr>
          <w:lang w:val="en-GB"/>
        </w:rPr>
        <w:t>Respect for user privacy</w:t>
      </w:r>
    </w:p>
    <w:p w14:paraId="4EE12B8A" w14:textId="2727CBD0" w:rsidR="002B5D88" w:rsidRDefault="002B5D88" w:rsidP="002B5D88">
      <w:pPr>
        <w:rPr>
          <w:sz w:val="28"/>
          <w:szCs w:val="28"/>
          <w:u w:val="single"/>
          <w:lang w:val="en-GB"/>
        </w:rPr>
      </w:pPr>
      <w:r>
        <w:rPr>
          <w:sz w:val="28"/>
          <w:szCs w:val="28"/>
          <w:u w:val="single"/>
          <w:lang w:val="en-GB"/>
        </w:rPr>
        <w:lastRenderedPageBreak/>
        <w:t>Privacy Engineering – Development lifecycle</w:t>
      </w:r>
    </w:p>
    <w:p w14:paraId="3CC2A0A9" w14:textId="0984DDA9" w:rsidR="002B5D88" w:rsidRDefault="002B5D88" w:rsidP="002B5D88">
      <w:pPr>
        <w:pStyle w:val="Listenabsatz"/>
        <w:numPr>
          <w:ilvl w:val="0"/>
          <w:numId w:val="10"/>
        </w:numPr>
        <w:rPr>
          <w:lang w:val="en-GB"/>
        </w:rPr>
      </w:pPr>
      <w:r>
        <w:rPr>
          <w:lang w:val="en-GB"/>
        </w:rPr>
        <w:t>Requirements</w:t>
      </w:r>
    </w:p>
    <w:p w14:paraId="493847DA" w14:textId="709755C1" w:rsidR="002B5D88" w:rsidRDefault="002B5D88" w:rsidP="002B5D88">
      <w:pPr>
        <w:pStyle w:val="Listenabsatz"/>
        <w:numPr>
          <w:ilvl w:val="0"/>
          <w:numId w:val="10"/>
        </w:numPr>
        <w:rPr>
          <w:lang w:val="en-GB"/>
        </w:rPr>
      </w:pPr>
      <w:r>
        <w:rPr>
          <w:lang w:val="en-GB"/>
        </w:rPr>
        <w:t>Data Protection Impact Assessment</w:t>
      </w:r>
    </w:p>
    <w:p w14:paraId="78C1C05A" w14:textId="79CF2CF9" w:rsidR="002B5D88" w:rsidRDefault="002B5D88" w:rsidP="002B5D88">
      <w:pPr>
        <w:pStyle w:val="Listenabsatz"/>
        <w:numPr>
          <w:ilvl w:val="1"/>
          <w:numId w:val="10"/>
        </w:numPr>
        <w:rPr>
          <w:lang w:val="en-GB"/>
        </w:rPr>
      </w:pPr>
      <w:r>
        <w:rPr>
          <w:lang w:val="en-GB"/>
        </w:rPr>
        <w:t>Risk assessment</w:t>
      </w:r>
    </w:p>
    <w:p w14:paraId="1BFD3E5A" w14:textId="7E253746" w:rsidR="002B5D88" w:rsidRDefault="002B5D88" w:rsidP="002B5D88">
      <w:pPr>
        <w:pStyle w:val="Listenabsatz"/>
        <w:numPr>
          <w:ilvl w:val="0"/>
          <w:numId w:val="10"/>
        </w:numPr>
        <w:rPr>
          <w:lang w:val="en-GB"/>
        </w:rPr>
      </w:pPr>
      <w:r>
        <w:rPr>
          <w:lang w:val="en-GB"/>
        </w:rPr>
        <w:t>Specifications</w:t>
      </w:r>
    </w:p>
    <w:p w14:paraId="74C68511" w14:textId="67FECA1C" w:rsidR="002B5D88" w:rsidRDefault="002B5D88" w:rsidP="002B5D88">
      <w:pPr>
        <w:pStyle w:val="Listenabsatz"/>
        <w:numPr>
          <w:ilvl w:val="0"/>
          <w:numId w:val="10"/>
        </w:numPr>
        <w:rPr>
          <w:lang w:val="en-GB"/>
        </w:rPr>
      </w:pPr>
      <w:r>
        <w:rPr>
          <w:lang w:val="en-GB"/>
        </w:rPr>
        <w:t>Development Phase</w:t>
      </w:r>
    </w:p>
    <w:p w14:paraId="349C7940" w14:textId="1A64CEC9" w:rsidR="002B5D88" w:rsidRDefault="002B5D88" w:rsidP="002B5D88">
      <w:pPr>
        <w:pStyle w:val="Listenabsatz"/>
        <w:numPr>
          <w:ilvl w:val="0"/>
          <w:numId w:val="10"/>
        </w:numPr>
        <w:rPr>
          <w:lang w:val="en-GB"/>
        </w:rPr>
      </w:pPr>
      <w:r>
        <w:rPr>
          <w:lang w:val="en-GB"/>
        </w:rPr>
        <w:t>Testing</w:t>
      </w:r>
    </w:p>
    <w:p w14:paraId="285DB3E3" w14:textId="53D9F2EE" w:rsidR="002B5D88" w:rsidRDefault="002B5D88" w:rsidP="002B5D88">
      <w:pPr>
        <w:pStyle w:val="Listenabsatz"/>
        <w:numPr>
          <w:ilvl w:val="0"/>
          <w:numId w:val="10"/>
        </w:numPr>
        <w:rPr>
          <w:lang w:val="en-GB"/>
        </w:rPr>
      </w:pPr>
      <w:r>
        <w:rPr>
          <w:lang w:val="en-GB"/>
        </w:rPr>
        <w:t>Production</w:t>
      </w:r>
    </w:p>
    <w:p w14:paraId="6B497A96" w14:textId="7922AF92" w:rsidR="002B5D88" w:rsidRDefault="002B5D88" w:rsidP="002B5D88">
      <w:pPr>
        <w:pStyle w:val="Listenabsatz"/>
        <w:numPr>
          <w:ilvl w:val="0"/>
          <w:numId w:val="10"/>
        </w:numPr>
        <w:rPr>
          <w:lang w:val="en-GB"/>
        </w:rPr>
      </w:pPr>
      <w:r>
        <w:rPr>
          <w:lang w:val="en-GB"/>
        </w:rPr>
        <w:t>Service continuity (and problems)</w:t>
      </w:r>
    </w:p>
    <w:p w14:paraId="42B676B7" w14:textId="20687883" w:rsidR="002B5D88" w:rsidRDefault="002B5D88" w:rsidP="002B5D88">
      <w:pPr>
        <w:pStyle w:val="Listenabsatz"/>
        <w:numPr>
          <w:ilvl w:val="0"/>
          <w:numId w:val="10"/>
        </w:numPr>
        <w:rPr>
          <w:lang w:val="en-GB"/>
        </w:rPr>
      </w:pPr>
      <w:r>
        <w:rPr>
          <w:lang w:val="en-GB"/>
        </w:rPr>
        <w:t>End of life</w:t>
      </w:r>
    </w:p>
    <w:p w14:paraId="62E3FF59" w14:textId="6B60A496" w:rsidR="002B5D88" w:rsidRDefault="002B5D88" w:rsidP="002B5D88">
      <w:pPr>
        <w:rPr>
          <w:sz w:val="28"/>
          <w:szCs w:val="28"/>
          <w:u w:val="single"/>
          <w:lang w:val="en-GB"/>
        </w:rPr>
      </w:pPr>
      <w:r>
        <w:rPr>
          <w:sz w:val="28"/>
          <w:szCs w:val="28"/>
          <w:u w:val="single"/>
          <w:lang w:val="en-GB"/>
        </w:rPr>
        <w:t>PET (Privacy Enhancement Technologies)</w:t>
      </w:r>
    </w:p>
    <w:p w14:paraId="7596FEA8" w14:textId="2F42339B" w:rsidR="002B5D88" w:rsidRDefault="002B5D88" w:rsidP="002B5D88">
      <w:pPr>
        <w:pStyle w:val="Listenabsatz"/>
        <w:numPr>
          <w:ilvl w:val="0"/>
          <w:numId w:val="11"/>
        </w:numPr>
        <w:rPr>
          <w:lang w:val="en-GB"/>
        </w:rPr>
      </w:pPr>
      <w:r>
        <w:rPr>
          <w:lang w:val="en-GB"/>
        </w:rPr>
        <w:t>Encryption (Confidentiality, Integrity, Nonrepudiation)</w:t>
      </w:r>
    </w:p>
    <w:p w14:paraId="19C284E6" w14:textId="4BF51553" w:rsidR="002B5D88" w:rsidRDefault="002B5D88" w:rsidP="002B5D88">
      <w:pPr>
        <w:pStyle w:val="Listenabsatz"/>
        <w:numPr>
          <w:ilvl w:val="1"/>
          <w:numId w:val="11"/>
        </w:numPr>
        <w:rPr>
          <w:lang w:val="en-GB"/>
        </w:rPr>
      </w:pPr>
      <w:r>
        <w:rPr>
          <w:lang w:val="en-GB"/>
        </w:rPr>
        <w:t>Public key Cryptography</w:t>
      </w:r>
    </w:p>
    <w:p w14:paraId="14400106" w14:textId="583F856B" w:rsidR="002B5D88" w:rsidRDefault="002B5D88" w:rsidP="002B5D88">
      <w:pPr>
        <w:pStyle w:val="Listenabsatz"/>
        <w:numPr>
          <w:ilvl w:val="1"/>
          <w:numId w:val="11"/>
        </w:numPr>
        <w:rPr>
          <w:lang w:val="en-GB"/>
        </w:rPr>
      </w:pPr>
      <w:r>
        <w:rPr>
          <w:lang w:val="en-GB"/>
        </w:rPr>
        <w:t>Symmetric Cryptography still has a place</w:t>
      </w:r>
    </w:p>
    <w:p w14:paraId="17EE4300" w14:textId="64C8064C" w:rsidR="002B5D88" w:rsidRDefault="002B5D88" w:rsidP="002B5D88">
      <w:pPr>
        <w:pStyle w:val="Listenabsatz"/>
        <w:numPr>
          <w:ilvl w:val="1"/>
          <w:numId w:val="11"/>
        </w:numPr>
        <w:rPr>
          <w:lang w:val="en-GB"/>
        </w:rPr>
      </w:pPr>
      <w:r>
        <w:rPr>
          <w:lang w:val="en-GB"/>
        </w:rPr>
        <w:t>Hashing</w:t>
      </w:r>
    </w:p>
    <w:p w14:paraId="68A675F0" w14:textId="0588FA86" w:rsidR="002B5D88" w:rsidRDefault="002B5D88" w:rsidP="002B5D88">
      <w:pPr>
        <w:pStyle w:val="Listenabsatz"/>
        <w:numPr>
          <w:ilvl w:val="0"/>
          <w:numId w:val="11"/>
        </w:numPr>
        <w:rPr>
          <w:lang w:val="en-GB"/>
        </w:rPr>
      </w:pPr>
      <w:r>
        <w:rPr>
          <w:lang w:val="en-GB"/>
        </w:rPr>
        <w:t>Access control</w:t>
      </w:r>
    </w:p>
    <w:p w14:paraId="72FFA1CC" w14:textId="21FDD19F" w:rsidR="002B5D88" w:rsidRDefault="002B5D88" w:rsidP="002B5D88">
      <w:pPr>
        <w:pStyle w:val="Listenabsatz"/>
        <w:numPr>
          <w:ilvl w:val="1"/>
          <w:numId w:val="11"/>
        </w:numPr>
        <w:rPr>
          <w:lang w:val="en-GB"/>
        </w:rPr>
      </w:pPr>
      <w:r>
        <w:rPr>
          <w:lang w:val="en-GB"/>
        </w:rPr>
        <w:t>Granularity of access control level: Collection level / Record level / Cell level / Metadata</w:t>
      </w:r>
    </w:p>
    <w:p w14:paraId="215F89F8" w14:textId="02E811F3" w:rsidR="002B5D88" w:rsidRDefault="002B5D88" w:rsidP="002B5D88">
      <w:pPr>
        <w:pStyle w:val="Listenabsatz"/>
        <w:numPr>
          <w:ilvl w:val="1"/>
          <w:numId w:val="11"/>
        </w:numPr>
        <w:rPr>
          <w:lang w:val="en-GB"/>
        </w:rPr>
      </w:pPr>
      <w:r>
        <w:rPr>
          <w:lang w:val="en-GB"/>
        </w:rPr>
        <w:t>Federated systems, federated access control</w:t>
      </w:r>
    </w:p>
    <w:p w14:paraId="1C054356" w14:textId="56EFFCD8" w:rsidR="002B5D88" w:rsidRDefault="002B5D88" w:rsidP="002B5D88">
      <w:pPr>
        <w:pStyle w:val="Listenabsatz"/>
        <w:numPr>
          <w:ilvl w:val="1"/>
          <w:numId w:val="11"/>
        </w:numPr>
        <w:rPr>
          <w:lang w:val="en-GB"/>
        </w:rPr>
      </w:pPr>
      <w:r>
        <w:rPr>
          <w:lang w:val="en-GB"/>
        </w:rPr>
        <w:t>Multi-factor authentication</w:t>
      </w:r>
    </w:p>
    <w:p w14:paraId="4FC3D205" w14:textId="2790EDD5" w:rsidR="002B5D88" w:rsidRDefault="002B5D88" w:rsidP="002B5D88">
      <w:pPr>
        <w:pStyle w:val="Listenabsatz"/>
        <w:numPr>
          <w:ilvl w:val="0"/>
          <w:numId w:val="11"/>
        </w:numPr>
        <w:rPr>
          <w:lang w:val="en-GB"/>
        </w:rPr>
      </w:pPr>
      <w:r>
        <w:rPr>
          <w:lang w:val="en-GB"/>
        </w:rPr>
        <w:t>Anonymisation / Pseudonymisation</w:t>
      </w:r>
    </w:p>
    <w:p w14:paraId="22084E71" w14:textId="7F6E6DAE" w:rsidR="002B5D88" w:rsidRDefault="002B5D88" w:rsidP="002B5D88">
      <w:pPr>
        <w:pStyle w:val="Listenabsatz"/>
        <w:numPr>
          <w:ilvl w:val="1"/>
          <w:numId w:val="11"/>
        </w:numPr>
        <w:rPr>
          <w:lang w:val="en-GB"/>
        </w:rPr>
      </w:pPr>
      <w:r>
        <w:rPr>
          <w:lang w:val="en-GB"/>
        </w:rPr>
        <w:t>Anonymisation</w:t>
      </w:r>
    </w:p>
    <w:p w14:paraId="4A729616" w14:textId="06DFD282" w:rsidR="002B5D88" w:rsidRDefault="002B5D88" w:rsidP="002B5D88">
      <w:pPr>
        <w:pStyle w:val="Listenabsatz"/>
        <w:numPr>
          <w:ilvl w:val="2"/>
          <w:numId w:val="11"/>
        </w:numPr>
        <w:rPr>
          <w:lang w:val="en-GB"/>
        </w:rPr>
      </w:pPr>
      <w:r>
        <w:rPr>
          <w:lang w:val="en-GB"/>
        </w:rPr>
        <w:t>Cannot be used to identifying a natural person</w:t>
      </w:r>
    </w:p>
    <w:p w14:paraId="539B6DB0" w14:textId="038A037D" w:rsidR="00C375C1" w:rsidRDefault="00C375C1" w:rsidP="00C375C1">
      <w:pPr>
        <w:pStyle w:val="Listenabsatz"/>
        <w:numPr>
          <w:ilvl w:val="3"/>
          <w:numId w:val="11"/>
        </w:numPr>
        <w:rPr>
          <w:lang w:val="en-GB"/>
        </w:rPr>
      </w:pPr>
      <w:r>
        <w:rPr>
          <w:lang w:val="en-GB"/>
        </w:rPr>
        <w:t xml:space="preserve">“Mark spent 30€ on a bottle of Scotch” </w:t>
      </w:r>
      <w:r w:rsidRPr="00C375C1">
        <w:rPr>
          <w:lang w:val="en-GB"/>
        </w:rPr>
        <w:sym w:font="Wingdings" w:char="F0E0"/>
      </w:r>
      <w:r>
        <w:rPr>
          <w:lang w:val="en-GB"/>
        </w:rPr>
        <w:t xml:space="preserve"> “A customer spent 30€ on an item”</w:t>
      </w:r>
    </w:p>
    <w:p w14:paraId="65CE23A2" w14:textId="2A8D64B2" w:rsidR="00C375C1" w:rsidRDefault="00C375C1" w:rsidP="002B5D88">
      <w:pPr>
        <w:pStyle w:val="Listenabsatz"/>
        <w:numPr>
          <w:ilvl w:val="2"/>
          <w:numId w:val="11"/>
        </w:numPr>
        <w:rPr>
          <w:lang w:val="en-GB"/>
        </w:rPr>
      </w:pPr>
      <w:r>
        <w:rPr>
          <w:lang w:val="en-GB"/>
        </w:rPr>
        <w:t>Difficult for “Big Data”, because issues with linking</w:t>
      </w:r>
    </w:p>
    <w:p w14:paraId="2A70EAE7" w14:textId="04023831" w:rsidR="00C375C1" w:rsidRDefault="00C375C1" w:rsidP="00C375C1">
      <w:pPr>
        <w:pStyle w:val="Listenabsatz"/>
        <w:numPr>
          <w:ilvl w:val="1"/>
          <w:numId w:val="11"/>
        </w:numPr>
        <w:rPr>
          <w:lang w:val="en-GB"/>
        </w:rPr>
      </w:pPr>
      <w:r>
        <w:rPr>
          <w:lang w:val="en-GB"/>
        </w:rPr>
        <w:t>Pseudonymisation</w:t>
      </w:r>
    </w:p>
    <w:p w14:paraId="6432703D" w14:textId="0EFAC0CC" w:rsidR="00C375C1" w:rsidRDefault="00C375C1" w:rsidP="00C375C1">
      <w:pPr>
        <w:pStyle w:val="Listenabsatz"/>
        <w:numPr>
          <w:ilvl w:val="2"/>
          <w:numId w:val="11"/>
        </w:numPr>
        <w:rPr>
          <w:lang w:val="en-GB"/>
        </w:rPr>
      </w:pPr>
      <w:r>
        <w:rPr>
          <w:lang w:val="en-GB"/>
        </w:rPr>
        <w:t>Replacing attributes to anonymise natural persons that might be reversable</w:t>
      </w:r>
    </w:p>
    <w:p w14:paraId="44C2F939" w14:textId="3A280372" w:rsidR="00C375C1" w:rsidRDefault="00C375C1" w:rsidP="00C375C1">
      <w:pPr>
        <w:pStyle w:val="Listenabsatz"/>
        <w:numPr>
          <w:ilvl w:val="3"/>
          <w:numId w:val="11"/>
        </w:numPr>
        <w:rPr>
          <w:lang w:val="en-GB"/>
        </w:rPr>
      </w:pPr>
      <w:r>
        <w:rPr>
          <w:lang w:val="en-GB"/>
        </w:rPr>
        <w:t xml:space="preserve">“Mark spent 30€ on a bottle of Scotch” </w:t>
      </w:r>
      <w:r w:rsidRPr="00C375C1">
        <w:rPr>
          <w:lang w:val="en-GB"/>
        </w:rPr>
        <w:sym w:font="Wingdings" w:char="F0E0"/>
      </w:r>
      <w:r>
        <w:rPr>
          <w:lang w:val="en-GB"/>
        </w:rPr>
        <w:t xml:space="preserve"> “</w:t>
      </w:r>
      <w:r>
        <w:rPr>
          <w:lang w:val="en-GB"/>
        </w:rPr>
        <w:t>Customer x spent 30€ on item 56152”</w:t>
      </w:r>
    </w:p>
    <w:p w14:paraId="2C18F70B" w14:textId="05CCDE41" w:rsidR="00C375C1" w:rsidRPr="00C375C1" w:rsidRDefault="00C375C1" w:rsidP="00C375C1">
      <w:pPr>
        <w:pStyle w:val="Listenabsatz"/>
        <w:numPr>
          <w:ilvl w:val="2"/>
          <w:numId w:val="11"/>
        </w:numPr>
        <w:rPr>
          <w:lang w:val="en-GB"/>
        </w:rPr>
      </w:pPr>
      <w:r>
        <w:rPr>
          <w:lang w:val="en-GB"/>
        </w:rPr>
        <w:t>No reason to not use it</w:t>
      </w:r>
    </w:p>
    <w:p w14:paraId="38605245" w14:textId="77777777" w:rsidR="0072055E" w:rsidRPr="0072055E" w:rsidRDefault="0072055E" w:rsidP="0072055E">
      <w:pPr>
        <w:rPr>
          <w:lang w:val="en-GB"/>
        </w:rPr>
      </w:pPr>
    </w:p>
    <w:sectPr w:rsidR="0072055E" w:rsidRPr="0072055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274A1"/>
    <w:multiLevelType w:val="hybridMultilevel"/>
    <w:tmpl w:val="2C008A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8975B8E"/>
    <w:multiLevelType w:val="hybridMultilevel"/>
    <w:tmpl w:val="295063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E97220F"/>
    <w:multiLevelType w:val="hybridMultilevel"/>
    <w:tmpl w:val="9EEA07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9D55B59"/>
    <w:multiLevelType w:val="hybridMultilevel"/>
    <w:tmpl w:val="5706E2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03E4479"/>
    <w:multiLevelType w:val="hybridMultilevel"/>
    <w:tmpl w:val="3DF8C64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0583851"/>
    <w:multiLevelType w:val="hybridMultilevel"/>
    <w:tmpl w:val="7EBC75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F8B5173"/>
    <w:multiLevelType w:val="hybridMultilevel"/>
    <w:tmpl w:val="00643B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34661B1"/>
    <w:multiLevelType w:val="hybridMultilevel"/>
    <w:tmpl w:val="369C89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64A1496"/>
    <w:multiLevelType w:val="hybridMultilevel"/>
    <w:tmpl w:val="DBDAB7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8887EEA"/>
    <w:multiLevelType w:val="hybridMultilevel"/>
    <w:tmpl w:val="76E6DB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26C6ABB"/>
    <w:multiLevelType w:val="hybridMultilevel"/>
    <w:tmpl w:val="900CA1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06291125">
    <w:abstractNumId w:val="9"/>
  </w:num>
  <w:num w:numId="2" w16cid:durableId="1771312176">
    <w:abstractNumId w:val="0"/>
  </w:num>
  <w:num w:numId="3" w16cid:durableId="1801607851">
    <w:abstractNumId w:val="2"/>
  </w:num>
  <w:num w:numId="4" w16cid:durableId="1581283430">
    <w:abstractNumId w:val="3"/>
  </w:num>
  <w:num w:numId="5" w16cid:durableId="258686064">
    <w:abstractNumId w:val="6"/>
  </w:num>
  <w:num w:numId="6" w16cid:durableId="1618414264">
    <w:abstractNumId w:val="10"/>
  </w:num>
  <w:num w:numId="7" w16cid:durableId="1613900667">
    <w:abstractNumId w:val="8"/>
  </w:num>
  <w:num w:numId="8" w16cid:durableId="1488207673">
    <w:abstractNumId w:val="1"/>
  </w:num>
  <w:num w:numId="9" w16cid:durableId="548762677">
    <w:abstractNumId w:val="7"/>
  </w:num>
  <w:num w:numId="10" w16cid:durableId="112794596">
    <w:abstractNumId w:val="4"/>
  </w:num>
  <w:num w:numId="11" w16cid:durableId="7310021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433"/>
    <w:rsid w:val="00293AC8"/>
    <w:rsid w:val="002A7433"/>
    <w:rsid w:val="002B5D88"/>
    <w:rsid w:val="0072055E"/>
    <w:rsid w:val="008333F9"/>
    <w:rsid w:val="00C375C1"/>
    <w:rsid w:val="00E5405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01E91"/>
  <w15:chartTrackingRefBased/>
  <w15:docId w15:val="{565915B6-81B6-49A1-8EDD-D74BBE082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93A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614</Words>
  <Characters>3870</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dc:creator>
  <cp:keywords/>
  <dc:description/>
  <cp:lastModifiedBy>Jan S</cp:lastModifiedBy>
  <cp:revision>2</cp:revision>
  <dcterms:created xsi:type="dcterms:W3CDTF">2022-10-11T16:27:00Z</dcterms:created>
  <dcterms:modified xsi:type="dcterms:W3CDTF">2022-10-11T17:31:00Z</dcterms:modified>
</cp:coreProperties>
</file>