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Criptografia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Lista de atividades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Registro de nota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Classificação: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mensagem secreta (M); é cifrada.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versão, identificador do usuário e sequência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dados associados (AAD); ficam visíveis, mas autenticados.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nonce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público; precisa ser único por chave.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chave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secreta; fica fora do registro transmitido.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Justificativa: só a nota precisa de sigilo. Os campos de contexto precisam permanecer legíveis para o receptor, mas não podem ser trocados sem que a etiqueta falhe. Verificação que liga o registro ao usuário: depois do Open, a aplicação compara o usuário autenticado (lido do AAD) com o usuário esperado da operação solicitada.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Tamanhos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 tem o mesmo tamanho de 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 bytes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Saída do AESGCM (C || T): 23 + 16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39 bytes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Registro completo (A || N || C || T): 7 + 12 + 23 + 16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58 bytes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chave de 16 bytes não aumenta o registro, pois é guardada separadamente.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Ambiguidade dos pares (a, bc) e (ab, c)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(a, bc) -&gt; 01 61 02 62 63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(ab, c) -&gt; 02 61 62 01 63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 o byte de comprimento, as duas representações passam a ser diferentes. Limite: cada campo pode ter de 0 a 255 bytes, já que o comprimento cabe em 1 byte. Validação: o decodificador deve rejeitar truncamento (campo que declara mais bytes do que restam) e dados extras no final.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Nonce com prefixo 2 e contador 255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prefixo (4 bytes): 00 00 00 02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contador (8 bytes): 00 00 00 00 00 00 00 FF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nonce (12 bytes): 00 00 00 02 00 00 00 00 00 00 00 FF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contador seguinte (256): 00 00 00 00 00 00 01 00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Salvar o contador só depois da cifração é perigoso porque o processo pode cair entre cifrar e salvar. Ao reiniciar, ele lê o valor antigo e cifra outra mensagem com o mesmo nonce na mesma chave. Por isso a reserva do valor precisa ser durável antes de usá-lo (perder um número é melhor do que usar duas vezes).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Colisão com nonces uniformes de 64 bits e q = 2</w:t>
      </w:r>
      <w:r>
        <w:rPr>
          <w:rFonts w:ascii="Arial" w:cs="Arial" w:eastAsia="Arial" w:hAnsi="Arial"/>
          <w:b/>
          <w:bCs/>
          <w:sz w:val="22"/>
          <w:szCs w:val="22"/>
          <w:vertAlign w:val="superscript"/>
        </w:rPr>
        <w:t xml:space="preserve">20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q(q − 1) é aproximadamente 2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40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λ = 2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40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(2 · 2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64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 = 2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−25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ou seja, cerca de 2,98 × 10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−8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Como λ é muito pequeno, P é aproximadamente λ, cerca de 2,98 × 10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−8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Duas situações que invalidam a hipótese de sorteios independentes e uniformes: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gerador defeituoso ou previsível (por exemplo, mesma semente após um reinício);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máquina virtual clonada ou backup restaurado, que repete o estado do gerador.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Etiqueta de 64 bits com 2</w:t>
      </w:r>
      <w:r>
        <w:rPr>
          <w:rFonts w:ascii="Arial" w:cs="Arial" w:eastAsia="Arial" w:hAnsi="Arial"/>
          <w:b/>
          <w:bCs/>
          <w:sz w:val="22"/>
          <w:szCs w:val="22"/>
          <w:vertAlign w:val="superscript"/>
        </w:rPr>
        <w:t xml:space="preserve">16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tentativas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Chance por tentativa: 2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−64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cerca de 5,42 × 10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−20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Limite acumulado: 2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16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2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64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= 2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−48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cerca de 3,55 × 10</w:t>
      </w:r>
      <w:r>
        <w:rPr>
          <w:rFonts w:ascii="Arial" w:cs="Arial" w:eastAsia="Arial" w:hAnsi="Arial"/>
          <w:b w:val="false"/>
          <w:bCs w:val="false"/>
          <w:sz w:val="22"/>
          <w:szCs w:val="22"/>
          <w:vertAlign w:val="superscript"/>
        </w:rPr>
        <w:t xml:space="preserve">−15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Isso não é uma análise completa porque é um modelo ideal de adivinhação: não considera nonce repetido, volume de dados processados, falhas de implementação nem os demais termos dos limites de segurança do GCM.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Registro válido recebido duas vezes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Não, o Open não é obrigado a falhar: o registro intacto continua criptograficamente válido e a biblioteca o abre normalmente. O controle de sequência é política da aplicação e fica no estado do receptor, em armazenamento persistente (por exemplo, um banco de dados), guardando as sequências já aceitas. A atualização ocorre apenas depois de autenticação, contexto e repetição terem passado, de forma coordenada com a efetivação da ação, para que duas recepções simultâneas não executem duas vezes. Se qualquer verificação falhar, o estado não muda.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Contexto não comparado e uso de M antes do Open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Problema que permanece: um registro válido de outro usuário (ou copiado de outra posição) pode ser aceito para a operação solicitada. A etiqueta só garante que os bytes não foram alterados, não que o contexto é o esperado: autenticar não é autorizar.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tentar imprimir M antes de o Open retornar: o Open só devolve a mensagem depois de autenticar. Usar qualquer texto candidato antes disso é agir sobre dado não verificado, que pode ter sido adulterado. A aplicação não deve exibir, gravar nem interpretar esse texto antes do sucesso.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Correção da frase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"AAD fica secreto": errado. O AAD não é cifrado; fica visível e apenas autenticado.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"Etiqueta válida prova qual pessoa enviou": errado. Prova que quem produziu a etiqueta conhece a chave, e todos os que compartilham a chave simétrica conseguem gerar etiquetas válidas.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"Nonce pode repetir se o texto for diferente": errado. Nos esquemas estudados, o nonce não pode se repetir sob a mesma chave, independentemente do conteúdo.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Desenho do teste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cada caso, parte-se de uma cópia do registro original e altera-se apenas um campo: C, T, AAD, nonce e chave (outra chave gerada). Acrescentam-se os casos de mensagem repetida e de contexto errado.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Falham na biblioteca (InvalidTag): C alterado, T alterada, AAD alterado, nonce alterado e chave errada.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Pertencem à política da aplicação: a mensagem repetida (a biblioteca abre; o controle de sequência recusa) e o contexto errado, como um registro válido do usuário 17 quando se espera o 18 (a biblioteca abre; a comparação de contexto recusa).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2026-10-20T13:04:33.994Z</dcterms:created>
  <dcterms:modified xsi:type="dcterms:W3CDTF">2026-10-20T13:04:33.994Z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