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4C59C" w14:textId="25021B12" w:rsidR="00846C7E" w:rsidRPr="001F758F" w:rsidRDefault="0051650D" w:rsidP="00425F0C">
      <w:pPr>
        <w:spacing w:line="480" w:lineRule="auto"/>
        <w:jc w:val="both"/>
        <w:rPr>
          <w:rFonts w:ascii="Garamond" w:hAnsi="Garamond"/>
          <w:b/>
          <w:bCs/>
          <w:sz w:val="32"/>
          <w:szCs w:val="32"/>
        </w:rPr>
      </w:pPr>
      <w:r w:rsidRPr="001F758F">
        <w:rPr>
          <w:rFonts w:ascii="Garamond" w:hAnsi="Garamond"/>
          <w:b/>
          <w:bCs/>
          <w:sz w:val="32"/>
          <w:szCs w:val="32"/>
        </w:rPr>
        <w:t>Culture of countries and country-index crash risk</w:t>
      </w:r>
    </w:p>
    <w:p w14:paraId="5CD54C9E" w14:textId="38CE95ED" w:rsidR="0051650D" w:rsidRPr="00086601" w:rsidRDefault="0051650D" w:rsidP="00425F0C">
      <w:pPr>
        <w:spacing w:line="480" w:lineRule="auto"/>
        <w:jc w:val="both"/>
        <w:rPr>
          <w:rFonts w:ascii="Garamond" w:hAnsi="Garamond"/>
          <w:b/>
          <w:bCs/>
          <w:sz w:val="24"/>
          <w:szCs w:val="24"/>
        </w:rPr>
      </w:pPr>
      <w:r w:rsidRPr="00086601">
        <w:rPr>
          <w:rFonts w:ascii="Garamond" w:hAnsi="Garamond"/>
          <w:b/>
          <w:bCs/>
          <w:sz w:val="24"/>
          <w:szCs w:val="24"/>
        </w:rPr>
        <w:t>Jason Petri</w:t>
      </w:r>
    </w:p>
    <w:p w14:paraId="685A7DE3" w14:textId="6B28DE4E" w:rsidR="0051650D" w:rsidRPr="00086601" w:rsidRDefault="0051650D" w:rsidP="00425F0C">
      <w:pPr>
        <w:spacing w:line="480" w:lineRule="auto"/>
        <w:jc w:val="both"/>
        <w:rPr>
          <w:rFonts w:ascii="Garamond" w:hAnsi="Garamond"/>
          <w:i/>
          <w:iCs/>
          <w:sz w:val="24"/>
          <w:szCs w:val="24"/>
        </w:rPr>
      </w:pPr>
      <w:r w:rsidRPr="00086601">
        <w:rPr>
          <w:rFonts w:ascii="Garamond" w:hAnsi="Garamond"/>
          <w:i/>
          <w:iCs/>
          <w:sz w:val="24"/>
          <w:szCs w:val="24"/>
        </w:rPr>
        <w:t>College of Business Administration, The University of Akron, Akron, Ohio 44325</w:t>
      </w:r>
    </w:p>
    <w:p w14:paraId="19E53BDE" w14:textId="0A366BEC" w:rsidR="0051650D" w:rsidRPr="00086601" w:rsidRDefault="0051650D" w:rsidP="00425F0C">
      <w:pPr>
        <w:spacing w:line="480" w:lineRule="auto"/>
        <w:jc w:val="both"/>
        <w:rPr>
          <w:rFonts w:ascii="Garamond" w:hAnsi="Garamond"/>
          <w:i/>
          <w:iCs/>
          <w:sz w:val="24"/>
          <w:szCs w:val="24"/>
        </w:rPr>
      </w:pPr>
    </w:p>
    <w:p w14:paraId="64D70005" w14:textId="27289E01" w:rsidR="0051650D" w:rsidRPr="00086601" w:rsidRDefault="0051650D" w:rsidP="00425F0C">
      <w:pPr>
        <w:spacing w:line="480" w:lineRule="auto"/>
        <w:jc w:val="both"/>
        <w:rPr>
          <w:rFonts w:ascii="Garamond" w:hAnsi="Garamond"/>
          <w:i/>
          <w:iCs/>
          <w:sz w:val="24"/>
          <w:szCs w:val="24"/>
        </w:rPr>
      </w:pPr>
    </w:p>
    <w:p w14:paraId="5C424C33" w14:textId="13432D81" w:rsidR="0051650D" w:rsidRPr="001F758F" w:rsidRDefault="0051650D" w:rsidP="00425F0C">
      <w:pPr>
        <w:spacing w:line="480" w:lineRule="auto"/>
        <w:jc w:val="both"/>
        <w:rPr>
          <w:rFonts w:ascii="Garamond" w:hAnsi="Garamond"/>
          <w:b/>
          <w:bCs/>
          <w:sz w:val="28"/>
          <w:szCs w:val="28"/>
        </w:rPr>
      </w:pPr>
      <w:r w:rsidRPr="001F758F">
        <w:rPr>
          <w:rFonts w:ascii="Garamond" w:hAnsi="Garamond"/>
          <w:b/>
          <w:bCs/>
          <w:sz w:val="28"/>
          <w:szCs w:val="28"/>
        </w:rPr>
        <w:t>Abstract</w:t>
      </w:r>
    </w:p>
    <w:p w14:paraId="13356E74" w14:textId="3D254681" w:rsidR="0051650D" w:rsidRPr="00086601" w:rsidRDefault="0051650D" w:rsidP="00425F0C">
      <w:pPr>
        <w:spacing w:line="480" w:lineRule="auto"/>
        <w:jc w:val="both"/>
        <w:rPr>
          <w:rFonts w:ascii="Garamond" w:hAnsi="Garamond"/>
          <w:sz w:val="24"/>
          <w:szCs w:val="24"/>
        </w:rPr>
      </w:pPr>
      <w:r w:rsidRPr="00086601">
        <w:rPr>
          <w:rFonts w:ascii="Garamond" w:hAnsi="Garamond"/>
          <w:b/>
          <w:bCs/>
          <w:sz w:val="24"/>
          <w:szCs w:val="24"/>
        </w:rPr>
        <w:tab/>
      </w:r>
      <w:r w:rsidR="00C233BF" w:rsidRPr="00086601">
        <w:rPr>
          <w:rFonts w:ascii="Garamond" w:hAnsi="Garamond"/>
          <w:sz w:val="24"/>
          <w:szCs w:val="24"/>
        </w:rPr>
        <w:t xml:space="preserve">This study applies crash risk calculations on country-level indices to identify the relationship between social, political, and economical factors of a large basket of countries and two forms of crash risk. Crash risk indicates levels of risk that are due to market asymmetry. Considering the various makeups of countries and the individualized financial systems </w:t>
      </w:r>
      <w:r w:rsidR="00443F55" w:rsidRPr="00086601">
        <w:rPr>
          <w:rFonts w:ascii="Garamond" w:hAnsi="Garamond"/>
          <w:sz w:val="24"/>
          <w:szCs w:val="24"/>
        </w:rPr>
        <w:t>that result, the extent that these factors influence the susceptibility of wide changes in the countries respective index. I find that there is no significant relationship between the various measures of societal factors and crash risk.</w:t>
      </w:r>
      <w:r w:rsidR="00086601">
        <w:rPr>
          <w:rFonts w:ascii="Garamond" w:hAnsi="Garamond"/>
          <w:sz w:val="24"/>
          <w:szCs w:val="24"/>
        </w:rPr>
        <w:t xml:space="preserve"> Compared to an economic factor like gross domestic product growth, there appears to be a significant relationship for crash risk.</w:t>
      </w:r>
    </w:p>
    <w:p w14:paraId="2936F5A0" w14:textId="0043300E" w:rsidR="00443F55" w:rsidRPr="00086601" w:rsidRDefault="00443F55" w:rsidP="00425F0C">
      <w:pPr>
        <w:spacing w:line="480" w:lineRule="auto"/>
        <w:jc w:val="both"/>
        <w:rPr>
          <w:rFonts w:ascii="Garamond" w:hAnsi="Garamond"/>
          <w:sz w:val="24"/>
          <w:szCs w:val="24"/>
        </w:rPr>
      </w:pPr>
      <w:r w:rsidRPr="00086601">
        <w:rPr>
          <w:rFonts w:ascii="Garamond" w:hAnsi="Garamond"/>
          <w:i/>
          <w:iCs/>
          <w:sz w:val="24"/>
          <w:szCs w:val="24"/>
        </w:rPr>
        <w:t xml:space="preserve">Keywords: </w:t>
      </w:r>
      <w:r w:rsidRPr="00086601">
        <w:rPr>
          <w:rFonts w:ascii="Garamond" w:hAnsi="Garamond"/>
          <w:sz w:val="24"/>
          <w:szCs w:val="24"/>
        </w:rPr>
        <w:t>Crash Risk; Culture</w:t>
      </w:r>
      <w:r w:rsidR="00233ED7" w:rsidRPr="00086601">
        <w:rPr>
          <w:rFonts w:ascii="Garamond" w:hAnsi="Garamond"/>
          <w:sz w:val="24"/>
          <w:szCs w:val="24"/>
        </w:rPr>
        <w:t>; Governance</w:t>
      </w:r>
    </w:p>
    <w:p w14:paraId="2C974242" w14:textId="41D5A828" w:rsidR="001F7631" w:rsidRPr="00086601" w:rsidRDefault="001F7631" w:rsidP="00425F0C">
      <w:pPr>
        <w:spacing w:line="480" w:lineRule="auto"/>
        <w:jc w:val="both"/>
        <w:rPr>
          <w:rFonts w:ascii="Garamond" w:hAnsi="Garamond"/>
          <w:sz w:val="24"/>
          <w:szCs w:val="24"/>
        </w:rPr>
      </w:pPr>
    </w:p>
    <w:p w14:paraId="3CA0E803" w14:textId="7CA3D6CF" w:rsidR="001F7631" w:rsidRPr="00086601" w:rsidRDefault="001F7631" w:rsidP="00425F0C">
      <w:pPr>
        <w:spacing w:line="480" w:lineRule="auto"/>
        <w:jc w:val="both"/>
        <w:rPr>
          <w:rFonts w:ascii="Garamond" w:hAnsi="Garamond"/>
          <w:sz w:val="24"/>
          <w:szCs w:val="24"/>
        </w:rPr>
      </w:pPr>
      <w:r w:rsidRPr="00086601">
        <w:rPr>
          <w:rFonts w:ascii="Garamond" w:hAnsi="Garamond"/>
          <w:sz w:val="24"/>
          <w:szCs w:val="24"/>
        </w:rPr>
        <w:t xml:space="preserve">Jason Petri, The University of Akron, Akron, USA, 325 </w:t>
      </w:r>
      <w:proofErr w:type="spellStart"/>
      <w:r w:rsidRPr="00086601">
        <w:rPr>
          <w:rFonts w:ascii="Garamond" w:hAnsi="Garamond"/>
          <w:sz w:val="24"/>
          <w:szCs w:val="24"/>
        </w:rPr>
        <w:t>Buchtel</w:t>
      </w:r>
      <w:proofErr w:type="spellEnd"/>
      <w:r w:rsidRPr="00086601">
        <w:rPr>
          <w:rFonts w:ascii="Garamond" w:hAnsi="Garamond"/>
          <w:sz w:val="24"/>
          <w:szCs w:val="24"/>
        </w:rPr>
        <w:t xml:space="preserve"> Common</w:t>
      </w:r>
      <w:r w:rsidR="00AD4C82" w:rsidRPr="00086601">
        <w:rPr>
          <w:rFonts w:ascii="Garamond" w:hAnsi="Garamond"/>
          <w:sz w:val="24"/>
          <w:szCs w:val="24"/>
        </w:rPr>
        <w:t>s</w:t>
      </w:r>
      <w:r w:rsidRPr="00086601">
        <w:rPr>
          <w:rFonts w:ascii="Garamond" w:hAnsi="Garamond"/>
          <w:sz w:val="24"/>
          <w:szCs w:val="24"/>
        </w:rPr>
        <w:t>, Akron, Ohio 44325, USA. Email: jfp21@zips.uakron.edu</w:t>
      </w:r>
    </w:p>
    <w:p w14:paraId="60C32C5C" w14:textId="77777777" w:rsidR="001F7631" w:rsidRPr="00086601" w:rsidRDefault="001F7631" w:rsidP="00425F0C">
      <w:pPr>
        <w:spacing w:line="480" w:lineRule="auto"/>
        <w:jc w:val="both"/>
        <w:rPr>
          <w:rFonts w:ascii="Garamond" w:hAnsi="Garamond"/>
          <w:sz w:val="24"/>
          <w:szCs w:val="24"/>
        </w:rPr>
      </w:pPr>
    </w:p>
    <w:p w14:paraId="79EB5B65" w14:textId="77777777" w:rsidR="00443F55" w:rsidRPr="00086601" w:rsidRDefault="00443F55" w:rsidP="00425F0C">
      <w:pPr>
        <w:spacing w:line="480" w:lineRule="auto"/>
        <w:jc w:val="both"/>
        <w:rPr>
          <w:rFonts w:ascii="Garamond" w:hAnsi="Garamond"/>
          <w:sz w:val="24"/>
          <w:szCs w:val="24"/>
        </w:rPr>
      </w:pPr>
      <w:r w:rsidRPr="00086601">
        <w:rPr>
          <w:rFonts w:ascii="Garamond" w:hAnsi="Garamond"/>
          <w:sz w:val="24"/>
          <w:szCs w:val="24"/>
        </w:rPr>
        <w:br w:type="page"/>
      </w:r>
    </w:p>
    <w:p w14:paraId="508A5C4D" w14:textId="787688FC" w:rsidR="00443F55" w:rsidRPr="001F758F" w:rsidRDefault="00443F55" w:rsidP="00425F0C">
      <w:pPr>
        <w:pStyle w:val="Heading1"/>
        <w:spacing w:line="480" w:lineRule="auto"/>
        <w:jc w:val="both"/>
        <w:rPr>
          <w:rFonts w:ascii="Garamond" w:hAnsi="Garamond"/>
          <w:b/>
          <w:bCs/>
          <w:color w:val="000000" w:themeColor="text1"/>
          <w:sz w:val="28"/>
          <w:szCs w:val="28"/>
        </w:rPr>
      </w:pPr>
      <w:r w:rsidRPr="001F758F">
        <w:rPr>
          <w:rFonts w:ascii="Garamond" w:hAnsi="Garamond"/>
          <w:b/>
          <w:bCs/>
          <w:color w:val="000000" w:themeColor="text1"/>
          <w:sz w:val="28"/>
          <w:szCs w:val="28"/>
        </w:rPr>
        <w:lastRenderedPageBreak/>
        <w:t>Introduction</w:t>
      </w:r>
    </w:p>
    <w:p w14:paraId="76722E38" w14:textId="791D6CF0" w:rsidR="00086601" w:rsidRPr="00086601" w:rsidRDefault="00086601" w:rsidP="00086601">
      <w:pPr>
        <w:spacing w:line="480" w:lineRule="auto"/>
        <w:rPr>
          <w:sz w:val="24"/>
          <w:szCs w:val="24"/>
        </w:rPr>
      </w:pPr>
      <w:r w:rsidRPr="00086601">
        <w:rPr>
          <w:sz w:val="24"/>
          <w:szCs w:val="24"/>
        </w:rPr>
        <w:tab/>
      </w:r>
      <w:r w:rsidRPr="00086601">
        <w:rPr>
          <w:rFonts w:ascii="Garamond" w:hAnsi="Garamond"/>
          <w:sz w:val="24"/>
          <w:szCs w:val="24"/>
        </w:rPr>
        <w:t>Many previous studies have used measures o</w:t>
      </w:r>
      <w:r>
        <w:rPr>
          <w:rFonts w:ascii="Garamond" w:hAnsi="Garamond"/>
          <w:sz w:val="24"/>
          <w:szCs w:val="24"/>
        </w:rPr>
        <w:t>f crash risk on firm level financial instruments (</w:t>
      </w:r>
      <w:proofErr w:type="spellStart"/>
      <w:r>
        <w:rPr>
          <w:rFonts w:ascii="Garamond" w:hAnsi="Garamond"/>
          <w:sz w:val="24"/>
          <w:szCs w:val="24"/>
        </w:rPr>
        <w:t>Huaping</w:t>
      </w:r>
      <w:proofErr w:type="spellEnd"/>
      <w:r>
        <w:rPr>
          <w:rFonts w:ascii="Garamond" w:hAnsi="Garamond"/>
          <w:sz w:val="24"/>
          <w:szCs w:val="24"/>
        </w:rPr>
        <w:t xml:space="preserve">, </w:t>
      </w:r>
      <w:proofErr w:type="spellStart"/>
      <w:r>
        <w:rPr>
          <w:rFonts w:ascii="Garamond" w:hAnsi="Garamond"/>
          <w:sz w:val="24"/>
          <w:szCs w:val="24"/>
        </w:rPr>
        <w:t>Feifan</w:t>
      </w:r>
      <w:proofErr w:type="spellEnd"/>
      <w:r>
        <w:rPr>
          <w:rFonts w:ascii="Garamond" w:hAnsi="Garamond"/>
          <w:sz w:val="24"/>
          <w:szCs w:val="24"/>
        </w:rPr>
        <w:t>, 2020; Chen, Stein, 2001). In</w:t>
      </w:r>
      <w:r w:rsidR="001F758F">
        <w:rPr>
          <w:rFonts w:ascii="Garamond" w:hAnsi="Garamond"/>
          <w:sz w:val="24"/>
          <w:szCs w:val="24"/>
        </w:rPr>
        <w:t xml:space="preserve"> my attempt to find academic literature</w:t>
      </w:r>
      <w:r>
        <w:rPr>
          <w:rFonts w:ascii="Garamond" w:hAnsi="Garamond"/>
          <w:sz w:val="24"/>
          <w:szCs w:val="24"/>
        </w:rPr>
        <w:t xml:space="preserve">, the concept of crash risk has not yet been applied to </w:t>
      </w:r>
      <w:r w:rsidR="001F758F">
        <w:rPr>
          <w:rFonts w:ascii="Garamond" w:hAnsi="Garamond"/>
          <w:sz w:val="24"/>
          <w:szCs w:val="24"/>
        </w:rPr>
        <w:t>country-level indices. This study will attempt to discover relationships between two forms of crash risk—negative skewness and down-to-up-volatility—and the aspects of the country’s culture, social preferences, and political systems. These relationships, if present, would lead to a better understanding to how crashes may form at a country level.</w:t>
      </w:r>
    </w:p>
    <w:p w14:paraId="39E37D32" w14:textId="0E3E2160" w:rsidR="00443F55" w:rsidRPr="001F758F" w:rsidRDefault="00443F55" w:rsidP="00425F0C">
      <w:pPr>
        <w:pStyle w:val="Heading1"/>
        <w:spacing w:line="480" w:lineRule="auto"/>
        <w:jc w:val="both"/>
        <w:rPr>
          <w:rFonts w:ascii="Garamond" w:hAnsi="Garamond"/>
          <w:b/>
          <w:bCs/>
          <w:color w:val="000000" w:themeColor="text1"/>
          <w:sz w:val="28"/>
          <w:szCs w:val="28"/>
        </w:rPr>
      </w:pPr>
      <w:r w:rsidRPr="001F758F">
        <w:rPr>
          <w:rFonts w:ascii="Garamond" w:hAnsi="Garamond"/>
          <w:b/>
          <w:bCs/>
          <w:color w:val="000000" w:themeColor="text1"/>
          <w:sz w:val="28"/>
          <w:szCs w:val="28"/>
        </w:rPr>
        <w:t>Empirical methodology</w:t>
      </w:r>
    </w:p>
    <w:p w14:paraId="00931527" w14:textId="7D8D9322" w:rsidR="00443F55" w:rsidRPr="001F758F" w:rsidRDefault="00443F55" w:rsidP="00425F0C">
      <w:pPr>
        <w:pStyle w:val="Heading2"/>
        <w:spacing w:line="480" w:lineRule="auto"/>
        <w:jc w:val="both"/>
        <w:rPr>
          <w:rFonts w:ascii="Garamond" w:hAnsi="Garamond"/>
          <w:b/>
          <w:bCs/>
          <w:color w:val="000000" w:themeColor="text1"/>
        </w:rPr>
      </w:pPr>
      <w:r w:rsidRPr="001F758F">
        <w:rPr>
          <w:rFonts w:ascii="Garamond" w:hAnsi="Garamond"/>
          <w:b/>
          <w:bCs/>
          <w:color w:val="000000" w:themeColor="text1"/>
        </w:rPr>
        <w:t>The sample</w:t>
      </w:r>
    </w:p>
    <w:p w14:paraId="3B5270F2" w14:textId="73F90EC0" w:rsidR="00443F55" w:rsidRPr="00086601" w:rsidRDefault="00443F55" w:rsidP="00425F0C">
      <w:pPr>
        <w:spacing w:line="480" w:lineRule="auto"/>
        <w:jc w:val="both"/>
        <w:rPr>
          <w:rFonts w:ascii="Garamond" w:hAnsi="Garamond"/>
          <w:sz w:val="24"/>
          <w:szCs w:val="24"/>
        </w:rPr>
      </w:pPr>
      <w:r w:rsidRPr="00086601">
        <w:rPr>
          <w:rFonts w:ascii="Garamond" w:hAnsi="Garamond"/>
          <w:sz w:val="24"/>
          <w:szCs w:val="24"/>
        </w:rPr>
        <w:tab/>
      </w:r>
      <w:r w:rsidR="007C0520" w:rsidRPr="00086601">
        <w:rPr>
          <w:rFonts w:ascii="Garamond" w:hAnsi="Garamond"/>
          <w:sz w:val="24"/>
          <w:szCs w:val="24"/>
        </w:rPr>
        <w:t>This study utilizes data provided by MSCI in multiple instances. The data required to calculate country-level crash risk was sourced from the MSCI Developed Markets Indexes database</w:t>
      </w:r>
      <w:r w:rsidR="006A1D85" w:rsidRPr="00086601">
        <w:rPr>
          <w:rStyle w:val="FootnoteReference"/>
          <w:rFonts w:ascii="Garamond" w:hAnsi="Garamond"/>
          <w:sz w:val="24"/>
          <w:szCs w:val="24"/>
        </w:rPr>
        <w:footnoteReference w:id="1"/>
      </w:r>
      <w:r w:rsidR="007C0520" w:rsidRPr="00086601">
        <w:rPr>
          <w:rFonts w:ascii="Garamond" w:hAnsi="Garamond"/>
          <w:sz w:val="24"/>
          <w:szCs w:val="24"/>
        </w:rPr>
        <w:t>. These indices are developed using the MSCI’s Global Investable Market Index (GIMI) methodology. Importantly, these indices are available in the United States Dollar currency. This feature was chosen to consistently remove the effects of regional currency issues in all comparative datasets. This dataset provided data for 73 countries</w:t>
      </w:r>
      <w:r w:rsidR="00EA5770" w:rsidRPr="00086601">
        <w:rPr>
          <w:rFonts w:ascii="Garamond" w:hAnsi="Garamond"/>
          <w:sz w:val="24"/>
          <w:szCs w:val="24"/>
        </w:rPr>
        <w:t xml:space="preserve">: Argentina, Australia, Austria, Bahrain, Bangladesh, Belgium, Bosnia And Herzegovina, Botswana, Brazil, Bulgaria, Canada, Chile, China, Colombia, Croatia, Czech Republic, Denmark, Egypt, Estonia, Finland, France, Germany, Ghana, Greece, Hong Kong, Hungary, India, Indonesia, Ireland, Israel, Italy, Jamaica, Japan, Jordan, Kazakhstan, Kenya, Korea, Kuwait, Lebanon, Lithuania, Malaysia, Mauritius, Mexico, Morocco, Netherlands, New Zealand, Nigeria, Norway, Oman, Pakistan, Peru, Philippines, Poland, Portugal, Qatar, Romania, Russia, Serbia, Singapore, Slovenia, Spain, SRI Lanka, Sweden, Switzerland, Thailand, Tunisia, Turkey, Ukraine, United Arab Emirates, United Kingdom, United States, Vietnam, and Zimbabwe. The data was </w:t>
      </w:r>
      <w:r w:rsidR="00EA5770" w:rsidRPr="00086601">
        <w:rPr>
          <w:rFonts w:ascii="Garamond" w:hAnsi="Garamond"/>
          <w:sz w:val="24"/>
          <w:szCs w:val="24"/>
        </w:rPr>
        <w:lastRenderedPageBreak/>
        <w:t>available in daily frequency beginning at the start of year 2000 through the end of 2019. Many countries had all datapoints available throughout this entire timeframe. However, a select group of countries did not have an initial starting date of the beginning of 2000. These countries had various starting dates but remained consistent in reporting once the initial date occurred.</w:t>
      </w:r>
    </w:p>
    <w:p w14:paraId="06F3DC40" w14:textId="0DF34B65" w:rsidR="00E422FE" w:rsidRPr="00086601" w:rsidRDefault="00EA5770" w:rsidP="00425F0C">
      <w:pPr>
        <w:spacing w:line="480" w:lineRule="auto"/>
        <w:jc w:val="both"/>
        <w:rPr>
          <w:rFonts w:ascii="Garamond" w:hAnsi="Garamond"/>
          <w:sz w:val="24"/>
          <w:szCs w:val="24"/>
        </w:rPr>
      </w:pPr>
      <w:r w:rsidRPr="00086601">
        <w:rPr>
          <w:rFonts w:ascii="Garamond" w:hAnsi="Garamond"/>
          <w:sz w:val="24"/>
          <w:szCs w:val="24"/>
        </w:rPr>
        <w:tab/>
      </w:r>
      <w:r w:rsidR="00FE6BD3" w:rsidRPr="00086601">
        <w:rPr>
          <w:rFonts w:ascii="Garamond" w:hAnsi="Garamond"/>
          <w:sz w:val="24"/>
          <w:szCs w:val="24"/>
        </w:rPr>
        <w:t>The factors that were utilized to form the independent variables in this study were sourced, in part, from The World Bank</w:t>
      </w:r>
      <w:r w:rsidR="00E35875" w:rsidRPr="00086601">
        <w:rPr>
          <w:rFonts w:ascii="Garamond" w:hAnsi="Garamond"/>
          <w:sz w:val="24"/>
          <w:szCs w:val="24"/>
        </w:rPr>
        <w:t xml:space="preserve"> data source</w:t>
      </w:r>
      <w:r w:rsidR="006A1D85" w:rsidRPr="00086601">
        <w:rPr>
          <w:rStyle w:val="FootnoteReference"/>
          <w:rFonts w:ascii="Garamond" w:hAnsi="Garamond"/>
          <w:sz w:val="24"/>
          <w:szCs w:val="24"/>
        </w:rPr>
        <w:footnoteReference w:id="2"/>
      </w:r>
      <w:r w:rsidR="00E35875" w:rsidRPr="00086601">
        <w:rPr>
          <w:rFonts w:ascii="Garamond" w:hAnsi="Garamond"/>
          <w:sz w:val="24"/>
          <w:szCs w:val="24"/>
        </w:rPr>
        <w:t>. In this study, it was necessary to acquire gross domestic product per capita and gross domestic product growth. The gross domestic product figures were stated in constant 2010 United States Dollars. This detail was chosen so values are rooted in a level of value around the midpoint of the timeseries data total range. Gross domestic product growth is represented at an annual frequency as this will align with the frequency of the studied dependent variables for crash risk.</w:t>
      </w:r>
    </w:p>
    <w:p w14:paraId="253A7521" w14:textId="463BA460" w:rsidR="00E422FE" w:rsidRPr="00086601" w:rsidRDefault="00E422FE" w:rsidP="00425F0C">
      <w:pPr>
        <w:spacing w:line="480" w:lineRule="auto"/>
        <w:jc w:val="both"/>
        <w:rPr>
          <w:rFonts w:ascii="Garamond" w:hAnsi="Garamond"/>
          <w:sz w:val="24"/>
          <w:szCs w:val="24"/>
        </w:rPr>
      </w:pPr>
      <w:r w:rsidRPr="00086601">
        <w:rPr>
          <w:rFonts w:ascii="Garamond" w:hAnsi="Garamond"/>
          <w:sz w:val="24"/>
          <w:szCs w:val="24"/>
        </w:rPr>
        <w:tab/>
        <w:t xml:space="preserve">To represent the </w:t>
      </w:r>
      <w:r w:rsidR="002B104C" w:rsidRPr="00086601">
        <w:rPr>
          <w:rFonts w:ascii="Garamond" w:hAnsi="Garamond"/>
          <w:sz w:val="24"/>
          <w:szCs w:val="24"/>
        </w:rPr>
        <w:t>dimensions of governance across many countries, the Worldwide Governance Indicators were used. This dataset provides six broad dimensions of governance: voice and accountability, political stability and absence of violence/terrorism, government effectiveness, regulatory quality, rule of law, and control of corruption</w:t>
      </w:r>
      <w:r w:rsidR="006A1D85" w:rsidRPr="00086601">
        <w:rPr>
          <w:rStyle w:val="FootnoteReference"/>
          <w:rFonts w:ascii="Garamond" w:hAnsi="Garamond"/>
          <w:sz w:val="24"/>
          <w:szCs w:val="24"/>
        </w:rPr>
        <w:footnoteReference w:id="3"/>
      </w:r>
      <w:r w:rsidR="002B104C" w:rsidRPr="00086601">
        <w:rPr>
          <w:rFonts w:ascii="Garamond" w:hAnsi="Garamond"/>
          <w:sz w:val="24"/>
          <w:szCs w:val="24"/>
        </w:rPr>
        <w:t>. The data provided is in annual frequency and complete for most countries in the 2000 to 2019 range.</w:t>
      </w:r>
    </w:p>
    <w:p w14:paraId="6FF6CD2E" w14:textId="58D0201D" w:rsidR="002B104C" w:rsidRPr="00086601" w:rsidRDefault="002B104C" w:rsidP="00425F0C">
      <w:pPr>
        <w:spacing w:line="480" w:lineRule="auto"/>
        <w:jc w:val="both"/>
        <w:rPr>
          <w:rFonts w:ascii="Garamond" w:hAnsi="Garamond"/>
          <w:sz w:val="24"/>
          <w:szCs w:val="24"/>
        </w:rPr>
      </w:pPr>
      <w:r w:rsidRPr="00086601">
        <w:rPr>
          <w:rFonts w:ascii="Garamond" w:hAnsi="Garamond"/>
          <w:sz w:val="24"/>
          <w:szCs w:val="24"/>
        </w:rPr>
        <w:tab/>
      </w:r>
      <w:r w:rsidR="00460723" w:rsidRPr="00086601">
        <w:rPr>
          <w:rFonts w:ascii="Garamond" w:hAnsi="Garamond"/>
          <w:sz w:val="24"/>
          <w:szCs w:val="24"/>
        </w:rPr>
        <w:t>Further independent variables were selected to represent the aspects of society in many different countries. The Hofstede Insights dataset provide six dimensions of national culture. National culture is represented through power distance, individualism versus collectivism, masculinity versus femininity, uncertainty avoidance, long term orientation versus short term normative orientation, and indulgence versus restraint. Power distance</w:t>
      </w:r>
      <w:r w:rsidR="00F85B94" w:rsidRPr="00086601">
        <w:rPr>
          <w:rFonts w:ascii="Garamond" w:hAnsi="Garamond"/>
          <w:sz w:val="24"/>
          <w:szCs w:val="24"/>
        </w:rPr>
        <w:t xml:space="preserve"> (PDI)</w:t>
      </w:r>
      <w:r w:rsidR="00460723" w:rsidRPr="00086601">
        <w:rPr>
          <w:rFonts w:ascii="Garamond" w:hAnsi="Garamond"/>
          <w:sz w:val="24"/>
          <w:szCs w:val="24"/>
        </w:rPr>
        <w:t xml:space="preserve"> expresses the </w:t>
      </w:r>
      <w:r w:rsidR="006A1D85" w:rsidRPr="00086601">
        <w:rPr>
          <w:rStyle w:val="FootnoteReference"/>
          <w:rFonts w:ascii="Garamond" w:hAnsi="Garamond"/>
          <w:sz w:val="24"/>
          <w:szCs w:val="24"/>
        </w:rPr>
        <w:footnoteReference w:id="4"/>
      </w:r>
      <w:r w:rsidR="00460723" w:rsidRPr="00086601">
        <w:rPr>
          <w:rFonts w:ascii="Garamond" w:hAnsi="Garamond"/>
          <w:sz w:val="24"/>
          <w:szCs w:val="24"/>
        </w:rPr>
        <w:t xml:space="preserve">degree to which the less powerful </w:t>
      </w:r>
      <w:r w:rsidR="00460723" w:rsidRPr="00086601">
        <w:rPr>
          <w:rFonts w:ascii="Garamond" w:hAnsi="Garamond"/>
          <w:sz w:val="24"/>
          <w:szCs w:val="24"/>
        </w:rPr>
        <w:lastRenderedPageBreak/>
        <w:t xml:space="preserve">members of a society accept and expect that power is distributed </w:t>
      </w:r>
      <w:r w:rsidR="006A1D85" w:rsidRPr="00086601">
        <w:rPr>
          <w:rFonts w:ascii="Garamond" w:hAnsi="Garamond"/>
          <w:sz w:val="24"/>
          <w:szCs w:val="24"/>
        </w:rPr>
        <w:t>unequally.</w:t>
      </w:r>
      <w:r w:rsidR="00460723" w:rsidRPr="00086601">
        <w:rPr>
          <w:rFonts w:ascii="Garamond" w:hAnsi="Garamond"/>
          <w:sz w:val="24"/>
          <w:szCs w:val="24"/>
        </w:rPr>
        <w:t xml:space="preserve"> Individualism versus collectivism</w:t>
      </w:r>
      <w:r w:rsidR="00F85B94" w:rsidRPr="00086601">
        <w:rPr>
          <w:rFonts w:ascii="Garamond" w:hAnsi="Garamond"/>
          <w:sz w:val="24"/>
          <w:szCs w:val="24"/>
        </w:rPr>
        <w:t xml:space="preserve"> (IDV)</w:t>
      </w:r>
      <w:r w:rsidR="00460723" w:rsidRPr="00086601">
        <w:rPr>
          <w:rFonts w:ascii="Garamond" w:hAnsi="Garamond"/>
          <w:sz w:val="24"/>
          <w:szCs w:val="24"/>
        </w:rPr>
        <w:t xml:space="preserve"> represents a preference to interact with themselves and immediate family whereas more collective societies </w:t>
      </w:r>
      <w:r w:rsidR="00F632CA" w:rsidRPr="00086601">
        <w:rPr>
          <w:rFonts w:ascii="Garamond" w:hAnsi="Garamond"/>
          <w:sz w:val="24"/>
          <w:szCs w:val="24"/>
        </w:rPr>
        <w:t xml:space="preserve">prefer to interact with wider social groups. Masculinity versus femininity </w:t>
      </w:r>
      <w:r w:rsidR="00F85B94" w:rsidRPr="00086601">
        <w:rPr>
          <w:rFonts w:ascii="Garamond" w:hAnsi="Garamond"/>
          <w:sz w:val="24"/>
          <w:szCs w:val="24"/>
        </w:rPr>
        <w:t xml:space="preserve">(MAS) </w:t>
      </w:r>
      <w:r w:rsidR="00F632CA" w:rsidRPr="00086601">
        <w:rPr>
          <w:rFonts w:ascii="Garamond" w:hAnsi="Garamond"/>
          <w:sz w:val="24"/>
          <w:szCs w:val="24"/>
        </w:rPr>
        <w:t xml:space="preserve">represents differing social preferences, like competition versus cooperation. </w:t>
      </w:r>
      <w:r w:rsidR="00F85B94" w:rsidRPr="00086601">
        <w:rPr>
          <w:rFonts w:ascii="Garamond" w:hAnsi="Garamond"/>
          <w:sz w:val="24"/>
          <w:szCs w:val="24"/>
        </w:rPr>
        <w:t>Uncertainty avoidance (UAI) expresses the comfortability of various risk levels and uncertainties. Long term orientation versus short term normative orientation (LTO) expresses the preference to varying time horizons for goals. Indulgence versus restraint (IVR) represents the tendencies for a society to enjoy varying levels of gratification for enjoyment and fun.</w:t>
      </w:r>
    </w:p>
    <w:p w14:paraId="03A7E381" w14:textId="4FA6FE77" w:rsidR="00721886" w:rsidRPr="001F758F" w:rsidRDefault="00721886" w:rsidP="00425F0C">
      <w:pPr>
        <w:pStyle w:val="Heading2"/>
        <w:spacing w:line="480" w:lineRule="auto"/>
        <w:jc w:val="both"/>
        <w:rPr>
          <w:rFonts w:ascii="Garamond" w:hAnsi="Garamond"/>
          <w:b/>
          <w:bCs/>
          <w:color w:val="000000" w:themeColor="text1"/>
        </w:rPr>
      </w:pPr>
      <w:r w:rsidRPr="001F758F">
        <w:rPr>
          <w:rFonts w:ascii="Garamond" w:hAnsi="Garamond"/>
          <w:b/>
          <w:bCs/>
          <w:color w:val="000000" w:themeColor="text1"/>
        </w:rPr>
        <w:t>Crash risk measures</w:t>
      </w:r>
    </w:p>
    <w:p w14:paraId="69855E37" w14:textId="38098D22" w:rsidR="00F85B94" w:rsidRPr="00086601" w:rsidRDefault="00721886" w:rsidP="00425F0C">
      <w:pPr>
        <w:spacing w:line="480" w:lineRule="auto"/>
        <w:ind w:firstLine="720"/>
        <w:jc w:val="both"/>
        <w:rPr>
          <w:rFonts w:ascii="Garamond" w:hAnsi="Garamond"/>
          <w:sz w:val="24"/>
          <w:szCs w:val="24"/>
        </w:rPr>
      </w:pPr>
      <w:r w:rsidRPr="00086601">
        <w:rPr>
          <w:rFonts w:ascii="Garamond" w:hAnsi="Garamond"/>
          <w:sz w:val="24"/>
          <w:szCs w:val="24"/>
        </w:rPr>
        <w:t xml:space="preserve">This study uses two measures of firm-specific crash risk that was supported in Chen et al. (2001) but with an adaptation to be used at a country level. The works cited that support firm-specific crash risk use weekly price returns. In this study, provided by the MSCI Developed Market Indexes, weekly returns are estimated as the residuals from the market model. In the market mode, the market proxy used was the MSCI World Gross Index USD. This represents the returns of the aggregate of all countries. Using the following </w:t>
      </w:r>
      <w:r w:rsidR="00AD4C82" w:rsidRPr="00086601">
        <w:rPr>
          <w:rFonts w:ascii="Garamond" w:hAnsi="Garamond"/>
          <w:sz w:val="24"/>
          <w:szCs w:val="24"/>
        </w:rPr>
        <w:t xml:space="preserve">index </w:t>
      </w:r>
      <w:r w:rsidRPr="00086601">
        <w:rPr>
          <w:rFonts w:ascii="Garamond" w:hAnsi="Garamond"/>
          <w:sz w:val="24"/>
          <w:szCs w:val="24"/>
        </w:rPr>
        <w:t>market model estimate for weekly returns, the returns attributed to the aggregate are removed</w:t>
      </w:r>
      <w:r w:rsidR="00AD4C82" w:rsidRPr="00086601">
        <w:rPr>
          <w:rFonts w:ascii="Garamond" w:hAnsi="Garamond"/>
          <w:sz w:val="24"/>
          <w:szCs w:val="24"/>
        </w:rPr>
        <w:t xml:space="preserve"> (Hutton, Marcus, and </w:t>
      </w:r>
      <w:proofErr w:type="spellStart"/>
      <w:r w:rsidR="00AD4C82" w:rsidRPr="00086601">
        <w:rPr>
          <w:rFonts w:ascii="Garamond" w:hAnsi="Garamond"/>
          <w:sz w:val="24"/>
          <w:szCs w:val="24"/>
        </w:rPr>
        <w:t>Tehranian</w:t>
      </w:r>
      <w:proofErr w:type="spellEnd"/>
      <w:r w:rsidR="00AD4C82" w:rsidRPr="00086601">
        <w:rPr>
          <w:rFonts w:ascii="Garamond" w:hAnsi="Garamond"/>
          <w:sz w:val="24"/>
          <w:szCs w:val="24"/>
        </w:rPr>
        <w:t>, 2009)</w:t>
      </w:r>
      <w:r w:rsidRPr="00086601">
        <w:rPr>
          <w:rFonts w:ascii="Garamond" w:hAnsi="Garamond"/>
          <w:sz w:val="24"/>
          <w:szCs w:val="24"/>
        </w:rPr>
        <w:t>:</w:t>
      </w:r>
    </w:p>
    <w:p w14:paraId="46FA74C9" w14:textId="3311F6FA" w:rsidR="00105FD4" w:rsidRPr="00086601" w:rsidRDefault="00765F47" w:rsidP="00425F0C">
      <w:pPr>
        <w:spacing w:line="480" w:lineRule="auto"/>
        <w:ind w:firstLine="720"/>
        <w:jc w:val="both"/>
        <w:rPr>
          <w:rFonts w:ascii="Garamond" w:eastAsiaTheme="minorEastAsia" w:hAnsi="Garamond"/>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1,i</m:t>
              </m:r>
            </m:sub>
          </m:s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2,i</m:t>
              </m:r>
            </m:sub>
          </m:s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3,i</m:t>
              </m:r>
            </m:sub>
          </m:s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m,t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4,i</m:t>
              </m:r>
            </m:sub>
          </m:s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5,i</m:t>
              </m:r>
            </m:sub>
          </m:s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sz w:val="24"/>
                  <w:szCs w:val="24"/>
                </w:rPr>
                <m:t>i,t</m:t>
              </m:r>
            </m:sub>
          </m:sSub>
        </m:oMath>
      </m:oMathPara>
    </w:p>
    <w:p w14:paraId="1284AEEE" w14:textId="640A91DB" w:rsidR="000B0145" w:rsidRPr="00086601" w:rsidRDefault="00105FD4" w:rsidP="00425F0C">
      <w:pPr>
        <w:spacing w:line="480" w:lineRule="auto"/>
        <w:jc w:val="both"/>
        <w:rPr>
          <w:rFonts w:ascii="Garamond" w:eastAsiaTheme="minorEastAsia" w:hAnsi="Garamond"/>
          <w:sz w:val="24"/>
          <w:szCs w:val="24"/>
        </w:rPr>
      </w:pPr>
      <w:r w:rsidRPr="00086601">
        <w:rPr>
          <w:rFonts w:ascii="Garamond" w:hAnsi="Garamond"/>
          <w:sz w:val="24"/>
          <w:szCs w:val="24"/>
        </w:rPr>
        <w:t xml:space="preserve">where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i,t</m:t>
            </m:r>
          </m:sub>
        </m:sSub>
      </m:oMath>
      <w:r w:rsidRPr="00086601">
        <w:rPr>
          <w:rFonts w:ascii="Garamond" w:eastAsiaTheme="minorEastAsia" w:hAnsi="Garamond"/>
          <w:sz w:val="24"/>
          <w:szCs w:val="24"/>
        </w:rPr>
        <w:t xml:space="preserve"> is the return on country index </w:t>
      </w:r>
      <w:proofErr w:type="spellStart"/>
      <w:r w:rsidRPr="00086601">
        <w:rPr>
          <w:rFonts w:ascii="Garamond" w:eastAsiaTheme="minorEastAsia" w:hAnsi="Garamond"/>
          <w:i/>
          <w:iCs/>
          <w:sz w:val="24"/>
          <w:szCs w:val="24"/>
        </w:rPr>
        <w:t>i</w:t>
      </w:r>
      <w:proofErr w:type="spellEnd"/>
      <w:r w:rsidRPr="00086601">
        <w:rPr>
          <w:rFonts w:ascii="Garamond" w:eastAsiaTheme="minorEastAsia" w:hAnsi="Garamond"/>
          <w:i/>
          <w:iCs/>
          <w:sz w:val="24"/>
          <w:szCs w:val="24"/>
        </w:rPr>
        <w:t xml:space="preserve"> </w:t>
      </w:r>
      <w:r w:rsidRPr="00086601">
        <w:rPr>
          <w:rFonts w:ascii="Garamond" w:eastAsiaTheme="minorEastAsia" w:hAnsi="Garamond"/>
          <w:sz w:val="24"/>
          <w:szCs w:val="24"/>
        </w:rPr>
        <w:t xml:space="preserve">in week </w:t>
      </w:r>
      <w:r w:rsidRPr="00086601">
        <w:rPr>
          <w:rFonts w:ascii="Garamond" w:eastAsiaTheme="minorEastAsia" w:hAnsi="Garamond"/>
          <w:i/>
          <w:iCs/>
          <w:sz w:val="24"/>
          <w:szCs w:val="24"/>
        </w:rPr>
        <w:t>t</w:t>
      </w:r>
      <w:r w:rsidRPr="00086601">
        <w:rPr>
          <w:rFonts w:ascii="Garamond" w:eastAsiaTheme="minorEastAsia" w:hAnsi="Garamond"/>
          <w:sz w:val="24"/>
          <w:szCs w:val="24"/>
        </w:rPr>
        <w:t xml:space="preserve">, and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m,t</m:t>
            </m:r>
          </m:sub>
        </m:sSub>
      </m:oMath>
      <w:r w:rsidRPr="00086601">
        <w:rPr>
          <w:rFonts w:ascii="Garamond" w:eastAsiaTheme="minorEastAsia" w:hAnsi="Garamond"/>
          <w:sz w:val="24"/>
          <w:szCs w:val="24"/>
        </w:rPr>
        <w:t xml:space="preserve"> is the return on the MSCI World Gross Index USD in week </w:t>
      </w:r>
      <w:proofErr w:type="gramStart"/>
      <w:r w:rsidRPr="00086601">
        <w:rPr>
          <w:rFonts w:ascii="Garamond" w:eastAsiaTheme="minorEastAsia" w:hAnsi="Garamond"/>
          <w:i/>
          <w:iCs/>
          <w:sz w:val="24"/>
          <w:szCs w:val="24"/>
        </w:rPr>
        <w:t>t</w:t>
      </w:r>
      <w:r w:rsidRPr="00086601">
        <w:rPr>
          <w:rFonts w:ascii="Garamond" w:eastAsiaTheme="minorEastAsia" w:hAnsi="Garamond"/>
          <w:sz w:val="24"/>
          <w:szCs w:val="24"/>
        </w:rPr>
        <w:t>.</w:t>
      </w:r>
      <w:proofErr w:type="gramEnd"/>
      <w:r w:rsidRPr="00086601">
        <w:rPr>
          <w:rFonts w:ascii="Garamond" w:eastAsiaTheme="minorEastAsia" w:hAnsi="Garamond"/>
          <w:sz w:val="24"/>
          <w:szCs w:val="24"/>
        </w:rPr>
        <w:t xml:space="preserve"> We include the lead and lag terms of the global index to allow </w:t>
      </w:r>
      <w:r w:rsidR="000B0145" w:rsidRPr="00086601">
        <w:rPr>
          <w:rFonts w:ascii="Garamond" w:eastAsiaTheme="minorEastAsia" w:hAnsi="Garamond"/>
          <w:sz w:val="24"/>
          <w:szCs w:val="24"/>
        </w:rPr>
        <w:t xml:space="preserve">for non-synchronous trading (Dimson, 1979). The country-specific weekly returns are denoted as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i,t</m:t>
            </m:r>
          </m:sub>
        </m:sSub>
      </m:oMath>
      <w:r w:rsidR="000B0145" w:rsidRPr="00086601">
        <w:rPr>
          <w:rFonts w:ascii="Garamond" w:eastAsiaTheme="minorEastAsia" w:hAnsi="Garamond"/>
          <w:sz w:val="24"/>
          <w:szCs w:val="24"/>
        </w:rPr>
        <w:t xml:space="preserve"> equating to the natural log of one plus the residual from the market model for country </w:t>
      </w:r>
      <w:proofErr w:type="spellStart"/>
      <w:r w:rsidR="000B0145" w:rsidRPr="00086601">
        <w:rPr>
          <w:rFonts w:ascii="Garamond" w:eastAsiaTheme="minorEastAsia" w:hAnsi="Garamond"/>
          <w:i/>
          <w:iCs/>
          <w:sz w:val="24"/>
          <w:szCs w:val="24"/>
        </w:rPr>
        <w:t>i</w:t>
      </w:r>
      <w:proofErr w:type="spellEnd"/>
      <w:r w:rsidR="000B0145" w:rsidRPr="00086601">
        <w:rPr>
          <w:rFonts w:ascii="Garamond" w:eastAsiaTheme="minorEastAsia" w:hAnsi="Garamond"/>
          <w:i/>
          <w:iCs/>
          <w:sz w:val="24"/>
          <w:szCs w:val="24"/>
        </w:rPr>
        <w:t xml:space="preserve"> </w:t>
      </w:r>
      <w:r w:rsidR="000B0145" w:rsidRPr="00086601">
        <w:rPr>
          <w:rFonts w:ascii="Garamond" w:eastAsiaTheme="minorEastAsia" w:hAnsi="Garamond"/>
          <w:sz w:val="24"/>
          <w:szCs w:val="24"/>
        </w:rPr>
        <w:t>in week t.</w:t>
      </w:r>
    </w:p>
    <w:p w14:paraId="5B602552" w14:textId="1F779476" w:rsidR="000B0145" w:rsidRPr="00086601" w:rsidRDefault="00765F47" w:rsidP="00425F0C">
      <w:pPr>
        <w:spacing w:line="480" w:lineRule="auto"/>
        <w:jc w:val="both"/>
        <w:rPr>
          <w:rFonts w:ascii="Garamond" w:eastAsiaTheme="minorEastAsia" w:hAnsi="Garamond"/>
          <w:sz w:val="24"/>
          <w:szCs w:val="24"/>
        </w:rPr>
      </w:pPr>
      <m:oMathPara>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i,t</m:t>
              </m:r>
            </m:sub>
          </m:sSub>
          <m:r>
            <w:rPr>
              <w:rFonts w:ascii="Cambria Math" w:hAnsi="Cambria Math"/>
              <w:sz w:val="24"/>
              <w:szCs w:val="24"/>
            </w:rPr>
            <m:t>=</m:t>
          </m:r>
          <m:r>
            <m:rPr>
              <m:sty m:val="p"/>
            </m:rPr>
            <w:rPr>
              <w:rFonts w:ascii="Cambria Math" w:hAnsi="Cambria Math"/>
              <w:sz w:val="24"/>
              <w:szCs w:val="24"/>
            </w:rPr>
            <m:t>ln⁡</m:t>
          </m:r>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sz w:val="24"/>
                  <w:szCs w:val="24"/>
                </w:rPr>
                <m:t>i,t</m:t>
              </m:r>
            </m:sub>
          </m:sSub>
          <m:r>
            <w:rPr>
              <w:rFonts w:ascii="Cambria Math" w:hAnsi="Cambria Math"/>
              <w:sz w:val="24"/>
              <w:szCs w:val="24"/>
            </w:rPr>
            <m:t>)</m:t>
          </m:r>
        </m:oMath>
      </m:oMathPara>
    </w:p>
    <w:p w14:paraId="498726DE" w14:textId="4F831909" w:rsidR="000B0145" w:rsidRPr="00086601" w:rsidRDefault="000B0145" w:rsidP="00425F0C">
      <w:pPr>
        <w:spacing w:line="480" w:lineRule="auto"/>
        <w:jc w:val="both"/>
        <w:rPr>
          <w:rFonts w:ascii="Garamond" w:eastAsiaTheme="minorEastAsia" w:hAnsi="Garamond"/>
          <w:sz w:val="24"/>
          <w:szCs w:val="24"/>
        </w:rPr>
      </w:pPr>
      <w:r w:rsidRPr="00086601">
        <w:rPr>
          <w:rFonts w:ascii="Garamond" w:eastAsiaTheme="minorEastAsia" w:hAnsi="Garamond"/>
          <w:sz w:val="24"/>
          <w:szCs w:val="24"/>
        </w:rPr>
        <w:lastRenderedPageBreak/>
        <w:tab/>
        <w:t>Crash risk was calculated in two forms in this study: negative skewness (</w:t>
      </w:r>
      <w:r w:rsidR="0033404F" w:rsidRPr="00086601">
        <w:rPr>
          <w:rFonts w:ascii="Garamond" w:eastAsiaTheme="minorEastAsia" w:hAnsi="Garamond"/>
          <w:sz w:val="24"/>
          <w:szCs w:val="24"/>
        </w:rPr>
        <w:t>NCSKEW</w:t>
      </w:r>
      <w:r w:rsidRPr="00086601">
        <w:rPr>
          <w:rFonts w:ascii="Garamond" w:eastAsiaTheme="minorEastAsia" w:hAnsi="Garamond"/>
          <w:sz w:val="24"/>
          <w:szCs w:val="24"/>
        </w:rPr>
        <w:t>) and down-to-up volatility (</w:t>
      </w:r>
      <w:r w:rsidR="0033404F" w:rsidRPr="00086601">
        <w:rPr>
          <w:rFonts w:ascii="Garamond" w:eastAsiaTheme="minorEastAsia" w:hAnsi="Garamond"/>
          <w:sz w:val="24"/>
          <w:szCs w:val="24"/>
        </w:rPr>
        <w:t>DUVOL</w:t>
      </w:r>
      <w:r w:rsidRPr="00086601">
        <w:rPr>
          <w:rFonts w:ascii="Garamond" w:eastAsiaTheme="minorEastAsia" w:hAnsi="Garamond"/>
          <w:sz w:val="24"/>
          <w:szCs w:val="24"/>
        </w:rPr>
        <w:t xml:space="preserve">). Negative skewness is calculated </w:t>
      </w:r>
      <w:r w:rsidR="0033404F" w:rsidRPr="00086601">
        <w:rPr>
          <w:rFonts w:ascii="Garamond" w:eastAsiaTheme="minorEastAsia" w:hAnsi="Garamond"/>
          <w:sz w:val="24"/>
          <w:szCs w:val="24"/>
        </w:rPr>
        <w:t xml:space="preserve">by negating the raised number of weeks </w:t>
      </w:r>
      <w:r w:rsidR="0033404F" w:rsidRPr="00086601">
        <w:rPr>
          <w:rFonts w:ascii="Garamond" w:eastAsiaTheme="minorEastAsia" w:hAnsi="Garamond"/>
          <w:i/>
          <w:iCs/>
          <w:sz w:val="24"/>
          <w:szCs w:val="24"/>
        </w:rPr>
        <w:t xml:space="preserve">n </w:t>
      </w:r>
      <w:r w:rsidR="0033404F" w:rsidRPr="00086601">
        <w:rPr>
          <w:rFonts w:ascii="Garamond" w:eastAsiaTheme="minorEastAsia" w:hAnsi="Garamond"/>
          <w:sz w:val="24"/>
          <w:szCs w:val="24"/>
        </w:rPr>
        <w:t xml:space="preserve">minus 1 in year </w:t>
      </w:r>
      <w:r w:rsidR="0033404F" w:rsidRPr="00086601">
        <w:rPr>
          <w:rFonts w:ascii="Garamond" w:eastAsiaTheme="minorEastAsia" w:hAnsi="Garamond"/>
          <w:i/>
          <w:iCs/>
          <w:sz w:val="24"/>
          <w:szCs w:val="24"/>
        </w:rPr>
        <w:t>t</w:t>
      </w:r>
      <w:r w:rsidR="0033404F" w:rsidRPr="00086601">
        <w:rPr>
          <w:rFonts w:ascii="Garamond" w:eastAsiaTheme="minorEastAsia" w:hAnsi="Garamond"/>
          <w:sz w:val="24"/>
          <w:szCs w:val="24"/>
        </w:rPr>
        <w:t xml:space="preserve"> to the 3/2 power, multiplying by the number of weeks </w:t>
      </w:r>
      <w:r w:rsidR="0033404F" w:rsidRPr="00086601">
        <w:rPr>
          <w:rFonts w:ascii="Garamond" w:eastAsiaTheme="minorEastAsia" w:hAnsi="Garamond"/>
          <w:i/>
          <w:iCs/>
          <w:sz w:val="24"/>
          <w:szCs w:val="24"/>
        </w:rPr>
        <w:t>n</w:t>
      </w:r>
      <w:r w:rsidR="0033404F" w:rsidRPr="00086601">
        <w:rPr>
          <w:rFonts w:ascii="Garamond" w:eastAsiaTheme="minorEastAsia" w:hAnsi="Garamond"/>
          <w:sz w:val="24"/>
          <w:szCs w:val="24"/>
        </w:rPr>
        <w:t xml:space="preserve"> in year </w:t>
      </w:r>
      <w:r w:rsidR="0033404F" w:rsidRPr="00086601">
        <w:rPr>
          <w:rFonts w:ascii="Garamond" w:eastAsiaTheme="minorEastAsia" w:hAnsi="Garamond"/>
          <w:i/>
          <w:iCs/>
          <w:sz w:val="24"/>
          <w:szCs w:val="24"/>
        </w:rPr>
        <w:t xml:space="preserve">t, </w:t>
      </w:r>
      <w:r w:rsidR="0033404F" w:rsidRPr="00086601">
        <w:rPr>
          <w:rFonts w:ascii="Garamond" w:eastAsiaTheme="minorEastAsia" w:hAnsi="Garamond"/>
          <w:sz w:val="24"/>
          <w:szCs w:val="24"/>
        </w:rPr>
        <w:t xml:space="preserve">and the sum of the cubed weekly returns in year </w:t>
      </w:r>
      <w:r w:rsidR="0033404F" w:rsidRPr="00086601">
        <w:rPr>
          <w:rFonts w:ascii="Garamond" w:eastAsiaTheme="minorEastAsia" w:hAnsi="Garamond"/>
          <w:i/>
          <w:iCs/>
          <w:sz w:val="24"/>
          <w:szCs w:val="24"/>
        </w:rPr>
        <w:t>t</w:t>
      </w:r>
      <w:r w:rsidR="0033404F" w:rsidRPr="00086601">
        <w:rPr>
          <w:rFonts w:ascii="Garamond" w:eastAsiaTheme="minorEastAsia" w:hAnsi="Garamond"/>
          <w:sz w:val="24"/>
          <w:szCs w:val="24"/>
        </w:rPr>
        <w:t xml:space="preserve"> then dividing by the number of weeks </w:t>
      </w:r>
      <w:r w:rsidR="0033404F" w:rsidRPr="00086601">
        <w:rPr>
          <w:rFonts w:ascii="Garamond" w:eastAsiaTheme="minorEastAsia" w:hAnsi="Garamond"/>
          <w:i/>
          <w:iCs/>
          <w:sz w:val="24"/>
          <w:szCs w:val="24"/>
        </w:rPr>
        <w:t xml:space="preserve">n </w:t>
      </w:r>
      <w:r w:rsidR="0033404F" w:rsidRPr="00086601">
        <w:rPr>
          <w:rFonts w:ascii="Garamond" w:eastAsiaTheme="minorEastAsia" w:hAnsi="Garamond"/>
          <w:sz w:val="24"/>
          <w:szCs w:val="24"/>
        </w:rPr>
        <w:t xml:space="preserve">in year </w:t>
      </w:r>
      <w:proofErr w:type="spellStart"/>
      <w:r w:rsidR="0033404F" w:rsidRPr="00086601">
        <w:rPr>
          <w:rFonts w:ascii="Garamond" w:eastAsiaTheme="minorEastAsia" w:hAnsi="Garamond"/>
          <w:i/>
          <w:iCs/>
          <w:sz w:val="24"/>
          <w:szCs w:val="24"/>
        </w:rPr>
        <w:t>t</w:t>
      </w:r>
      <w:proofErr w:type="spellEnd"/>
      <w:r w:rsidR="0033404F" w:rsidRPr="00086601">
        <w:rPr>
          <w:rFonts w:ascii="Garamond" w:eastAsiaTheme="minorEastAsia" w:hAnsi="Garamond"/>
          <w:i/>
          <w:iCs/>
          <w:sz w:val="24"/>
          <w:szCs w:val="24"/>
        </w:rPr>
        <w:t xml:space="preserve"> </w:t>
      </w:r>
      <w:r w:rsidR="0033404F" w:rsidRPr="00086601">
        <w:rPr>
          <w:rFonts w:ascii="Garamond" w:eastAsiaTheme="minorEastAsia" w:hAnsi="Garamond"/>
          <w:sz w:val="24"/>
          <w:szCs w:val="24"/>
        </w:rPr>
        <w:t xml:space="preserve">minus 1 multiplied by the number of weeks </w:t>
      </w:r>
      <w:r w:rsidR="0033404F" w:rsidRPr="00086601">
        <w:rPr>
          <w:rFonts w:ascii="Garamond" w:eastAsiaTheme="minorEastAsia" w:hAnsi="Garamond"/>
          <w:i/>
          <w:iCs/>
          <w:sz w:val="24"/>
          <w:szCs w:val="24"/>
        </w:rPr>
        <w:t xml:space="preserve">n </w:t>
      </w:r>
      <w:r w:rsidR="0033404F" w:rsidRPr="00086601">
        <w:rPr>
          <w:rFonts w:ascii="Garamond" w:eastAsiaTheme="minorEastAsia" w:hAnsi="Garamond"/>
          <w:sz w:val="24"/>
          <w:szCs w:val="24"/>
        </w:rPr>
        <w:t xml:space="preserve">in year </w:t>
      </w:r>
      <w:r w:rsidR="0033404F" w:rsidRPr="00086601">
        <w:rPr>
          <w:rFonts w:ascii="Garamond" w:eastAsiaTheme="minorEastAsia" w:hAnsi="Garamond"/>
          <w:i/>
          <w:iCs/>
          <w:sz w:val="24"/>
          <w:szCs w:val="24"/>
        </w:rPr>
        <w:t xml:space="preserve">t </w:t>
      </w:r>
      <w:r w:rsidR="0033404F" w:rsidRPr="00086601">
        <w:rPr>
          <w:rFonts w:ascii="Garamond" w:eastAsiaTheme="minorEastAsia" w:hAnsi="Garamond"/>
          <w:sz w:val="24"/>
          <w:szCs w:val="24"/>
        </w:rPr>
        <w:t xml:space="preserve">minus 2 multiplied by the sum of the squared weekly returns in year </w:t>
      </w:r>
      <w:r w:rsidR="0033404F" w:rsidRPr="00086601">
        <w:rPr>
          <w:rFonts w:ascii="Garamond" w:eastAsiaTheme="minorEastAsia" w:hAnsi="Garamond"/>
          <w:i/>
          <w:iCs/>
          <w:sz w:val="24"/>
          <w:szCs w:val="24"/>
        </w:rPr>
        <w:t xml:space="preserve">t </w:t>
      </w:r>
      <w:r w:rsidR="0033404F" w:rsidRPr="00086601">
        <w:rPr>
          <w:rFonts w:ascii="Garamond" w:eastAsiaTheme="minorEastAsia" w:hAnsi="Garamond"/>
          <w:sz w:val="24"/>
          <w:szCs w:val="24"/>
        </w:rPr>
        <w:t>to the 3/2 power.</w:t>
      </w:r>
      <w:r w:rsidR="008E0219" w:rsidRPr="00086601">
        <w:rPr>
          <w:rFonts w:ascii="Garamond" w:eastAsiaTheme="minorEastAsia" w:hAnsi="Garamond"/>
          <w:sz w:val="24"/>
          <w:szCs w:val="24"/>
        </w:rPr>
        <w:t xml:space="preserve"> The equation is as follows:</w:t>
      </w:r>
    </w:p>
    <w:p w14:paraId="77E84634" w14:textId="6C3748EC" w:rsidR="0033404F" w:rsidRPr="00086601" w:rsidRDefault="00765F47" w:rsidP="00425F0C">
      <w:pPr>
        <w:pStyle w:val="ListParagraph"/>
        <w:spacing w:line="480" w:lineRule="auto"/>
        <w:jc w:val="both"/>
        <w:rPr>
          <w:rFonts w:ascii="Garamond" w:hAnsi="Garamond"/>
          <w:sz w:val="24"/>
          <w:szCs w:val="24"/>
        </w:rPr>
      </w:pPr>
      <m:oMathPara>
        <m:oMath>
          <m:sSub>
            <m:sSubPr>
              <m:ctrlPr>
                <w:rPr>
                  <w:rFonts w:ascii="Cambria Math" w:eastAsia="Times New Roman" w:hAnsi="Cambria Math" w:cs="Times New Roman"/>
                  <w:i/>
                  <w:color w:val="000000"/>
                  <w:sz w:val="24"/>
                  <w:szCs w:val="24"/>
                </w:rPr>
              </m:ctrlPr>
            </m:sSubPr>
            <m:e>
              <m:r>
                <w:rPr>
                  <w:rFonts w:ascii="Cambria Math" w:hAnsi="Cambria Math"/>
                  <w:sz w:val="24"/>
                  <w:szCs w:val="24"/>
                </w:rPr>
                <m:t>NCSKEW</m:t>
              </m:r>
            </m:e>
            <m:sub>
              <m:r>
                <w:rPr>
                  <w:rFonts w:ascii="Cambria Math" w:hAnsi="Cambria Math"/>
                  <w:sz w:val="24"/>
                  <w:szCs w:val="24"/>
                </w:rPr>
                <m:t>i,t</m:t>
              </m:r>
            </m:sub>
          </m:sSub>
          <m:r>
            <w:rPr>
              <w:rFonts w:ascii="Cambria Math" w:hAnsi="Cambria Math"/>
              <w:sz w:val="24"/>
              <w:szCs w:val="24"/>
            </w:rPr>
            <m:t>= -</m:t>
          </m:r>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hAnsi="Cambria Math"/>
                      <w:sz w:val="24"/>
                      <w:szCs w:val="24"/>
                    </w:rPr>
                    <m:t>n(n-1)</m:t>
                  </m:r>
                </m:e>
                <m:sup>
                  <m:f>
                    <m:fPr>
                      <m:ctrlPr>
                        <w:rPr>
                          <w:rFonts w:ascii="Cambria Math" w:eastAsia="Times New Roman" w:hAnsi="Cambria Math" w:cs="Times New Roman"/>
                          <w:i/>
                          <w:color w:val="000000"/>
                          <w:sz w:val="24"/>
                          <w:szCs w:val="24"/>
                        </w:rPr>
                      </m:ctrlPr>
                    </m:fPr>
                    <m:num>
                      <m:r>
                        <w:rPr>
                          <w:rFonts w:ascii="Cambria Math" w:hAnsi="Cambria Math"/>
                          <w:sz w:val="24"/>
                          <w:szCs w:val="24"/>
                        </w:rPr>
                        <m:t>3</m:t>
                      </m:r>
                    </m:num>
                    <m:den>
                      <m:r>
                        <w:rPr>
                          <w:rFonts w:ascii="Cambria Math" w:hAnsi="Cambria Math"/>
                          <w:sz w:val="24"/>
                          <w:szCs w:val="24"/>
                        </w:rPr>
                        <m:t>2</m:t>
                      </m:r>
                    </m:den>
                  </m:f>
                </m:sup>
              </m:sSup>
              <m:r>
                <w:rPr>
                  <w:rFonts w:ascii="Cambria Math" w:eastAsia="Times New Roman" w:hAnsi="Cambria Math" w:cs="Times New Roman"/>
                  <w:color w:val="000000"/>
                  <w:sz w:val="24"/>
                  <w:szCs w:val="24"/>
                </w:rPr>
                <m:t>(</m:t>
              </m:r>
              <m:nary>
                <m:naryPr>
                  <m:chr m:val="∑"/>
                  <m:limLoc m:val="undOvr"/>
                  <m:subHide m:val="1"/>
                  <m:supHide m:val="1"/>
                  <m:ctrlPr>
                    <w:rPr>
                      <w:rFonts w:ascii="Cambria Math" w:eastAsia="Times New Roman" w:hAnsi="Cambria Math" w:cs="Times New Roman"/>
                      <w:i/>
                      <w:color w:val="000000"/>
                      <w:sz w:val="24"/>
                      <w:szCs w:val="24"/>
                    </w:rPr>
                  </m:ctrlPr>
                </m:naryPr>
                <m:sub/>
                <m:sup/>
                <m:e>
                  <m:sSubSup>
                    <m:sSubSupPr>
                      <m:ctrlPr>
                        <w:rPr>
                          <w:rFonts w:ascii="Cambria Math" w:eastAsia="Times New Roman" w:hAnsi="Cambria Math" w:cs="Times New Roman"/>
                          <w:i/>
                          <w:color w:val="000000"/>
                          <w:sz w:val="24"/>
                          <w:szCs w:val="24"/>
                        </w:rPr>
                      </m:ctrlPr>
                    </m:sSubSupPr>
                    <m:e>
                      <m:r>
                        <w:rPr>
                          <w:rFonts w:ascii="Cambria Math" w:hAnsi="Cambria Math"/>
                          <w:sz w:val="24"/>
                          <w:szCs w:val="24"/>
                        </w:rPr>
                        <m:t>W</m:t>
                      </m:r>
                    </m:e>
                    <m:sub>
                      <m:r>
                        <w:rPr>
                          <w:rFonts w:ascii="Cambria Math" w:hAnsi="Cambria Math"/>
                          <w:sz w:val="24"/>
                          <w:szCs w:val="24"/>
                        </w:rPr>
                        <m:t>i,t</m:t>
                      </m:r>
                    </m:sub>
                    <m:sup>
                      <m:r>
                        <w:rPr>
                          <w:rFonts w:ascii="Cambria Math" w:hAnsi="Cambria Math"/>
                          <w:sz w:val="24"/>
                          <w:szCs w:val="24"/>
                        </w:rPr>
                        <m:t>3</m:t>
                      </m:r>
                    </m:sup>
                  </m:sSubSup>
                  <m:r>
                    <w:rPr>
                      <w:rFonts w:ascii="Cambria Math" w:eastAsia="Times New Roman" w:hAnsi="Cambria Math" w:cs="Times New Roman"/>
                      <w:color w:val="000000"/>
                      <w:sz w:val="24"/>
                      <w:szCs w:val="24"/>
                    </w:rPr>
                    <m:t>)</m:t>
                  </m:r>
                </m:e>
              </m:nary>
            </m:num>
            <m:den>
              <m:d>
                <m:dPr>
                  <m:ctrlPr>
                    <w:rPr>
                      <w:rFonts w:ascii="Cambria Math" w:eastAsia="Times New Roman" w:hAnsi="Cambria Math" w:cs="Times New Roman"/>
                      <w:i/>
                      <w:color w:val="000000"/>
                      <w:sz w:val="24"/>
                      <w:szCs w:val="24"/>
                    </w:rPr>
                  </m:ctrlPr>
                </m:dPr>
                <m:e>
                  <m:r>
                    <w:rPr>
                      <w:rFonts w:ascii="Cambria Math" w:hAnsi="Cambria Math"/>
                      <w:sz w:val="24"/>
                      <w:szCs w:val="24"/>
                    </w:rPr>
                    <m:t>n-1</m:t>
                  </m:r>
                </m:e>
              </m:d>
              <m:d>
                <m:dPr>
                  <m:ctrlPr>
                    <w:rPr>
                      <w:rFonts w:ascii="Cambria Math" w:eastAsia="Times New Roman" w:hAnsi="Cambria Math" w:cs="Times New Roman"/>
                      <w:i/>
                      <w:color w:val="000000"/>
                      <w:sz w:val="24"/>
                      <w:szCs w:val="24"/>
                    </w:rPr>
                  </m:ctrlPr>
                </m:dPr>
                <m:e>
                  <m:r>
                    <w:rPr>
                      <w:rFonts w:ascii="Cambria Math" w:hAnsi="Cambria Math"/>
                      <w:sz w:val="24"/>
                      <w:szCs w:val="24"/>
                    </w:rPr>
                    <m:t>n-2</m:t>
                  </m:r>
                </m:e>
              </m:d>
              <m:sSup>
                <m:sSupPr>
                  <m:ctrlPr>
                    <w:rPr>
                      <w:rFonts w:ascii="Cambria Math" w:eastAsia="Times New Roman" w:hAnsi="Cambria Math" w:cs="Times New Roman"/>
                      <w:i/>
                      <w:color w:val="000000"/>
                      <w:sz w:val="24"/>
                      <w:szCs w:val="24"/>
                    </w:rPr>
                  </m:ctrlPr>
                </m:sSupPr>
                <m:e>
                  <m:r>
                    <w:rPr>
                      <w:rFonts w:ascii="Cambria Math" w:hAnsi="Cambria Math"/>
                      <w:sz w:val="24"/>
                      <w:szCs w:val="24"/>
                    </w:rPr>
                    <m:t>(</m:t>
                  </m:r>
                  <m:nary>
                    <m:naryPr>
                      <m:chr m:val="∑"/>
                      <m:limLoc m:val="undOvr"/>
                      <m:subHide m:val="1"/>
                      <m:supHide m:val="1"/>
                      <m:ctrlPr>
                        <w:rPr>
                          <w:rFonts w:ascii="Cambria Math" w:eastAsia="Times New Roman" w:hAnsi="Cambria Math" w:cs="Times New Roman"/>
                          <w:i/>
                          <w:color w:val="000000"/>
                          <w:sz w:val="24"/>
                          <w:szCs w:val="24"/>
                        </w:rPr>
                      </m:ctrlPr>
                    </m:naryPr>
                    <m:sub/>
                    <m:sup/>
                    <m:e>
                      <m:sSubSup>
                        <m:sSubSupPr>
                          <m:ctrlPr>
                            <w:rPr>
                              <w:rFonts w:ascii="Cambria Math" w:eastAsia="Times New Roman" w:hAnsi="Cambria Math" w:cs="Times New Roman"/>
                              <w:i/>
                              <w:color w:val="000000"/>
                              <w:sz w:val="24"/>
                              <w:szCs w:val="24"/>
                            </w:rPr>
                          </m:ctrlPr>
                        </m:sSubSupPr>
                        <m:e>
                          <m:r>
                            <w:rPr>
                              <w:rFonts w:ascii="Cambria Math" w:hAnsi="Cambria Math"/>
                              <w:sz w:val="24"/>
                              <w:szCs w:val="24"/>
                            </w:rPr>
                            <m:t>W</m:t>
                          </m:r>
                        </m:e>
                        <m:sub>
                          <m:r>
                            <w:rPr>
                              <w:rFonts w:ascii="Cambria Math" w:hAnsi="Cambria Math"/>
                              <w:sz w:val="24"/>
                              <w:szCs w:val="24"/>
                            </w:rPr>
                            <m:t>i,t</m:t>
                          </m:r>
                        </m:sub>
                        <m:sup>
                          <m:r>
                            <w:rPr>
                              <w:rFonts w:ascii="Cambria Math" w:hAnsi="Cambria Math"/>
                              <w:sz w:val="24"/>
                              <w:szCs w:val="24"/>
                            </w:rPr>
                            <m:t>2</m:t>
                          </m:r>
                        </m:sup>
                      </m:sSubSup>
                      <m:r>
                        <w:rPr>
                          <w:rFonts w:ascii="Cambria Math" w:hAnsi="Cambria Math"/>
                          <w:sz w:val="24"/>
                          <w:szCs w:val="24"/>
                        </w:rPr>
                        <m:t>)</m:t>
                      </m:r>
                    </m:e>
                  </m:nary>
                </m:e>
                <m:sup>
                  <m:f>
                    <m:fPr>
                      <m:ctrlPr>
                        <w:rPr>
                          <w:rFonts w:ascii="Cambria Math" w:eastAsia="Times New Roman" w:hAnsi="Cambria Math" w:cs="Times New Roman"/>
                          <w:i/>
                          <w:color w:val="000000"/>
                          <w:sz w:val="24"/>
                          <w:szCs w:val="24"/>
                        </w:rPr>
                      </m:ctrlPr>
                    </m:fPr>
                    <m:num>
                      <m:r>
                        <w:rPr>
                          <w:rFonts w:ascii="Cambria Math" w:hAnsi="Cambria Math"/>
                          <w:sz w:val="24"/>
                          <w:szCs w:val="24"/>
                        </w:rPr>
                        <m:t>3</m:t>
                      </m:r>
                    </m:num>
                    <m:den>
                      <m:r>
                        <w:rPr>
                          <w:rFonts w:ascii="Cambria Math" w:hAnsi="Cambria Math"/>
                          <w:sz w:val="24"/>
                          <w:szCs w:val="24"/>
                        </w:rPr>
                        <m:t>2</m:t>
                      </m:r>
                    </m:den>
                  </m:f>
                </m:sup>
              </m:sSup>
            </m:den>
          </m:f>
        </m:oMath>
      </m:oMathPara>
    </w:p>
    <w:p w14:paraId="22AB1B57" w14:textId="796D1399" w:rsidR="008E0219" w:rsidRPr="00086601" w:rsidRDefault="008E0219" w:rsidP="00425F0C">
      <w:pPr>
        <w:spacing w:line="480" w:lineRule="auto"/>
        <w:jc w:val="both"/>
        <w:rPr>
          <w:rFonts w:ascii="Garamond" w:eastAsiaTheme="minorEastAsia" w:hAnsi="Garamond"/>
          <w:sz w:val="24"/>
          <w:szCs w:val="24"/>
        </w:rPr>
      </w:pPr>
      <w:r w:rsidRPr="00086601">
        <w:rPr>
          <w:rFonts w:ascii="Garamond" w:eastAsiaTheme="minorEastAsia" w:hAnsi="Garamond"/>
          <w:sz w:val="24"/>
          <w:szCs w:val="24"/>
        </w:rPr>
        <w:t>A higher value of negative skewness represents a more negatively skewed return distribution and higher crash risk.</w:t>
      </w:r>
    </w:p>
    <w:p w14:paraId="7025721C" w14:textId="4DBEF4DF" w:rsidR="0033404F" w:rsidRPr="00086601" w:rsidRDefault="008E0219" w:rsidP="00425F0C">
      <w:pPr>
        <w:spacing w:line="480" w:lineRule="auto"/>
        <w:ind w:firstLine="720"/>
        <w:jc w:val="both"/>
        <w:rPr>
          <w:rFonts w:ascii="Garamond" w:eastAsiaTheme="minorEastAsia" w:hAnsi="Garamond"/>
          <w:sz w:val="24"/>
          <w:szCs w:val="24"/>
        </w:rPr>
      </w:pPr>
      <w:r w:rsidRPr="00086601">
        <w:rPr>
          <w:rFonts w:ascii="Garamond" w:eastAsiaTheme="minorEastAsia" w:hAnsi="Garamond"/>
          <w:sz w:val="24"/>
          <w:szCs w:val="24"/>
        </w:rPr>
        <w:t xml:space="preserve">To calculate the other form of crash risk studied in this paper, down-to-up-volatility, we separate all weekly returns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i,t</m:t>
            </m:r>
          </m:sub>
        </m:sSub>
      </m:oMath>
      <w:r w:rsidRPr="00086601">
        <w:rPr>
          <w:rFonts w:ascii="Garamond" w:eastAsiaTheme="minorEastAsia" w:hAnsi="Garamond"/>
          <w:sz w:val="24"/>
          <w:szCs w:val="24"/>
        </w:rPr>
        <w:t xml:space="preserve"> in the calendar year </w:t>
      </w:r>
      <w:r w:rsidRPr="00086601">
        <w:rPr>
          <w:rFonts w:ascii="Garamond" w:eastAsiaTheme="minorEastAsia" w:hAnsi="Garamond"/>
          <w:i/>
          <w:iCs/>
          <w:sz w:val="24"/>
          <w:szCs w:val="24"/>
        </w:rPr>
        <w:t xml:space="preserve">t </w:t>
      </w:r>
      <w:r w:rsidRPr="00086601">
        <w:rPr>
          <w:rFonts w:ascii="Garamond" w:eastAsiaTheme="minorEastAsia" w:hAnsi="Garamond"/>
          <w:sz w:val="24"/>
          <w:szCs w:val="24"/>
        </w:rPr>
        <w:t>that are negative from those returns that are positive. These returns are sorted into their respective groups as either down weeks or up weeks.</w:t>
      </w:r>
      <w:r w:rsidR="002A18AF" w:rsidRPr="00086601">
        <w:rPr>
          <w:rFonts w:ascii="Garamond" w:eastAsiaTheme="minorEastAsia" w:hAnsi="Garamond"/>
          <w:sz w:val="24"/>
          <w:szCs w:val="24"/>
        </w:rPr>
        <w:t xml:space="preserve"> Down-to-up-volatility is calculated as the log of the number of up weeks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u</m:t>
            </m:r>
          </m:sub>
        </m:sSub>
      </m:oMath>
      <w:r w:rsidR="002A18AF" w:rsidRPr="00086601">
        <w:rPr>
          <w:rFonts w:ascii="Garamond" w:eastAsiaTheme="minorEastAsia" w:hAnsi="Garamond"/>
          <w:sz w:val="24"/>
          <w:szCs w:val="24"/>
        </w:rPr>
        <w:t xml:space="preserve"> in year </w:t>
      </w:r>
      <w:r w:rsidR="002A18AF" w:rsidRPr="00086601">
        <w:rPr>
          <w:rFonts w:ascii="Garamond" w:eastAsiaTheme="minorEastAsia" w:hAnsi="Garamond"/>
          <w:i/>
          <w:iCs/>
          <w:sz w:val="24"/>
          <w:szCs w:val="24"/>
        </w:rPr>
        <w:t>t</w:t>
      </w:r>
      <w:r w:rsidR="002A18AF" w:rsidRPr="00086601">
        <w:rPr>
          <w:rFonts w:ascii="Garamond" w:eastAsiaTheme="minorEastAsia" w:hAnsi="Garamond"/>
          <w:sz w:val="24"/>
          <w:szCs w:val="24"/>
        </w:rPr>
        <w:t xml:space="preserve"> minus 1 multiplied by the sum of the squared weekly returns of down weeks all divided the product of the number of down weeks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d</m:t>
            </m:r>
          </m:sub>
        </m:sSub>
      </m:oMath>
      <w:r w:rsidR="002A18AF" w:rsidRPr="00086601">
        <w:rPr>
          <w:rFonts w:ascii="Garamond" w:eastAsiaTheme="minorEastAsia" w:hAnsi="Garamond"/>
          <w:sz w:val="24"/>
          <w:szCs w:val="24"/>
        </w:rPr>
        <w:t xml:space="preserve"> minus 1 and the sum of the squared weekly returns of all up weeks. The equation is as follows:</w:t>
      </w:r>
    </w:p>
    <w:p w14:paraId="31C4F477" w14:textId="2C5C348C" w:rsidR="002A18AF" w:rsidRPr="00086601" w:rsidRDefault="00765F47" w:rsidP="00425F0C">
      <w:pPr>
        <w:spacing w:line="480" w:lineRule="auto"/>
        <w:jc w:val="both"/>
        <w:rPr>
          <w:rFonts w:ascii="Garamond" w:eastAsiaTheme="minorEastAsia" w:hAnsi="Garamond"/>
          <w:sz w:val="24"/>
          <w:szCs w:val="24"/>
        </w:rPr>
      </w:pPr>
      <m:oMathPara>
        <m:oMath>
          <m:sSub>
            <m:sSubPr>
              <m:ctrlPr>
                <w:rPr>
                  <w:rFonts w:ascii="Cambria Math" w:hAnsi="Cambria Math" w:cs="Times New Roman"/>
                  <w:i/>
                  <w:sz w:val="24"/>
                  <w:szCs w:val="24"/>
                </w:rPr>
              </m:ctrlPr>
            </m:sSubPr>
            <m:e>
              <m:r>
                <w:rPr>
                  <w:rFonts w:ascii="Cambria Math" w:hAnsi="Cambria Math"/>
                  <w:sz w:val="24"/>
                  <w:szCs w:val="24"/>
                </w:rPr>
                <m:t>DUVOL</m:t>
              </m:r>
            </m:e>
            <m:sub>
              <m:r>
                <w:rPr>
                  <w:rFonts w:ascii="Cambria Math" w:hAnsi="Cambria Math"/>
                  <w:sz w:val="24"/>
                  <w:szCs w:val="24"/>
                </w:rPr>
                <m:t>i,t</m:t>
              </m:r>
            </m:sub>
          </m:sSub>
          <m:r>
            <w:rPr>
              <w:rFonts w:ascii="Cambria Math" w:hAnsi="Cambria Math"/>
              <w:sz w:val="24"/>
              <w:szCs w:val="24"/>
            </w:rPr>
            <m:t xml:space="preserve">= </m:t>
          </m:r>
          <m:func>
            <m:funcPr>
              <m:ctrlPr>
                <w:rPr>
                  <w:rFonts w:ascii="Cambria Math" w:hAnsi="Cambria Math" w:cs="Times New Roman"/>
                  <w:i/>
                  <w:sz w:val="24"/>
                  <w:szCs w:val="24"/>
                </w:rPr>
              </m:ctrlPr>
            </m:funcPr>
            <m:fName>
              <m:r>
                <m:rPr>
                  <m:sty m:val="p"/>
                </m:rPr>
                <w:rPr>
                  <w:rFonts w:ascii="Cambria Math" w:hAnsi="Cambria Math"/>
                  <w:sz w:val="24"/>
                  <w:szCs w:val="24"/>
                </w:rPr>
                <m:t>log</m:t>
              </m:r>
            </m:fName>
            <m:e>
              <m:d>
                <m:dPr>
                  <m:ctrlPr>
                    <w:rPr>
                      <w:rFonts w:ascii="Cambria Math" w:hAnsi="Cambria Math" w:cs="Times New Roman"/>
                      <w:i/>
                      <w:sz w:val="24"/>
                      <w:szCs w:val="24"/>
                    </w:rPr>
                  </m:ctrlPr>
                </m:dPr>
                <m:e>
                  <m:f>
                    <m:fPr>
                      <m:type m:val="lin"/>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sz w:val="24"/>
                                      <w:szCs w:val="24"/>
                                    </w:rPr>
                                    <m:t>n</m:t>
                                  </m:r>
                                </m:e>
                                <m:sub>
                                  <m:r>
                                    <w:rPr>
                                      <w:rFonts w:ascii="Cambria Math" w:hAnsi="Cambria Math"/>
                                      <w:sz w:val="24"/>
                                      <w:szCs w:val="24"/>
                                    </w:rPr>
                                    <m:t>u</m:t>
                                  </m:r>
                                </m:sub>
                              </m:sSub>
                              <m:r>
                                <w:rPr>
                                  <w:rFonts w:ascii="Cambria Math" w:hAnsi="Cambria Math"/>
                                  <w:sz w:val="24"/>
                                  <w:szCs w:val="24"/>
                                </w:rPr>
                                <m:t>-1</m:t>
                              </m:r>
                            </m:e>
                          </m:d>
                          <m:nary>
                            <m:naryPr>
                              <m:chr m:val="∑"/>
                              <m:limLoc m:val="undOvr"/>
                              <m:supHide m:val="1"/>
                              <m:ctrlPr>
                                <w:rPr>
                                  <w:rFonts w:ascii="Cambria Math" w:hAnsi="Cambria Math" w:cs="Times New Roman"/>
                                  <w:i/>
                                  <w:sz w:val="24"/>
                                  <w:szCs w:val="24"/>
                                </w:rPr>
                              </m:ctrlPr>
                            </m:naryPr>
                            <m:sub>
                              <m:r>
                                <w:rPr>
                                  <w:rFonts w:ascii="Cambria Math" w:hAnsi="Cambria Math"/>
                                  <w:sz w:val="24"/>
                                  <w:szCs w:val="24"/>
                                </w:rPr>
                                <m:t>Down</m:t>
                              </m:r>
                            </m:sub>
                            <m:sup/>
                            <m:e>
                              <m:sSubSup>
                                <m:sSubSupPr>
                                  <m:ctrlPr>
                                    <w:rPr>
                                      <w:rFonts w:ascii="Cambria Math" w:hAnsi="Cambria Math" w:cs="Times New Roman"/>
                                      <w:i/>
                                      <w:sz w:val="24"/>
                                      <w:szCs w:val="24"/>
                                    </w:rPr>
                                  </m:ctrlPr>
                                </m:sSubSupPr>
                                <m:e>
                                  <m:r>
                                    <w:rPr>
                                      <w:rFonts w:ascii="Cambria Math" w:hAnsi="Cambria Math"/>
                                      <w:sz w:val="24"/>
                                      <w:szCs w:val="24"/>
                                    </w:rPr>
                                    <m:t>W</m:t>
                                  </m:r>
                                </m:e>
                                <m:sub>
                                  <m:r>
                                    <w:rPr>
                                      <w:rFonts w:ascii="Cambria Math" w:hAnsi="Cambria Math"/>
                                      <w:sz w:val="24"/>
                                      <w:szCs w:val="24"/>
                                    </w:rPr>
                                    <m:t>i,t</m:t>
                                  </m:r>
                                </m:sub>
                                <m:sup>
                                  <m:r>
                                    <w:rPr>
                                      <w:rFonts w:ascii="Cambria Math" w:hAnsi="Cambria Math"/>
                                      <w:sz w:val="24"/>
                                      <w:szCs w:val="24"/>
                                    </w:rPr>
                                    <m:t>2</m:t>
                                  </m:r>
                                </m:sup>
                              </m:sSubSup>
                            </m:e>
                          </m:nary>
                        </m:e>
                      </m:d>
                    </m:num>
                    <m:den>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sz w:val="24"/>
                                      <w:szCs w:val="24"/>
                                    </w:rPr>
                                    <m:t>n</m:t>
                                  </m:r>
                                </m:e>
                                <m:sub>
                                  <m:r>
                                    <w:rPr>
                                      <w:rFonts w:ascii="Cambria Math" w:hAnsi="Cambria Math"/>
                                      <w:sz w:val="24"/>
                                      <w:szCs w:val="24"/>
                                    </w:rPr>
                                    <m:t>d</m:t>
                                  </m:r>
                                </m:sub>
                              </m:sSub>
                              <m:r>
                                <w:rPr>
                                  <w:rFonts w:ascii="Cambria Math" w:hAnsi="Cambria Math"/>
                                  <w:sz w:val="24"/>
                                  <w:szCs w:val="24"/>
                                </w:rPr>
                                <m:t>-1</m:t>
                              </m:r>
                            </m:e>
                          </m:d>
                          <m:nary>
                            <m:naryPr>
                              <m:chr m:val="∑"/>
                              <m:limLoc m:val="undOvr"/>
                              <m:supHide m:val="1"/>
                              <m:ctrlPr>
                                <w:rPr>
                                  <w:rFonts w:ascii="Cambria Math" w:hAnsi="Cambria Math" w:cs="Times New Roman"/>
                                  <w:i/>
                                  <w:sz w:val="24"/>
                                  <w:szCs w:val="24"/>
                                </w:rPr>
                              </m:ctrlPr>
                            </m:naryPr>
                            <m:sub>
                              <m:r>
                                <w:rPr>
                                  <w:rFonts w:ascii="Cambria Math" w:hAnsi="Cambria Math"/>
                                  <w:sz w:val="24"/>
                                  <w:szCs w:val="24"/>
                                </w:rPr>
                                <m:t>Up</m:t>
                              </m:r>
                            </m:sub>
                            <m:sup/>
                            <m:e>
                              <m:sSubSup>
                                <m:sSubSupPr>
                                  <m:ctrlPr>
                                    <w:rPr>
                                      <w:rFonts w:ascii="Cambria Math" w:hAnsi="Cambria Math" w:cs="Times New Roman"/>
                                      <w:i/>
                                      <w:sz w:val="24"/>
                                      <w:szCs w:val="24"/>
                                    </w:rPr>
                                  </m:ctrlPr>
                                </m:sSubSupPr>
                                <m:e>
                                  <m:r>
                                    <w:rPr>
                                      <w:rFonts w:ascii="Cambria Math" w:hAnsi="Cambria Math"/>
                                      <w:sz w:val="24"/>
                                      <w:szCs w:val="24"/>
                                    </w:rPr>
                                    <m:t>W</m:t>
                                  </m:r>
                                </m:e>
                                <m:sub>
                                  <m:r>
                                    <w:rPr>
                                      <w:rFonts w:ascii="Cambria Math" w:hAnsi="Cambria Math"/>
                                      <w:sz w:val="24"/>
                                      <w:szCs w:val="24"/>
                                    </w:rPr>
                                    <m:t>i,t</m:t>
                                  </m:r>
                                </m:sub>
                                <m:sup>
                                  <m:r>
                                    <w:rPr>
                                      <w:rFonts w:ascii="Cambria Math" w:hAnsi="Cambria Math"/>
                                      <w:sz w:val="24"/>
                                      <w:szCs w:val="24"/>
                                    </w:rPr>
                                    <m:t>2</m:t>
                                  </m:r>
                                </m:sup>
                              </m:sSubSup>
                            </m:e>
                          </m:nary>
                        </m:e>
                      </m:d>
                    </m:den>
                  </m:f>
                </m:e>
              </m:d>
            </m:e>
          </m:func>
        </m:oMath>
      </m:oMathPara>
    </w:p>
    <w:p w14:paraId="6858AE48" w14:textId="44D04E75" w:rsidR="002A18AF" w:rsidRPr="00086601" w:rsidRDefault="002A18AF" w:rsidP="00425F0C">
      <w:pPr>
        <w:spacing w:line="480" w:lineRule="auto"/>
        <w:jc w:val="both"/>
        <w:rPr>
          <w:rFonts w:ascii="Garamond" w:eastAsiaTheme="minorEastAsia" w:hAnsi="Garamond"/>
          <w:sz w:val="24"/>
          <w:szCs w:val="24"/>
        </w:rPr>
      </w:pPr>
      <w:r w:rsidRPr="00086601">
        <w:rPr>
          <w:rFonts w:ascii="Garamond" w:eastAsiaTheme="minorEastAsia" w:hAnsi="Garamond"/>
          <w:sz w:val="24"/>
          <w:szCs w:val="24"/>
        </w:rPr>
        <w:t>A higher value of down-to-up-volatility represents a higher crash risk.</w:t>
      </w:r>
    </w:p>
    <w:p w14:paraId="065EB234" w14:textId="677A3D65" w:rsidR="002A18AF" w:rsidRPr="001F758F" w:rsidRDefault="00DD038D" w:rsidP="00425F0C">
      <w:pPr>
        <w:pStyle w:val="Heading2"/>
        <w:spacing w:line="480" w:lineRule="auto"/>
        <w:jc w:val="both"/>
        <w:rPr>
          <w:rFonts w:ascii="Garamond" w:eastAsiaTheme="minorEastAsia" w:hAnsi="Garamond"/>
          <w:b/>
          <w:bCs/>
          <w:color w:val="000000" w:themeColor="text1"/>
        </w:rPr>
      </w:pPr>
      <w:r w:rsidRPr="001F758F">
        <w:rPr>
          <w:rFonts w:ascii="Garamond" w:eastAsiaTheme="minorEastAsia" w:hAnsi="Garamond"/>
          <w:b/>
          <w:bCs/>
          <w:color w:val="000000" w:themeColor="text1"/>
        </w:rPr>
        <w:lastRenderedPageBreak/>
        <w:t>Hypotheses</w:t>
      </w:r>
    </w:p>
    <w:p w14:paraId="7EDB797B" w14:textId="157700B9" w:rsidR="002A18AF" w:rsidRPr="00086601" w:rsidRDefault="002A18AF" w:rsidP="00425F0C">
      <w:pPr>
        <w:spacing w:line="480" w:lineRule="auto"/>
        <w:jc w:val="both"/>
        <w:rPr>
          <w:rFonts w:ascii="Garamond" w:eastAsiaTheme="minorEastAsia" w:hAnsi="Garamond"/>
          <w:sz w:val="24"/>
          <w:szCs w:val="24"/>
        </w:rPr>
      </w:pPr>
      <w:r w:rsidRPr="00086601">
        <w:rPr>
          <w:rFonts w:ascii="Garamond" w:eastAsiaTheme="minorEastAsia" w:hAnsi="Garamond"/>
          <w:sz w:val="24"/>
          <w:szCs w:val="24"/>
        </w:rPr>
        <w:tab/>
      </w:r>
      <w:r w:rsidR="0058798F" w:rsidRPr="00086601">
        <w:rPr>
          <w:rFonts w:ascii="Garamond" w:eastAsiaTheme="minorEastAsia" w:hAnsi="Garamond"/>
          <w:sz w:val="24"/>
          <w:szCs w:val="24"/>
        </w:rPr>
        <w:t xml:space="preserve">This study </w:t>
      </w:r>
      <w:r w:rsidR="00046EFD" w:rsidRPr="00086601">
        <w:rPr>
          <w:rFonts w:ascii="Garamond" w:eastAsiaTheme="minorEastAsia" w:hAnsi="Garamond"/>
          <w:sz w:val="24"/>
          <w:szCs w:val="24"/>
        </w:rPr>
        <w:t>explores the relationships between crash risk and cultural factors at the country level. Several hypotheses are explored.</w:t>
      </w:r>
    </w:p>
    <w:p w14:paraId="4E505906" w14:textId="1E58F14F" w:rsidR="00CD1112" w:rsidRPr="00086601" w:rsidRDefault="00046EFD" w:rsidP="00425F0C">
      <w:pPr>
        <w:spacing w:line="480" w:lineRule="auto"/>
        <w:jc w:val="both"/>
        <w:rPr>
          <w:rFonts w:ascii="Garamond" w:eastAsiaTheme="minorEastAsia" w:hAnsi="Garamond"/>
          <w:sz w:val="24"/>
          <w:szCs w:val="24"/>
        </w:rPr>
      </w:pPr>
      <w:r w:rsidRPr="00086601">
        <w:rPr>
          <w:rFonts w:ascii="Garamond" w:eastAsiaTheme="minorEastAsia" w:hAnsi="Garamond"/>
          <w:i/>
          <w:iCs/>
          <w:sz w:val="24"/>
          <w:szCs w:val="24"/>
        </w:rPr>
        <w:t xml:space="preserve">H1: </w:t>
      </w:r>
      <w:r w:rsidRPr="00086601">
        <w:rPr>
          <w:rFonts w:ascii="Garamond" w:eastAsiaTheme="minorEastAsia" w:hAnsi="Garamond"/>
          <w:sz w:val="24"/>
          <w:szCs w:val="24"/>
        </w:rPr>
        <w:t>Positive gross domestic product growth has a negative relationship on crash risk</w:t>
      </w:r>
      <w:r w:rsidR="00CD1112" w:rsidRPr="00086601">
        <w:rPr>
          <w:rFonts w:ascii="Garamond" w:eastAsiaTheme="minorEastAsia" w:hAnsi="Garamond"/>
          <w:sz w:val="24"/>
          <w:szCs w:val="24"/>
        </w:rPr>
        <w:t xml:space="preserve"> </w:t>
      </w:r>
    </w:p>
    <w:p w14:paraId="42CC6E7E" w14:textId="6A174995" w:rsidR="00046EFD" w:rsidRPr="00086601" w:rsidRDefault="00046EFD" w:rsidP="00425F0C">
      <w:pPr>
        <w:spacing w:line="480" w:lineRule="auto"/>
        <w:jc w:val="both"/>
        <w:rPr>
          <w:rFonts w:ascii="Garamond" w:eastAsiaTheme="minorEastAsia" w:hAnsi="Garamond"/>
          <w:sz w:val="24"/>
          <w:szCs w:val="24"/>
        </w:rPr>
      </w:pPr>
      <w:r w:rsidRPr="00086601">
        <w:rPr>
          <w:rFonts w:ascii="Garamond" w:eastAsiaTheme="minorEastAsia" w:hAnsi="Garamond"/>
          <w:i/>
          <w:iCs/>
          <w:sz w:val="24"/>
          <w:szCs w:val="24"/>
        </w:rPr>
        <w:t>H2:</w:t>
      </w:r>
      <w:r w:rsidRPr="00086601">
        <w:rPr>
          <w:rFonts w:ascii="Garamond" w:eastAsiaTheme="minorEastAsia" w:hAnsi="Garamond"/>
          <w:sz w:val="24"/>
          <w:szCs w:val="24"/>
        </w:rPr>
        <w:t xml:space="preserve"> Gross domestic product per capita has a negative relationship on crash risk</w:t>
      </w:r>
    </w:p>
    <w:p w14:paraId="4981CE0B" w14:textId="77777777" w:rsidR="006040C1" w:rsidRPr="00086601" w:rsidRDefault="00046EFD" w:rsidP="00425F0C">
      <w:pPr>
        <w:spacing w:line="480" w:lineRule="auto"/>
        <w:jc w:val="both"/>
        <w:rPr>
          <w:rFonts w:ascii="Garamond" w:eastAsiaTheme="minorEastAsia" w:hAnsi="Garamond"/>
          <w:sz w:val="24"/>
          <w:szCs w:val="24"/>
        </w:rPr>
      </w:pPr>
      <w:r w:rsidRPr="00086601">
        <w:rPr>
          <w:rFonts w:ascii="Garamond" w:eastAsiaTheme="minorEastAsia" w:hAnsi="Garamond"/>
          <w:i/>
          <w:iCs/>
          <w:sz w:val="24"/>
          <w:szCs w:val="24"/>
        </w:rPr>
        <w:t xml:space="preserve">H3: </w:t>
      </w:r>
      <w:r w:rsidR="006040C1" w:rsidRPr="00086601">
        <w:rPr>
          <w:rFonts w:ascii="Garamond" w:eastAsiaTheme="minorEastAsia" w:hAnsi="Garamond"/>
          <w:sz w:val="24"/>
          <w:szCs w:val="24"/>
        </w:rPr>
        <w:t>Higher standards of regulatory quality, voice and accountability, more stable political systems and the absence of terrorism, effective government, influential rules of law, and controls of corruption have a negative relationship on crash risk</w:t>
      </w:r>
    </w:p>
    <w:p w14:paraId="5ECA88D6" w14:textId="4F869746" w:rsidR="006040C1" w:rsidRPr="00086601" w:rsidRDefault="006040C1" w:rsidP="00425F0C">
      <w:pPr>
        <w:spacing w:line="480" w:lineRule="auto"/>
        <w:jc w:val="both"/>
        <w:rPr>
          <w:rFonts w:ascii="Garamond" w:eastAsiaTheme="minorEastAsia" w:hAnsi="Garamond"/>
          <w:sz w:val="24"/>
          <w:szCs w:val="24"/>
        </w:rPr>
      </w:pPr>
      <w:r w:rsidRPr="00086601">
        <w:rPr>
          <w:rFonts w:ascii="Garamond" w:eastAsiaTheme="minorEastAsia" w:hAnsi="Garamond"/>
          <w:i/>
          <w:iCs/>
          <w:sz w:val="24"/>
          <w:szCs w:val="24"/>
        </w:rPr>
        <w:t xml:space="preserve">H4: </w:t>
      </w:r>
      <w:r w:rsidRPr="00086601">
        <w:rPr>
          <w:rFonts w:ascii="Garamond" w:eastAsiaTheme="minorEastAsia" w:hAnsi="Garamond"/>
          <w:sz w:val="24"/>
          <w:szCs w:val="24"/>
        </w:rPr>
        <w:t>Less individualized countries that exhibit feminine characteristics among citizens have a negative relationship on crash risk</w:t>
      </w:r>
    </w:p>
    <w:p w14:paraId="796648E5" w14:textId="3A00D48F" w:rsidR="006040C1" w:rsidRPr="00086601" w:rsidRDefault="006040C1" w:rsidP="00425F0C">
      <w:pPr>
        <w:spacing w:line="480" w:lineRule="auto"/>
        <w:jc w:val="both"/>
        <w:rPr>
          <w:rFonts w:ascii="Garamond" w:eastAsiaTheme="minorEastAsia" w:hAnsi="Garamond"/>
          <w:sz w:val="24"/>
          <w:szCs w:val="24"/>
        </w:rPr>
      </w:pPr>
      <w:r w:rsidRPr="00086601">
        <w:rPr>
          <w:rFonts w:ascii="Garamond" w:eastAsiaTheme="minorEastAsia" w:hAnsi="Garamond"/>
          <w:i/>
          <w:iCs/>
          <w:sz w:val="24"/>
          <w:szCs w:val="24"/>
        </w:rPr>
        <w:t xml:space="preserve">H5: </w:t>
      </w:r>
      <w:r w:rsidRPr="00086601">
        <w:rPr>
          <w:rFonts w:ascii="Garamond" w:eastAsiaTheme="minorEastAsia" w:hAnsi="Garamond"/>
          <w:sz w:val="24"/>
          <w:szCs w:val="24"/>
        </w:rPr>
        <w:t>Countries that express more uncertainty avoidance and have a longer orientation to decisions have a negative relationship with crash risk</w:t>
      </w:r>
    </w:p>
    <w:p w14:paraId="68B3F78C" w14:textId="6186F030" w:rsidR="00CD1112" w:rsidRPr="00086601" w:rsidRDefault="006040C1" w:rsidP="00425F0C">
      <w:pPr>
        <w:spacing w:line="480" w:lineRule="auto"/>
        <w:jc w:val="both"/>
        <w:rPr>
          <w:rFonts w:ascii="Garamond" w:eastAsiaTheme="minorEastAsia" w:hAnsi="Garamond"/>
          <w:sz w:val="24"/>
          <w:szCs w:val="24"/>
        </w:rPr>
      </w:pPr>
      <w:r w:rsidRPr="00086601">
        <w:rPr>
          <w:rFonts w:ascii="Garamond" w:eastAsiaTheme="minorEastAsia" w:hAnsi="Garamond"/>
          <w:i/>
          <w:iCs/>
          <w:sz w:val="24"/>
          <w:szCs w:val="24"/>
        </w:rPr>
        <w:t xml:space="preserve">H6: </w:t>
      </w:r>
      <w:r w:rsidRPr="00086601">
        <w:rPr>
          <w:rFonts w:ascii="Garamond" w:eastAsiaTheme="minorEastAsia" w:hAnsi="Garamond"/>
          <w:sz w:val="24"/>
          <w:szCs w:val="24"/>
        </w:rPr>
        <w:t>Countries that are more indulgent will have a positive relationship with crash risk</w:t>
      </w:r>
    </w:p>
    <w:p w14:paraId="5951E8E5" w14:textId="314A45E6" w:rsidR="001F758F" w:rsidRPr="001F758F" w:rsidRDefault="00CD1112" w:rsidP="001F758F">
      <w:pPr>
        <w:pStyle w:val="Heading2"/>
        <w:spacing w:after="240"/>
        <w:jc w:val="both"/>
        <w:rPr>
          <w:rFonts w:ascii="Garamond" w:eastAsiaTheme="minorEastAsia" w:hAnsi="Garamond"/>
          <w:b/>
          <w:bCs/>
          <w:color w:val="000000" w:themeColor="text1"/>
        </w:rPr>
      </w:pPr>
      <w:r w:rsidRPr="001F758F">
        <w:rPr>
          <w:rFonts w:ascii="Garamond" w:eastAsiaTheme="minorEastAsia" w:hAnsi="Garamond"/>
          <w:b/>
          <w:bCs/>
          <w:color w:val="000000" w:themeColor="text1"/>
        </w:rPr>
        <w:t>Empirical models</w:t>
      </w:r>
    </w:p>
    <w:p w14:paraId="7737C882" w14:textId="748D6E79" w:rsidR="00CD1112" w:rsidRPr="001F758F" w:rsidRDefault="00CD1112" w:rsidP="00425F0C">
      <w:pPr>
        <w:spacing w:line="480" w:lineRule="auto"/>
        <w:jc w:val="both"/>
        <w:rPr>
          <w:rFonts w:ascii="Garamond" w:eastAsiaTheme="minorEastAsia" w:hAnsi="Garamond"/>
          <w:b/>
          <w:bCs/>
          <w:i/>
          <w:iCs/>
          <w:sz w:val="24"/>
          <w:szCs w:val="24"/>
        </w:rPr>
      </w:pPr>
      <w:r w:rsidRPr="001F758F">
        <w:rPr>
          <w:rFonts w:ascii="Garamond" w:eastAsiaTheme="minorEastAsia" w:hAnsi="Garamond"/>
          <w:b/>
          <w:bCs/>
          <w:i/>
          <w:iCs/>
          <w:sz w:val="24"/>
          <w:szCs w:val="24"/>
        </w:rPr>
        <w:t>Exploring Hypothesis 1</w:t>
      </w:r>
    </w:p>
    <w:p w14:paraId="70D41E60" w14:textId="7CC1D79B" w:rsidR="002B58CA" w:rsidRPr="00086601" w:rsidRDefault="002B58CA" w:rsidP="00425F0C">
      <w:pPr>
        <w:spacing w:line="480" w:lineRule="auto"/>
        <w:jc w:val="both"/>
        <w:rPr>
          <w:rFonts w:ascii="Garamond" w:eastAsiaTheme="minorEastAsia" w:hAnsi="Garamond"/>
          <w:sz w:val="24"/>
          <w:szCs w:val="24"/>
        </w:rPr>
      </w:pPr>
      <w:r w:rsidRPr="00086601">
        <w:rPr>
          <w:rFonts w:ascii="Garamond" w:eastAsiaTheme="minorEastAsia" w:hAnsi="Garamond"/>
          <w:sz w:val="24"/>
          <w:szCs w:val="24"/>
        </w:rPr>
        <w:tab/>
        <w:t xml:space="preserve">The study explores the relationship between the gross domestic product growth year over year and the crash risk for a country. The increase in annual gross domestic product should influence crash risk in a negative direction. </w:t>
      </w:r>
      <w:r w:rsidR="00AB0788" w:rsidRPr="00086601">
        <w:rPr>
          <w:rFonts w:ascii="Garamond" w:eastAsiaTheme="minorEastAsia" w:hAnsi="Garamond"/>
          <w:sz w:val="24"/>
          <w:szCs w:val="24"/>
        </w:rPr>
        <w:t xml:space="preserve">Studies highlight that relationships between financial markets and the economic growth of a country exist (Banerjee, Ahmed, Hossain, 2017). </w:t>
      </w:r>
      <w:r w:rsidRPr="00086601">
        <w:rPr>
          <w:rFonts w:ascii="Garamond" w:eastAsiaTheme="minorEastAsia" w:hAnsi="Garamond"/>
          <w:sz w:val="24"/>
          <w:szCs w:val="24"/>
        </w:rPr>
        <w:t>The following regression model will be used to explore this relationship:</w:t>
      </w:r>
    </w:p>
    <w:p w14:paraId="3214089B" w14:textId="3FE21BEA" w:rsidR="00CD1112" w:rsidRPr="00086601" w:rsidRDefault="00765F47" w:rsidP="00425F0C">
      <w:pPr>
        <w:spacing w:line="480" w:lineRule="auto"/>
        <w:ind w:firstLine="720"/>
        <w:jc w:val="both"/>
        <w:rPr>
          <w:rFonts w:ascii="Garamond" w:eastAsiaTheme="minorEastAsia" w:hAnsi="Garamond"/>
          <w:sz w:val="24"/>
          <w:szCs w:val="24"/>
        </w:rPr>
      </w:pPr>
      <m:oMathPara>
        <m:oMath>
          <m:sSub>
            <m:sSubPr>
              <m:ctrlPr>
                <w:rPr>
                  <w:rFonts w:ascii="Cambria Math" w:hAnsi="Cambria Math"/>
                  <w:i/>
                  <w:sz w:val="24"/>
                  <w:szCs w:val="24"/>
                </w:rPr>
              </m:ctrlPr>
            </m:sSubPr>
            <m:e>
              <m:r>
                <w:rPr>
                  <w:rFonts w:ascii="Cambria Math" w:hAnsi="Cambria Math"/>
                  <w:sz w:val="24"/>
                  <w:szCs w:val="24"/>
                </w:rPr>
                <m:t>CrashRisk</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GDPGrowth</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sz w:val="24"/>
                  <w:szCs w:val="24"/>
                </w:rPr>
                <m:t>t</m:t>
              </m:r>
            </m:sub>
          </m:sSub>
        </m:oMath>
      </m:oMathPara>
    </w:p>
    <w:p w14:paraId="1A818E2B" w14:textId="0006515E" w:rsidR="00CD1112" w:rsidRPr="00086601" w:rsidRDefault="00CD1112" w:rsidP="00425F0C">
      <w:pPr>
        <w:spacing w:line="480" w:lineRule="auto"/>
        <w:ind w:firstLine="720"/>
        <w:jc w:val="both"/>
        <w:rPr>
          <w:rFonts w:ascii="Garamond" w:eastAsiaTheme="minorEastAsia" w:hAnsi="Garamond"/>
          <w:sz w:val="24"/>
          <w:szCs w:val="24"/>
        </w:rPr>
      </w:pPr>
      <w:r w:rsidRPr="00086601">
        <w:rPr>
          <w:rFonts w:ascii="Garamond" w:eastAsiaTheme="minorEastAsia" w:hAnsi="Garamond"/>
          <w:sz w:val="24"/>
          <w:szCs w:val="24"/>
        </w:rPr>
        <w:lastRenderedPageBreak/>
        <w:t xml:space="preserve">where </w:t>
      </w:r>
      <m:oMath>
        <m:sSub>
          <m:sSubPr>
            <m:ctrlPr>
              <w:rPr>
                <w:rFonts w:ascii="Cambria Math" w:hAnsi="Cambria Math"/>
                <w:i/>
                <w:sz w:val="24"/>
                <w:szCs w:val="24"/>
              </w:rPr>
            </m:ctrlPr>
          </m:sSubPr>
          <m:e>
            <m:r>
              <w:rPr>
                <w:rFonts w:ascii="Cambria Math" w:hAnsi="Cambria Math"/>
                <w:sz w:val="24"/>
                <w:szCs w:val="24"/>
              </w:rPr>
              <m:t>CrashRisk</m:t>
            </m:r>
          </m:e>
          <m:sub>
            <m:r>
              <w:rPr>
                <w:rFonts w:ascii="Cambria Math" w:hAnsi="Cambria Math"/>
                <w:sz w:val="24"/>
                <w:szCs w:val="24"/>
              </w:rPr>
              <m:t>t</m:t>
            </m:r>
          </m:sub>
        </m:sSub>
      </m:oMath>
      <w:r w:rsidR="002B58CA" w:rsidRPr="00086601">
        <w:rPr>
          <w:rFonts w:ascii="Garamond" w:eastAsiaTheme="minorEastAsia" w:hAnsi="Garamond"/>
          <w:sz w:val="24"/>
          <w:szCs w:val="24"/>
        </w:rPr>
        <w:t xml:space="preserve"> is either the negative skewness or down-to-up-volatility measure in year </w:t>
      </w:r>
      <w:r w:rsidR="002B58CA" w:rsidRPr="00086601">
        <w:rPr>
          <w:rFonts w:ascii="Garamond" w:eastAsiaTheme="minorEastAsia" w:hAnsi="Garamond"/>
          <w:i/>
          <w:iCs/>
          <w:sz w:val="24"/>
          <w:szCs w:val="24"/>
        </w:rPr>
        <w:t>t</w:t>
      </w:r>
      <w:r w:rsidR="002B58CA" w:rsidRPr="00086601">
        <w:rPr>
          <w:rFonts w:ascii="Garamond" w:eastAsiaTheme="minorEastAsia" w:hAnsi="Garamond"/>
          <w:sz w:val="24"/>
          <w:szCs w:val="24"/>
        </w:rPr>
        <w:t xml:space="preserve"> for a given country</w:t>
      </w:r>
      <w:r w:rsidR="009B1E53" w:rsidRPr="00086601">
        <w:rPr>
          <w:rFonts w:ascii="Garamond" w:eastAsiaTheme="minorEastAsia" w:hAnsi="Garamond"/>
          <w:sz w:val="24"/>
          <w:szCs w:val="24"/>
        </w:rPr>
        <w:t xml:space="preserve"> and </w:t>
      </w:r>
      <m:oMath>
        <m:sSub>
          <m:sSubPr>
            <m:ctrlPr>
              <w:rPr>
                <w:rFonts w:ascii="Cambria Math" w:hAnsi="Cambria Math"/>
                <w:i/>
                <w:sz w:val="24"/>
                <w:szCs w:val="24"/>
              </w:rPr>
            </m:ctrlPr>
          </m:sSubPr>
          <m:e>
            <m:r>
              <w:rPr>
                <w:rFonts w:ascii="Cambria Math" w:hAnsi="Cambria Math"/>
                <w:sz w:val="24"/>
                <w:szCs w:val="24"/>
              </w:rPr>
              <m:t>GDPGrowth</m:t>
            </m:r>
          </m:e>
          <m:sub>
            <m:r>
              <w:rPr>
                <w:rFonts w:ascii="Cambria Math" w:hAnsi="Cambria Math"/>
                <w:sz w:val="24"/>
                <w:szCs w:val="24"/>
              </w:rPr>
              <m:t>t</m:t>
            </m:r>
          </m:sub>
        </m:sSub>
      </m:oMath>
      <w:r w:rsidR="009B1E53" w:rsidRPr="00086601">
        <w:rPr>
          <w:rFonts w:ascii="Garamond" w:eastAsiaTheme="minorEastAsia" w:hAnsi="Garamond"/>
          <w:sz w:val="24"/>
          <w:szCs w:val="24"/>
        </w:rPr>
        <w:t xml:space="preserve"> is the annual growth rate in year </w:t>
      </w:r>
      <w:r w:rsidR="009B1E53" w:rsidRPr="00086601">
        <w:rPr>
          <w:rFonts w:ascii="Garamond" w:eastAsiaTheme="minorEastAsia" w:hAnsi="Garamond"/>
          <w:i/>
          <w:iCs/>
          <w:sz w:val="24"/>
          <w:szCs w:val="24"/>
        </w:rPr>
        <w:t>t</w:t>
      </w:r>
      <w:r w:rsidR="009B1E53" w:rsidRPr="00086601">
        <w:rPr>
          <w:rFonts w:ascii="Garamond" w:eastAsiaTheme="minorEastAsia" w:hAnsi="Garamond"/>
          <w:sz w:val="24"/>
          <w:szCs w:val="24"/>
        </w:rPr>
        <w:t xml:space="preserve"> for a given country.</w:t>
      </w:r>
    </w:p>
    <w:p w14:paraId="0D6C2AB7" w14:textId="642834D9" w:rsidR="009B1E53" w:rsidRPr="001F758F" w:rsidRDefault="009B1E53" w:rsidP="00425F0C">
      <w:pPr>
        <w:spacing w:line="480" w:lineRule="auto"/>
        <w:jc w:val="both"/>
        <w:rPr>
          <w:rFonts w:ascii="Garamond" w:eastAsiaTheme="minorEastAsia" w:hAnsi="Garamond"/>
          <w:b/>
          <w:bCs/>
          <w:i/>
          <w:iCs/>
          <w:sz w:val="24"/>
          <w:szCs w:val="24"/>
        </w:rPr>
      </w:pPr>
      <w:r w:rsidRPr="001F758F">
        <w:rPr>
          <w:rFonts w:ascii="Garamond" w:eastAsiaTheme="minorEastAsia" w:hAnsi="Garamond"/>
          <w:b/>
          <w:bCs/>
          <w:i/>
          <w:iCs/>
          <w:sz w:val="24"/>
          <w:szCs w:val="24"/>
        </w:rPr>
        <w:t>Exploring Hypothesis 2</w:t>
      </w:r>
    </w:p>
    <w:p w14:paraId="2A05F640" w14:textId="1DE653F4" w:rsidR="00C14A3C" w:rsidRPr="00086601" w:rsidRDefault="009B1E53" w:rsidP="00425F0C">
      <w:pPr>
        <w:spacing w:line="480" w:lineRule="auto"/>
        <w:jc w:val="both"/>
        <w:rPr>
          <w:rFonts w:ascii="Garamond" w:eastAsiaTheme="minorEastAsia" w:hAnsi="Garamond"/>
          <w:sz w:val="24"/>
          <w:szCs w:val="24"/>
        </w:rPr>
      </w:pPr>
      <w:r w:rsidRPr="00086601">
        <w:rPr>
          <w:rFonts w:ascii="Garamond" w:eastAsiaTheme="minorEastAsia" w:hAnsi="Garamond"/>
          <w:sz w:val="24"/>
          <w:szCs w:val="24"/>
        </w:rPr>
        <w:tab/>
      </w:r>
      <w:r w:rsidR="005623D0" w:rsidRPr="00086601">
        <w:rPr>
          <w:rFonts w:ascii="Garamond" w:eastAsiaTheme="minorEastAsia" w:hAnsi="Garamond"/>
          <w:sz w:val="24"/>
          <w:szCs w:val="24"/>
        </w:rPr>
        <w:t>The study explores the relationship between gross domestic product per capita</w:t>
      </w:r>
      <w:r w:rsidR="00C14A3C" w:rsidRPr="00086601">
        <w:rPr>
          <w:rFonts w:ascii="Garamond" w:eastAsiaTheme="minorEastAsia" w:hAnsi="Garamond"/>
          <w:sz w:val="24"/>
          <w:szCs w:val="24"/>
        </w:rPr>
        <w:t xml:space="preserve"> and the crash risk for a country. Given a wealthier country on a per capita basis, the lower the crash risk should be experienced. The following regression model will be used to explore this relationship:</w:t>
      </w:r>
      <m:oMath>
        <m:r>
          <m:rPr>
            <m:sty m:val="p"/>
          </m:rPr>
          <w:rPr>
            <w:rFonts w:ascii="Cambria Math" w:hAnsi="Cambria Math"/>
            <w:sz w:val="24"/>
            <w:szCs w:val="24"/>
          </w:rPr>
          <w:br/>
        </m:r>
      </m:oMath>
      <m:oMathPara>
        <m:oMath>
          <m:sSub>
            <m:sSubPr>
              <m:ctrlPr>
                <w:rPr>
                  <w:rFonts w:ascii="Cambria Math" w:hAnsi="Cambria Math"/>
                  <w:i/>
                  <w:sz w:val="24"/>
                  <w:szCs w:val="24"/>
                </w:rPr>
              </m:ctrlPr>
            </m:sSubPr>
            <m:e>
              <m:r>
                <w:rPr>
                  <w:rFonts w:ascii="Cambria Math" w:hAnsi="Cambria Math"/>
                  <w:sz w:val="24"/>
                  <w:szCs w:val="24"/>
                </w:rPr>
                <m:t>CrashRisk</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GDPPerCapita</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sz w:val="24"/>
                  <w:szCs w:val="24"/>
                </w:rPr>
                <m:t>t</m:t>
              </m:r>
            </m:sub>
          </m:sSub>
        </m:oMath>
      </m:oMathPara>
    </w:p>
    <w:p w14:paraId="6279308D" w14:textId="69733464" w:rsidR="00C14A3C" w:rsidRPr="00086601" w:rsidRDefault="00C14A3C" w:rsidP="00425F0C">
      <w:pPr>
        <w:spacing w:line="480" w:lineRule="auto"/>
        <w:jc w:val="both"/>
        <w:rPr>
          <w:rFonts w:ascii="Garamond" w:eastAsiaTheme="minorEastAsia" w:hAnsi="Garamond"/>
          <w:sz w:val="24"/>
          <w:szCs w:val="24"/>
        </w:rPr>
      </w:pPr>
      <w:r w:rsidRPr="00086601">
        <w:rPr>
          <w:rFonts w:ascii="Garamond" w:eastAsiaTheme="minorEastAsia" w:hAnsi="Garamond"/>
          <w:sz w:val="24"/>
          <w:szCs w:val="24"/>
        </w:rPr>
        <w:t xml:space="preserve">where </w:t>
      </w:r>
      <m:oMath>
        <m:sSub>
          <m:sSubPr>
            <m:ctrlPr>
              <w:rPr>
                <w:rFonts w:ascii="Cambria Math" w:hAnsi="Cambria Math"/>
                <w:i/>
                <w:sz w:val="24"/>
                <w:szCs w:val="24"/>
              </w:rPr>
            </m:ctrlPr>
          </m:sSubPr>
          <m:e>
            <m:r>
              <w:rPr>
                <w:rFonts w:ascii="Cambria Math" w:hAnsi="Cambria Math"/>
                <w:sz w:val="24"/>
                <w:szCs w:val="24"/>
              </w:rPr>
              <m:t>CrashRisk</m:t>
            </m:r>
          </m:e>
          <m:sub>
            <m:r>
              <w:rPr>
                <w:rFonts w:ascii="Cambria Math" w:hAnsi="Cambria Math"/>
                <w:sz w:val="24"/>
                <w:szCs w:val="24"/>
              </w:rPr>
              <m:t>t</m:t>
            </m:r>
          </m:sub>
        </m:sSub>
      </m:oMath>
      <w:r w:rsidRPr="00086601">
        <w:rPr>
          <w:rFonts w:ascii="Garamond" w:eastAsiaTheme="minorEastAsia" w:hAnsi="Garamond"/>
          <w:sz w:val="24"/>
          <w:szCs w:val="24"/>
        </w:rPr>
        <w:t xml:space="preserve"> is either the negative skewness or down-to-up-volatility measure in year </w:t>
      </w:r>
      <w:r w:rsidRPr="00086601">
        <w:rPr>
          <w:rFonts w:ascii="Garamond" w:eastAsiaTheme="minorEastAsia" w:hAnsi="Garamond"/>
          <w:i/>
          <w:iCs/>
          <w:sz w:val="24"/>
          <w:szCs w:val="24"/>
        </w:rPr>
        <w:t>t</w:t>
      </w:r>
      <w:r w:rsidRPr="00086601">
        <w:rPr>
          <w:rFonts w:ascii="Garamond" w:eastAsiaTheme="minorEastAsia" w:hAnsi="Garamond"/>
          <w:sz w:val="24"/>
          <w:szCs w:val="24"/>
        </w:rPr>
        <w:t xml:space="preserve"> for a given country and </w:t>
      </w:r>
      <m:oMath>
        <m:sSub>
          <m:sSubPr>
            <m:ctrlPr>
              <w:rPr>
                <w:rFonts w:ascii="Cambria Math" w:hAnsi="Cambria Math"/>
                <w:i/>
                <w:sz w:val="24"/>
                <w:szCs w:val="24"/>
              </w:rPr>
            </m:ctrlPr>
          </m:sSubPr>
          <m:e>
            <m:r>
              <w:rPr>
                <w:rFonts w:ascii="Cambria Math" w:hAnsi="Cambria Math"/>
                <w:sz w:val="24"/>
                <w:szCs w:val="24"/>
              </w:rPr>
              <m:t>GDPPerCapita</m:t>
            </m:r>
          </m:e>
          <m:sub>
            <m:r>
              <w:rPr>
                <w:rFonts w:ascii="Cambria Math" w:hAnsi="Cambria Math"/>
                <w:sz w:val="24"/>
                <w:szCs w:val="24"/>
              </w:rPr>
              <m:t>t</m:t>
            </m:r>
          </m:sub>
        </m:sSub>
      </m:oMath>
      <w:r w:rsidRPr="00086601">
        <w:rPr>
          <w:rFonts w:ascii="Garamond" w:eastAsiaTheme="minorEastAsia" w:hAnsi="Garamond"/>
          <w:sz w:val="24"/>
          <w:szCs w:val="24"/>
        </w:rPr>
        <w:t xml:space="preserve"> is the annual growth rate in year </w:t>
      </w:r>
      <w:r w:rsidRPr="00086601">
        <w:rPr>
          <w:rFonts w:ascii="Garamond" w:eastAsiaTheme="minorEastAsia" w:hAnsi="Garamond"/>
          <w:i/>
          <w:iCs/>
          <w:sz w:val="24"/>
          <w:szCs w:val="24"/>
        </w:rPr>
        <w:t>t</w:t>
      </w:r>
      <w:r w:rsidRPr="00086601">
        <w:rPr>
          <w:rFonts w:ascii="Garamond" w:eastAsiaTheme="minorEastAsia" w:hAnsi="Garamond"/>
          <w:sz w:val="24"/>
          <w:szCs w:val="24"/>
        </w:rPr>
        <w:t xml:space="preserve"> for a given country.</w:t>
      </w:r>
    </w:p>
    <w:p w14:paraId="625901DE" w14:textId="15D14A3E" w:rsidR="00C14A3C" w:rsidRPr="001F758F" w:rsidRDefault="00C14A3C" w:rsidP="00425F0C">
      <w:pPr>
        <w:spacing w:line="480" w:lineRule="auto"/>
        <w:jc w:val="both"/>
        <w:rPr>
          <w:rFonts w:ascii="Garamond" w:eastAsiaTheme="minorEastAsia" w:hAnsi="Garamond"/>
          <w:b/>
          <w:bCs/>
          <w:i/>
          <w:iCs/>
          <w:sz w:val="24"/>
          <w:szCs w:val="24"/>
        </w:rPr>
      </w:pPr>
      <w:r w:rsidRPr="001F758F">
        <w:rPr>
          <w:rFonts w:ascii="Garamond" w:eastAsiaTheme="minorEastAsia" w:hAnsi="Garamond"/>
          <w:b/>
          <w:bCs/>
          <w:i/>
          <w:iCs/>
          <w:sz w:val="24"/>
          <w:szCs w:val="24"/>
        </w:rPr>
        <w:t>Exploring Hypothesis 3</w:t>
      </w:r>
    </w:p>
    <w:p w14:paraId="0BA98E13" w14:textId="2C938DF3" w:rsidR="00C14A3C" w:rsidRPr="00086601" w:rsidRDefault="00C14A3C" w:rsidP="00425F0C">
      <w:pPr>
        <w:spacing w:line="480" w:lineRule="auto"/>
        <w:jc w:val="both"/>
        <w:rPr>
          <w:rFonts w:ascii="Garamond" w:eastAsiaTheme="minorEastAsia" w:hAnsi="Garamond"/>
          <w:sz w:val="24"/>
          <w:szCs w:val="24"/>
        </w:rPr>
      </w:pPr>
      <w:r w:rsidRPr="00086601">
        <w:rPr>
          <w:rFonts w:ascii="Garamond" w:eastAsiaTheme="minorEastAsia" w:hAnsi="Garamond"/>
          <w:sz w:val="24"/>
          <w:szCs w:val="24"/>
        </w:rPr>
        <w:tab/>
        <w:t>The study explores the relationship between standards of regulatory quality, voice and accountability, political systems and the absence of terrorism, government effectiveness, rules of law, and controls of corruption and the measures of crash risk. A country that exhibits a more regulative society, more emphasis on voice and accountability, less terrorism and a structured political system, effective government, standardized and actionable rules of law, and structures in society where corruption is controlled should exhibit lower crash risk. The following regression model will be used to explore this relationship:</w:t>
      </w:r>
      <m:oMath>
        <m:r>
          <m:rPr>
            <m:sty m:val="p"/>
          </m:rPr>
          <w:rPr>
            <w:rFonts w:ascii="Cambria Math" w:hAnsi="Cambria Math"/>
            <w:sz w:val="24"/>
            <w:szCs w:val="24"/>
          </w:rPr>
          <w:br/>
        </m:r>
      </m:oMath>
      <m:oMathPara>
        <m:oMath>
          <m:sSub>
            <m:sSubPr>
              <m:ctrlPr>
                <w:rPr>
                  <w:rFonts w:ascii="Cambria Math" w:hAnsi="Cambria Math"/>
                  <w:i/>
                  <w:sz w:val="24"/>
                  <w:szCs w:val="24"/>
                </w:rPr>
              </m:ctrlPr>
            </m:sSubPr>
            <m:e>
              <m:r>
                <w:rPr>
                  <w:rFonts w:ascii="Cambria Math" w:hAnsi="Cambria Math"/>
                  <w:sz w:val="24"/>
                  <w:szCs w:val="24"/>
                </w:rPr>
                <m:t>CrashRisk</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COC</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GE</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PS</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RQ</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5</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ROL</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6</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VA</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sz w:val="24"/>
                  <w:szCs w:val="24"/>
                </w:rPr>
                <m:t>t</m:t>
              </m:r>
            </m:sub>
          </m:sSub>
        </m:oMath>
      </m:oMathPara>
    </w:p>
    <w:p w14:paraId="02BC1C03" w14:textId="1A012D9B" w:rsidR="00C14A3C" w:rsidRPr="00086601" w:rsidRDefault="00C14A3C" w:rsidP="00425F0C">
      <w:pPr>
        <w:spacing w:line="480" w:lineRule="auto"/>
        <w:jc w:val="both"/>
        <w:rPr>
          <w:rFonts w:ascii="Garamond" w:eastAsiaTheme="minorEastAsia" w:hAnsi="Garamond"/>
          <w:sz w:val="24"/>
          <w:szCs w:val="24"/>
        </w:rPr>
      </w:pPr>
      <w:r w:rsidRPr="00086601">
        <w:rPr>
          <w:rFonts w:ascii="Garamond" w:eastAsiaTheme="minorEastAsia" w:hAnsi="Garamond"/>
          <w:sz w:val="24"/>
          <w:szCs w:val="24"/>
        </w:rPr>
        <w:t xml:space="preserve">where </w:t>
      </w:r>
      <m:oMath>
        <m:sSub>
          <m:sSubPr>
            <m:ctrlPr>
              <w:rPr>
                <w:rFonts w:ascii="Cambria Math" w:hAnsi="Cambria Math"/>
                <w:i/>
                <w:sz w:val="24"/>
                <w:szCs w:val="24"/>
              </w:rPr>
            </m:ctrlPr>
          </m:sSubPr>
          <m:e>
            <m:r>
              <w:rPr>
                <w:rFonts w:ascii="Cambria Math" w:hAnsi="Cambria Math"/>
                <w:sz w:val="24"/>
                <w:szCs w:val="24"/>
              </w:rPr>
              <m:t>CrashRisk</m:t>
            </m:r>
          </m:e>
          <m:sub>
            <m:r>
              <w:rPr>
                <w:rFonts w:ascii="Cambria Math" w:hAnsi="Cambria Math"/>
                <w:sz w:val="24"/>
                <w:szCs w:val="24"/>
              </w:rPr>
              <m:t>t</m:t>
            </m:r>
          </m:sub>
        </m:sSub>
      </m:oMath>
      <w:r w:rsidRPr="00086601">
        <w:rPr>
          <w:rFonts w:ascii="Garamond" w:eastAsiaTheme="minorEastAsia" w:hAnsi="Garamond"/>
          <w:sz w:val="24"/>
          <w:szCs w:val="24"/>
        </w:rPr>
        <w:t xml:space="preserve"> is either the negative skewness or down-to-up-volatility measure in year </w:t>
      </w:r>
      <w:r w:rsidRPr="00086601">
        <w:rPr>
          <w:rFonts w:ascii="Garamond" w:eastAsiaTheme="minorEastAsia" w:hAnsi="Garamond"/>
          <w:i/>
          <w:iCs/>
          <w:sz w:val="24"/>
          <w:szCs w:val="24"/>
        </w:rPr>
        <w:t>t</w:t>
      </w:r>
      <w:r w:rsidRPr="00086601">
        <w:rPr>
          <w:rFonts w:ascii="Garamond" w:eastAsiaTheme="minorEastAsia" w:hAnsi="Garamond"/>
          <w:sz w:val="24"/>
          <w:szCs w:val="24"/>
        </w:rPr>
        <w:t xml:space="preserve"> for a given country</w:t>
      </w:r>
      <w:r w:rsidR="0016772D" w:rsidRPr="00086601">
        <w:rPr>
          <w:rFonts w:ascii="Garamond" w:eastAsiaTheme="minorEastAsia" w:hAnsi="Garamond"/>
          <w:sz w:val="24"/>
          <w:szCs w:val="24"/>
        </w:rPr>
        <w:t>,</w:t>
      </w:r>
      <w:r w:rsidRPr="00086601">
        <w:rPr>
          <w:rFonts w:ascii="Garamond" w:eastAsiaTheme="minorEastAsia" w:hAnsi="Garamond"/>
          <w:sz w:val="24"/>
          <w:szCs w:val="24"/>
        </w:rPr>
        <w:t xml:space="preserve"> </w:t>
      </w:r>
      <m:oMath>
        <m:sSub>
          <m:sSubPr>
            <m:ctrlPr>
              <w:rPr>
                <w:rFonts w:ascii="Cambria Math" w:hAnsi="Cambria Math"/>
                <w:i/>
                <w:sz w:val="24"/>
                <w:szCs w:val="24"/>
              </w:rPr>
            </m:ctrlPr>
          </m:sSubPr>
          <m:e>
            <m:r>
              <w:rPr>
                <w:rFonts w:ascii="Cambria Math" w:hAnsi="Cambria Math"/>
                <w:sz w:val="24"/>
                <w:szCs w:val="24"/>
              </w:rPr>
              <m:t>COC</m:t>
            </m:r>
          </m:e>
          <m:sub>
            <m:r>
              <w:rPr>
                <w:rFonts w:ascii="Cambria Math" w:hAnsi="Cambria Math"/>
                <w:sz w:val="24"/>
                <w:szCs w:val="24"/>
              </w:rPr>
              <m:t>t</m:t>
            </m:r>
          </m:sub>
        </m:sSub>
      </m:oMath>
      <w:r w:rsidRPr="00086601">
        <w:rPr>
          <w:rFonts w:ascii="Garamond" w:eastAsiaTheme="minorEastAsia" w:hAnsi="Garamond"/>
          <w:sz w:val="24"/>
          <w:szCs w:val="24"/>
        </w:rPr>
        <w:t xml:space="preserve"> is the</w:t>
      </w:r>
      <w:r w:rsidR="0016772D" w:rsidRPr="00086601">
        <w:rPr>
          <w:rFonts w:ascii="Garamond" w:eastAsiaTheme="minorEastAsia" w:hAnsi="Garamond"/>
          <w:sz w:val="24"/>
          <w:szCs w:val="24"/>
        </w:rPr>
        <w:t xml:space="preserve"> control of corruption, </w:t>
      </w:r>
      <m:oMath>
        <m:sSub>
          <m:sSubPr>
            <m:ctrlPr>
              <w:rPr>
                <w:rFonts w:ascii="Cambria Math" w:hAnsi="Cambria Math"/>
                <w:i/>
                <w:sz w:val="24"/>
                <w:szCs w:val="24"/>
              </w:rPr>
            </m:ctrlPr>
          </m:sSubPr>
          <m:e>
            <m:r>
              <w:rPr>
                <w:rFonts w:ascii="Cambria Math" w:hAnsi="Cambria Math"/>
                <w:sz w:val="24"/>
                <w:szCs w:val="24"/>
              </w:rPr>
              <m:t>GE</m:t>
            </m:r>
          </m:e>
          <m:sub>
            <m:r>
              <w:rPr>
                <w:rFonts w:ascii="Cambria Math" w:hAnsi="Cambria Math"/>
                <w:sz w:val="24"/>
                <w:szCs w:val="24"/>
              </w:rPr>
              <m:t>t</m:t>
            </m:r>
          </m:sub>
        </m:sSub>
      </m:oMath>
      <w:r w:rsidR="0016772D" w:rsidRPr="00086601">
        <w:rPr>
          <w:rFonts w:ascii="Garamond" w:eastAsiaTheme="minorEastAsia" w:hAnsi="Garamond"/>
          <w:sz w:val="24"/>
          <w:szCs w:val="24"/>
        </w:rPr>
        <w:t xml:space="preserve"> is the government effectiveness measure, </w:t>
      </w:r>
      <m:oMath>
        <m:sSub>
          <m:sSubPr>
            <m:ctrlPr>
              <w:rPr>
                <w:rFonts w:ascii="Cambria Math" w:hAnsi="Cambria Math"/>
                <w:i/>
                <w:sz w:val="24"/>
                <w:szCs w:val="24"/>
              </w:rPr>
            </m:ctrlPr>
          </m:sSubPr>
          <m:e>
            <m:r>
              <w:rPr>
                <w:rFonts w:ascii="Cambria Math" w:hAnsi="Cambria Math"/>
                <w:sz w:val="24"/>
                <w:szCs w:val="24"/>
              </w:rPr>
              <m:t>PS</m:t>
            </m:r>
          </m:e>
          <m:sub>
            <m:r>
              <w:rPr>
                <w:rFonts w:ascii="Cambria Math" w:hAnsi="Cambria Math"/>
                <w:sz w:val="24"/>
                <w:szCs w:val="24"/>
              </w:rPr>
              <m:t>t</m:t>
            </m:r>
          </m:sub>
        </m:sSub>
      </m:oMath>
      <w:r w:rsidR="0016772D" w:rsidRPr="00086601">
        <w:rPr>
          <w:rFonts w:ascii="Garamond" w:eastAsiaTheme="minorEastAsia" w:hAnsi="Garamond"/>
          <w:sz w:val="24"/>
          <w:szCs w:val="24"/>
        </w:rPr>
        <w:t xml:space="preserve"> is the political stability and absence of violence measure, </w:t>
      </w:r>
      <m:oMath>
        <m:sSub>
          <m:sSubPr>
            <m:ctrlPr>
              <w:rPr>
                <w:rFonts w:ascii="Cambria Math" w:hAnsi="Cambria Math"/>
                <w:i/>
                <w:sz w:val="24"/>
                <w:szCs w:val="24"/>
              </w:rPr>
            </m:ctrlPr>
          </m:sSubPr>
          <m:e>
            <m:r>
              <w:rPr>
                <w:rFonts w:ascii="Cambria Math" w:hAnsi="Cambria Math"/>
                <w:sz w:val="24"/>
                <w:szCs w:val="24"/>
              </w:rPr>
              <m:t>RQ</m:t>
            </m:r>
          </m:e>
          <m:sub>
            <m:r>
              <w:rPr>
                <w:rFonts w:ascii="Cambria Math" w:hAnsi="Cambria Math"/>
                <w:sz w:val="24"/>
                <w:szCs w:val="24"/>
              </w:rPr>
              <m:t>t</m:t>
            </m:r>
          </m:sub>
        </m:sSub>
      </m:oMath>
      <w:r w:rsidR="0016772D" w:rsidRPr="00086601">
        <w:rPr>
          <w:rFonts w:ascii="Garamond" w:eastAsiaTheme="minorEastAsia" w:hAnsi="Garamond"/>
          <w:sz w:val="24"/>
          <w:szCs w:val="24"/>
        </w:rPr>
        <w:t xml:space="preserve"> is the regulatory quality measure, </w:t>
      </w:r>
      <m:oMath>
        <m:sSub>
          <m:sSubPr>
            <m:ctrlPr>
              <w:rPr>
                <w:rFonts w:ascii="Cambria Math" w:hAnsi="Cambria Math"/>
                <w:i/>
                <w:sz w:val="24"/>
                <w:szCs w:val="24"/>
              </w:rPr>
            </m:ctrlPr>
          </m:sSubPr>
          <m:e>
            <m:r>
              <w:rPr>
                <w:rFonts w:ascii="Cambria Math" w:hAnsi="Cambria Math"/>
                <w:sz w:val="24"/>
                <w:szCs w:val="24"/>
              </w:rPr>
              <m:t>ROL</m:t>
            </m:r>
          </m:e>
          <m:sub>
            <m:r>
              <w:rPr>
                <w:rFonts w:ascii="Cambria Math" w:hAnsi="Cambria Math"/>
                <w:sz w:val="24"/>
                <w:szCs w:val="24"/>
              </w:rPr>
              <m:t>t</m:t>
            </m:r>
          </m:sub>
        </m:sSub>
      </m:oMath>
      <w:r w:rsidR="0016772D" w:rsidRPr="00086601">
        <w:rPr>
          <w:rFonts w:ascii="Garamond" w:eastAsiaTheme="minorEastAsia" w:hAnsi="Garamond"/>
          <w:sz w:val="24"/>
          <w:szCs w:val="24"/>
        </w:rPr>
        <w:t xml:space="preserve"> is the rule of law measure, and </w:t>
      </w:r>
      <m:oMath>
        <m:sSub>
          <m:sSubPr>
            <m:ctrlPr>
              <w:rPr>
                <w:rFonts w:ascii="Cambria Math" w:hAnsi="Cambria Math"/>
                <w:i/>
                <w:sz w:val="24"/>
                <w:szCs w:val="24"/>
              </w:rPr>
            </m:ctrlPr>
          </m:sSubPr>
          <m:e>
            <m:r>
              <w:rPr>
                <w:rFonts w:ascii="Cambria Math" w:hAnsi="Cambria Math"/>
                <w:sz w:val="24"/>
                <w:szCs w:val="24"/>
              </w:rPr>
              <m:t>VA</m:t>
            </m:r>
          </m:e>
          <m:sub>
            <m:r>
              <w:rPr>
                <w:rFonts w:ascii="Cambria Math" w:hAnsi="Cambria Math"/>
                <w:sz w:val="24"/>
                <w:szCs w:val="24"/>
              </w:rPr>
              <m:t>t</m:t>
            </m:r>
          </m:sub>
        </m:sSub>
      </m:oMath>
      <w:r w:rsidR="0016772D" w:rsidRPr="00086601">
        <w:rPr>
          <w:rFonts w:ascii="Garamond" w:eastAsiaTheme="minorEastAsia" w:hAnsi="Garamond"/>
          <w:sz w:val="24"/>
          <w:szCs w:val="24"/>
        </w:rPr>
        <w:t xml:space="preserve"> is the voice and accountability measure</w:t>
      </w:r>
      <w:r w:rsidRPr="00086601">
        <w:rPr>
          <w:rFonts w:ascii="Garamond" w:eastAsiaTheme="minorEastAsia" w:hAnsi="Garamond"/>
          <w:sz w:val="24"/>
          <w:szCs w:val="24"/>
        </w:rPr>
        <w:t>.</w:t>
      </w:r>
    </w:p>
    <w:p w14:paraId="060E52EA" w14:textId="08E2C774" w:rsidR="0016772D" w:rsidRPr="001F758F" w:rsidRDefault="00C14A3C" w:rsidP="00425F0C">
      <w:pPr>
        <w:spacing w:line="480" w:lineRule="auto"/>
        <w:jc w:val="both"/>
        <w:rPr>
          <w:rFonts w:ascii="Garamond" w:eastAsiaTheme="minorEastAsia" w:hAnsi="Garamond"/>
          <w:b/>
          <w:bCs/>
          <w:i/>
          <w:iCs/>
          <w:sz w:val="24"/>
          <w:szCs w:val="24"/>
        </w:rPr>
      </w:pPr>
      <w:r w:rsidRPr="001F758F">
        <w:rPr>
          <w:rFonts w:ascii="Garamond" w:eastAsiaTheme="minorEastAsia" w:hAnsi="Garamond"/>
          <w:b/>
          <w:bCs/>
          <w:i/>
          <w:iCs/>
          <w:sz w:val="24"/>
          <w:szCs w:val="24"/>
        </w:rPr>
        <w:lastRenderedPageBreak/>
        <w:t>Exploring Hypothesis 4</w:t>
      </w:r>
    </w:p>
    <w:p w14:paraId="5C3EAE03" w14:textId="0A8F32A0" w:rsidR="00C14A3C" w:rsidRPr="00086601" w:rsidRDefault="00C14A3C" w:rsidP="00425F0C">
      <w:pPr>
        <w:spacing w:line="480" w:lineRule="auto"/>
        <w:jc w:val="both"/>
        <w:rPr>
          <w:rFonts w:ascii="Garamond" w:eastAsiaTheme="minorEastAsia" w:hAnsi="Garamond"/>
          <w:sz w:val="24"/>
          <w:szCs w:val="24"/>
        </w:rPr>
      </w:pPr>
      <w:r w:rsidRPr="00086601">
        <w:rPr>
          <w:rFonts w:ascii="Garamond" w:eastAsiaTheme="minorEastAsia" w:hAnsi="Garamond"/>
          <w:sz w:val="24"/>
          <w:szCs w:val="24"/>
        </w:rPr>
        <w:tab/>
        <w:t>The study explores the relationship between</w:t>
      </w:r>
      <w:r w:rsidR="0016772D" w:rsidRPr="00086601">
        <w:rPr>
          <w:rFonts w:ascii="Garamond" w:eastAsiaTheme="minorEastAsia" w:hAnsi="Garamond"/>
          <w:sz w:val="24"/>
          <w:szCs w:val="24"/>
        </w:rPr>
        <w:t xml:space="preserve"> individualism </w:t>
      </w:r>
      <w:r w:rsidR="00610E91" w:rsidRPr="00086601">
        <w:rPr>
          <w:rFonts w:ascii="Garamond" w:eastAsiaTheme="minorEastAsia" w:hAnsi="Garamond"/>
          <w:sz w:val="24"/>
          <w:szCs w:val="24"/>
        </w:rPr>
        <w:t>and</w:t>
      </w:r>
      <w:r w:rsidR="0016772D" w:rsidRPr="00086601">
        <w:rPr>
          <w:rFonts w:ascii="Garamond" w:eastAsiaTheme="minorEastAsia" w:hAnsi="Garamond"/>
          <w:sz w:val="24"/>
          <w:szCs w:val="24"/>
        </w:rPr>
        <w:t xml:space="preserve"> the influence of crash risk for a country.</w:t>
      </w:r>
      <w:r w:rsidRPr="00086601">
        <w:rPr>
          <w:rFonts w:ascii="Garamond" w:eastAsiaTheme="minorEastAsia" w:hAnsi="Garamond"/>
          <w:sz w:val="24"/>
          <w:szCs w:val="24"/>
        </w:rPr>
        <w:t xml:space="preserve"> </w:t>
      </w:r>
      <w:r w:rsidR="0016772D" w:rsidRPr="00086601">
        <w:rPr>
          <w:rFonts w:ascii="Garamond" w:eastAsiaTheme="minorEastAsia" w:hAnsi="Garamond"/>
          <w:sz w:val="24"/>
          <w:szCs w:val="24"/>
        </w:rPr>
        <w:t xml:space="preserve">A country where </w:t>
      </w:r>
      <w:r w:rsidR="00610E91" w:rsidRPr="00086601">
        <w:rPr>
          <w:rFonts w:ascii="Garamond" w:eastAsiaTheme="minorEastAsia" w:hAnsi="Garamond"/>
          <w:sz w:val="24"/>
          <w:szCs w:val="24"/>
        </w:rPr>
        <w:t xml:space="preserve">there are fewer </w:t>
      </w:r>
      <w:r w:rsidR="0016772D" w:rsidRPr="00086601">
        <w:rPr>
          <w:rFonts w:ascii="Garamond" w:eastAsiaTheme="minorEastAsia" w:hAnsi="Garamond"/>
          <w:sz w:val="24"/>
          <w:szCs w:val="24"/>
        </w:rPr>
        <w:t xml:space="preserve">individualized social dynamics should result in a lower crash risk value. </w:t>
      </w:r>
      <w:r w:rsidRPr="00086601">
        <w:rPr>
          <w:rFonts w:ascii="Garamond" w:eastAsiaTheme="minorEastAsia" w:hAnsi="Garamond"/>
          <w:sz w:val="24"/>
          <w:szCs w:val="24"/>
        </w:rPr>
        <w:t>The following regression model will be used to explore this relationship:</w:t>
      </w:r>
      <m:oMath>
        <m:r>
          <m:rPr>
            <m:sty m:val="p"/>
          </m:rPr>
          <w:rPr>
            <w:rFonts w:ascii="Cambria Math" w:hAnsi="Cambria Math"/>
            <w:sz w:val="24"/>
            <w:szCs w:val="24"/>
          </w:rPr>
          <w:br/>
        </m:r>
      </m:oMath>
      <m:oMathPara>
        <m:oMath>
          <m:sSub>
            <m:sSubPr>
              <m:ctrlPr>
                <w:rPr>
                  <w:rFonts w:ascii="Cambria Math" w:hAnsi="Cambria Math"/>
                  <w:i/>
                  <w:sz w:val="24"/>
                  <w:szCs w:val="24"/>
                </w:rPr>
              </m:ctrlPr>
            </m:sSubPr>
            <m:e>
              <m:r>
                <w:rPr>
                  <w:rFonts w:ascii="Cambria Math" w:hAnsi="Cambria Math"/>
                  <w:sz w:val="24"/>
                  <w:szCs w:val="24"/>
                </w:rPr>
                <m:t>CrashRisk</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IDV</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sz w:val="24"/>
                  <w:szCs w:val="24"/>
                </w:rPr>
                <m:t>t</m:t>
              </m:r>
            </m:sub>
          </m:sSub>
        </m:oMath>
      </m:oMathPara>
    </w:p>
    <w:p w14:paraId="6BA6944F" w14:textId="326B64F4" w:rsidR="00C14A3C" w:rsidRPr="00086601" w:rsidRDefault="00C14A3C" w:rsidP="00425F0C">
      <w:pPr>
        <w:spacing w:line="480" w:lineRule="auto"/>
        <w:jc w:val="both"/>
        <w:rPr>
          <w:rFonts w:ascii="Garamond" w:eastAsiaTheme="minorEastAsia" w:hAnsi="Garamond"/>
          <w:sz w:val="24"/>
          <w:szCs w:val="24"/>
        </w:rPr>
      </w:pPr>
      <w:r w:rsidRPr="00086601">
        <w:rPr>
          <w:rFonts w:ascii="Garamond" w:eastAsiaTheme="minorEastAsia" w:hAnsi="Garamond"/>
          <w:sz w:val="24"/>
          <w:szCs w:val="24"/>
        </w:rPr>
        <w:t xml:space="preserve">where </w:t>
      </w:r>
      <m:oMath>
        <m:sSub>
          <m:sSubPr>
            <m:ctrlPr>
              <w:rPr>
                <w:rFonts w:ascii="Cambria Math" w:hAnsi="Cambria Math"/>
                <w:i/>
                <w:sz w:val="24"/>
                <w:szCs w:val="24"/>
              </w:rPr>
            </m:ctrlPr>
          </m:sSubPr>
          <m:e>
            <m:r>
              <w:rPr>
                <w:rFonts w:ascii="Cambria Math" w:hAnsi="Cambria Math"/>
                <w:sz w:val="24"/>
                <w:szCs w:val="24"/>
              </w:rPr>
              <m:t>CrashRisk</m:t>
            </m:r>
          </m:e>
          <m:sub>
            <m:r>
              <w:rPr>
                <w:rFonts w:ascii="Cambria Math" w:hAnsi="Cambria Math"/>
                <w:sz w:val="24"/>
                <w:szCs w:val="24"/>
              </w:rPr>
              <m:t>t</m:t>
            </m:r>
          </m:sub>
        </m:sSub>
      </m:oMath>
      <w:r w:rsidRPr="00086601">
        <w:rPr>
          <w:rFonts w:ascii="Garamond" w:eastAsiaTheme="minorEastAsia" w:hAnsi="Garamond"/>
          <w:sz w:val="24"/>
          <w:szCs w:val="24"/>
        </w:rPr>
        <w:t xml:space="preserve"> is either the negative skewness or down-to-up-volatility measure in year </w:t>
      </w:r>
      <w:r w:rsidRPr="00086601">
        <w:rPr>
          <w:rFonts w:ascii="Garamond" w:eastAsiaTheme="minorEastAsia" w:hAnsi="Garamond"/>
          <w:i/>
          <w:iCs/>
          <w:sz w:val="24"/>
          <w:szCs w:val="24"/>
        </w:rPr>
        <w:t>t</w:t>
      </w:r>
      <w:r w:rsidRPr="00086601">
        <w:rPr>
          <w:rFonts w:ascii="Garamond" w:eastAsiaTheme="minorEastAsia" w:hAnsi="Garamond"/>
          <w:sz w:val="24"/>
          <w:szCs w:val="24"/>
        </w:rPr>
        <w:t xml:space="preserve"> for a given country</w:t>
      </w:r>
      <w:r w:rsidR="00590502" w:rsidRPr="00086601">
        <w:rPr>
          <w:rFonts w:ascii="Garamond" w:eastAsiaTheme="minorEastAsia" w:hAnsi="Garamond"/>
          <w:sz w:val="24"/>
          <w:szCs w:val="24"/>
        </w:rPr>
        <w:t>,</w:t>
      </w:r>
      <w:r w:rsidRPr="00086601">
        <w:rPr>
          <w:rFonts w:ascii="Garamond" w:eastAsiaTheme="minorEastAsia" w:hAnsi="Garamond"/>
          <w:sz w:val="24"/>
          <w:szCs w:val="24"/>
        </w:rPr>
        <w:t xml:space="preserve"> </w:t>
      </w:r>
      <m:oMath>
        <m:sSub>
          <m:sSubPr>
            <m:ctrlPr>
              <w:rPr>
                <w:rFonts w:ascii="Cambria Math" w:hAnsi="Cambria Math"/>
                <w:i/>
                <w:sz w:val="24"/>
                <w:szCs w:val="24"/>
              </w:rPr>
            </m:ctrlPr>
          </m:sSubPr>
          <m:e>
            <m:r>
              <w:rPr>
                <w:rFonts w:ascii="Cambria Math" w:hAnsi="Cambria Math"/>
                <w:sz w:val="24"/>
                <w:szCs w:val="24"/>
              </w:rPr>
              <m:t>IDV</m:t>
            </m:r>
          </m:e>
          <m:sub>
            <m:r>
              <w:rPr>
                <w:rFonts w:ascii="Cambria Math" w:hAnsi="Cambria Math"/>
                <w:sz w:val="24"/>
                <w:szCs w:val="24"/>
              </w:rPr>
              <m:t>t</m:t>
            </m:r>
          </m:sub>
        </m:sSub>
      </m:oMath>
      <w:r w:rsidRPr="00086601">
        <w:rPr>
          <w:rFonts w:ascii="Garamond" w:eastAsiaTheme="minorEastAsia" w:hAnsi="Garamond"/>
          <w:sz w:val="24"/>
          <w:szCs w:val="24"/>
        </w:rPr>
        <w:t xml:space="preserve"> is the </w:t>
      </w:r>
      <w:r w:rsidR="00590502" w:rsidRPr="00086601">
        <w:rPr>
          <w:rFonts w:ascii="Garamond" w:eastAsiaTheme="minorEastAsia" w:hAnsi="Garamond"/>
          <w:sz w:val="24"/>
          <w:szCs w:val="24"/>
        </w:rPr>
        <w:t xml:space="preserve">measure of individualism </w:t>
      </w:r>
      <w:r w:rsidRPr="00086601">
        <w:rPr>
          <w:rFonts w:ascii="Garamond" w:eastAsiaTheme="minorEastAsia" w:hAnsi="Garamond"/>
          <w:sz w:val="24"/>
          <w:szCs w:val="24"/>
        </w:rPr>
        <w:t xml:space="preserve">in year </w:t>
      </w:r>
      <w:r w:rsidRPr="00086601">
        <w:rPr>
          <w:rFonts w:ascii="Garamond" w:eastAsiaTheme="minorEastAsia" w:hAnsi="Garamond"/>
          <w:i/>
          <w:iCs/>
          <w:sz w:val="24"/>
          <w:szCs w:val="24"/>
        </w:rPr>
        <w:t>t</w:t>
      </w:r>
      <w:r w:rsidRPr="00086601">
        <w:rPr>
          <w:rFonts w:ascii="Garamond" w:eastAsiaTheme="minorEastAsia" w:hAnsi="Garamond"/>
          <w:sz w:val="24"/>
          <w:szCs w:val="24"/>
        </w:rPr>
        <w:t xml:space="preserve"> for a given country</w:t>
      </w:r>
      <w:r w:rsidR="00610E91" w:rsidRPr="00086601">
        <w:rPr>
          <w:rFonts w:ascii="Garamond" w:eastAsiaTheme="minorEastAsia" w:hAnsi="Garamond"/>
          <w:sz w:val="24"/>
          <w:szCs w:val="24"/>
        </w:rPr>
        <w:t>.</w:t>
      </w:r>
    </w:p>
    <w:p w14:paraId="719C0EF1" w14:textId="41B5441B" w:rsidR="00C14A3C" w:rsidRPr="001F758F" w:rsidRDefault="00C14A3C" w:rsidP="00425F0C">
      <w:pPr>
        <w:spacing w:line="480" w:lineRule="auto"/>
        <w:jc w:val="both"/>
        <w:rPr>
          <w:rFonts w:ascii="Garamond" w:eastAsiaTheme="minorEastAsia" w:hAnsi="Garamond"/>
          <w:b/>
          <w:bCs/>
          <w:i/>
          <w:iCs/>
          <w:sz w:val="24"/>
          <w:szCs w:val="24"/>
        </w:rPr>
      </w:pPr>
      <w:r w:rsidRPr="001F758F">
        <w:rPr>
          <w:rFonts w:ascii="Garamond" w:eastAsiaTheme="minorEastAsia" w:hAnsi="Garamond"/>
          <w:b/>
          <w:bCs/>
          <w:i/>
          <w:iCs/>
          <w:sz w:val="24"/>
          <w:szCs w:val="24"/>
        </w:rPr>
        <w:t>Exploring Hypothesis 5</w:t>
      </w:r>
    </w:p>
    <w:p w14:paraId="0AF63A20" w14:textId="34F9B2E6" w:rsidR="00C14A3C" w:rsidRPr="00086601" w:rsidRDefault="00C14A3C" w:rsidP="00425F0C">
      <w:pPr>
        <w:spacing w:line="480" w:lineRule="auto"/>
        <w:jc w:val="both"/>
        <w:rPr>
          <w:rFonts w:ascii="Garamond" w:eastAsiaTheme="minorEastAsia" w:hAnsi="Garamond"/>
          <w:sz w:val="24"/>
          <w:szCs w:val="24"/>
        </w:rPr>
      </w:pPr>
      <w:r w:rsidRPr="00086601">
        <w:rPr>
          <w:rFonts w:ascii="Garamond" w:eastAsiaTheme="minorEastAsia" w:hAnsi="Garamond"/>
          <w:sz w:val="24"/>
          <w:szCs w:val="24"/>
        </w:rPr>
        <w:tab/>
        <w:t xml:space="preserve">The study explores the relationship between </w:t>
      </w:r>
      <w:r w:rsidR="00425F0C" w:rsidRPr="00086601">
        <w:rPr>
          <w:rFonts w:ascii="Garamond" w:eastAsiaTheme="minorEastAsia" w:hAnsi="Garamond"/>
          <w:sz w:val="24"/>
          <w:szCs w:val="24"/>
        </w:rPr>
        <w:t xml:space="preserve">countries that </w:t>
      </w:r>
      <w:proofErr w:type="gramStart"/>
      <w:r w:rsidR="00425F0C" w:rsidRPr="00086601">
        <w:rPr>
          <w:rFonts w:ascii="Garamond" w:eastAsiaTheme="minorEastAsia" w:hAnsi="Garamond"/>
          <w:sz w:val="24"/>
          <w:szCs w:val="24"/>
        </w:rPr>
        <w:t>have a tendency to</w:t>
      </w:r>
      <w:proofErr w:type="gramEnd"/>
      <w:r w:rsidR="00425F0C" w:rsidRPr="00086601">
        <w:rPr>
          <w:rFonts w:ascii="Garamond" w:eastAsiaTheme="minorEastAsia" w:hAnsi="Garamond"/>
          <w:sz w:val="24"/>
          <w:szCs w:val="24"/>
        </w:rPr>
        <w:t xml:space="preserve"> avoid uncertainty and show a tendency to oversee decisions with a longer time horizon have a negative correlation to crash risk.</w:t>
      </w:r>
      <w:r w:rsidRPr="00086601">
        <w:rPr>
          <w:rFonts w:ascii="Garamond" w:eastAsiaTheme="minorEastAsia" w:hAnsi="Garamond"/>
          <w:sz w:val="24"/>
          <w:szCs w:val="24"/>
        </w:rPr>
        <w:t xml:space="preserve"> </w:t>
      </w:r>
      <w:r w:rsidR="00AB5CB9">
        <w:rPr>
          <w:rFonts w:ascii="Garamond" w:eastAsiaTheme="minorEastAsia" w:hAnsi="Garamond"/>
          <w:sz w:val="24"/>
          <w:szCs w:val="24"/>
        </w:rPr>
        <w:t>Other works have shown that psychological factors can have influence on the stock market (</w:t>
      </w:r>
      <w:proofErr w:type="spellStart"/>
      <w:r w:rsidR="00AB5CB9">
        <w:rPr>
          <w:rFonts w:ascii="Garamond" w:eastAsiaTheme="minorEastAsia" w:hAnsi="Garamond"/>
          <w:sz w:val="24"/>
          <w:szCs w:val="24"/>
        </w:rPr>
        <w:t>Huaping</w:t>
      </w:r>
      <w:proofErr w:type="spellEnd"/>
      <w:r w:rsidR="00AB5CB9">
        <w:rPr>
          <w:rFonts w:ascii="Garamond" w:eastAsiaTheme="minorEastAsia" w:hAnsi="Garamond"/>
          <w:sz w:val="24"/>
          <w:szCs w:val="24"/>
        </w:rPr>
        <w:t xml:space="preserve">, </w:t>
      </w:r>
      <w:proofErr w:type="spellStart"/>
      <w:r w:rsidR="00AB5CB9">
        <w:rPr>
          <w:rFonts w:ascii="Garamond" w:eastAsiaTheme="minorEastAsia" w:hAnsi="Garamond"/>
          <w:sz w:val="24"/>
          <w:szCs w:val="24"/>
        </w:rPr>
        <w:t>Feifan</w:t>
      </w:r>
      <w:proofErr w:type="spellEnd"/>
      <w:r w:rsidR="00AB5CB9">
        <w:rPr>
          <w:rFonts w:ascii="Garamond" w:eastAsiaTheme="minorEastAsia" w:hAnsi="Garamond"/>
          <w:sz w:val="24"/>
          <w:szCs w:val="24"/>
        </w:rPr>
        <w:t xml:space="preserve">, 2020). </w:t>
      </w:r>
      <w:r w:rsidRPr="00086601">
        <w:rPr>
          <w:rFonts w:ascii="Garamond" w:eastAsiaTheme="minorEastAsia" w:hAnsi="Garamond"/>
          <w:sz w:val="24"/>
          <w:szCs w:val="24"/>
        </w:rPr>
        <w:t>The following regression model will be used to explore this relationship:</w:t>
      </w:r>
      <m:oMath>
        <m:r>
          <m:rPr>
            <m:sty m:val="p"/>
          </m:rPr>
          <w:rPr>
            <w:rFonts w:ascii="Cambria Math" w:hAnsi="Cambria Math"/>
            <w:sz w:val="24"/>
            <w:szCs w:val="24"/>
          </w:rPr>
          <w:br/>
        </m:r>
      </m:oMath>
      <m:oMathPara>
        <m:oMath>
          <m:sSub>
            <m:sSubPr>
              <m:ctrlPr>
                <w:rPr>
                  <w:rFonts w:ascii="Cambria Math" w:hAnsi="Cambria Math"/>
                  <w:i/>
                  <w:sz w:val="24"/>
                  <w:szCs w:val="24"/>
                </w:rPr>
              </m:ctrlPr>
            </m:sSubPr>
            <m:e>
              <m:r>
                <w:rPr>
                  <w:rFonts w:ascii="Cambria Math" w:hAnsi="Cambria Math"/>
                  <w:sz w:val="24"/>
                  <w:szCs w:val="24"/>
                </w:rPr>
                <m:t>CrashRisk</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UAI</m:t>
                  </m:r>
                </m:e>
                <m:sub>
                  <m:r>
                    <w:rPr>
                      <w:rFonts w:ascii="Cambria Math" w:hAnsi="Cambria Math"/>
                      <w:sz w:val="24"/>
                      <w:szCs w:val="24"/>
                    </w:rPr>
                    <m:t>t</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LTO</m:t>
                  </m:r>
                </m:e>
                <m:sub>
                  <m:r>
                    <w:rPr>
                      <w:rFonts w:ascii="Cambria Math" w:hAnsi="Cambria Math"/>
                      <w:sz w:val="24"/>
                      <w:szCs w:val="24"/>
                    </w:rPr>
                    <m:t>t</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sz w:val="24"/>
                  <w:szCs w:val="24"/>
                </w:rPr>
                <m:t>t</m:t>
              </m:r>
            </m:sub>
          </m:sSub>
        </m:oMath>
      </m:oMathPara>
    </w:p>
    <w:p w14:paraId="232099CB" w14:textId="226CD7BE" w:rsidR="00C14A3C" w:rsidRPr="00086601" w:rsidRDefault="00C14A3C" w:rsidP="00425F0C">
      <w:pPr>
        <w:spacing w:line="480" w:lineRule="auto"/>
        <w:jc w:val="both"/>
        <w:rPr>
          <w:rFonts w:ascii="Garamond" w:eastAsiaTheme="minorEastAsia" w:hAnsi="Garamond"/>
          <w:sz w:val="24"/>
          <w:szCs w:val="24"/>
        </w:rPr>
      </w:pPr>
      <w:r w:rsidRPr="00086601">
        <w:rPr>
          <w:rFonts w:ascii="Garamond" w:eastAsiaTheme="minorEastAsia" w:hAnsi="Garamond"/>
          <w:sz w:val="24"/>
          <w:szCs w:val="24"/>
        </w:rPr>
        <w:t xml:space="preserve">where </w:t>
      </w:r>
      <m:oMath>
        <m:sSub>
          <m:sSubPr>
            <m:ctrlPr>
              <w:rPr>
                <w:rFonts w:ascii="Cambria Math" w:hAnsi="Cambria Math"/>
                <w:i/>
                <w:sz w:val="24"/>
                <w:szCs w:val="24"/>
              </w:rPr>
            </m:ctrlPr>
          </m:sSubPr>
          <m:e>
            <m:r>
              <w:rPr>
                <w:rFonts w:ascii="Cambria Math" w:hAnsi="Cambria Math"/>
                <w:sz w:val="24"/>
                <w:szCs w:val="24"/>
              </w:rPr>
              <m:t>CrashRisk</m:t>
            </m:r>
          </m:e>
          <m:sub>
            <m:r>
              <w:rPr>
                <w:rFonts w:ascii="Cambria Math" w:hAnsi="Cambria Math"/>
                <w:sz w:val="24"/>
                <w:szCs w:val="24"/>
              </w:rPr>
              <m:t>t</m:t>
            </m:r>
          </m:sub>
        </m:sSub>
      </m:oMath>
      <w:r w:rsidRPr="00086601">
        <w:rPr>
          <w:rFonts w:ascii="Garamond" w:eastAsiaTheme="minorEastAsia" w:hAnsi="Garamond"/>
          <w:sz w:val="24"/>
          <w:szCs w:val="24"/>
        </w:rPr>
        <w:t xml:space="preserve"> is either the negative skewness or down-to-up-volatility measure in year </w:t>
      </w:r>
      <w:r w:rsidRPr="00086601">
        <w:rPr>
          <w:rFonts w:ascii="Garamond" w:eastAsiaTheme="minorEastAsia" w:hAnsi="Garamond"/>
          <w:i/>
          <w:iCs/>
          <w:sz w:val="24"/>
          <w:szCs w:val="24"/>
        </w:rPr>
        <w:t>t</w:t>
      </w:r>
      <w:r w:rsidRPr="00086601">
        <w:rPr>
          <w:rFonts w:ascii="Garamond" w:eastAsiaTheme="minorEastAsia" w:hAnsi="Garamond"/>
          <w:sz w:val="24"/>
          <w:szCs w:val="24"/>
        </w:rPr>
        <w:t xml:space="preserve"> for a given countr</w:t>
      </w:r>
      <w:r w:rsidR="00425F0C" w:rsidRPr="00086601">
        <w:rPr>
          <w:rFonts w:ascii="Garamond" w:eastAsiaTheme="minorEastAsia" w:hAnsi="Garamond"/>
          <w:sz w:val="24"/>
          <w:szCs w:val="24"/>
        </w:rPr>
        <w:t>y,</w:t>
      </w:r>
      <w:r w:rsidRPr="00086601">
        <w:rPr>
          <w:rFonts w:ascii="Garamond" w:eastAsiaTheme="minorEastAsia" w:hAnsi="Garamond"/>
          <w:sz w:val="24"/>
          <w:szCs w:val="24"/>
        </w:rPr>
        <w:t xml:space="preserve"> </w:t>
      </w:r>
      <m:oMath>
        <m:sSub>
          <m:sSubPr>
            <m:ctrlPr>
              <w:rPr>
                <w:rFonts w:ascii="Cambria Math" w:hAnsi="Cambria Math"/>
                <w:i/>
                <w:sz w:val="24"/>
                <w:szCs w:val="24"/>
              </w:rPr>
            </m:ctrlPr>
          </m:sSubPr>
          <m:e>
            <m:r>
              <w:rPr>
                <w:rFonts w:ascii="Cambria Math" w:hAnsi="Cambria Math"/>
                <w:sz w:val="24"/>
                <w:szCs w:val="24"/>
              </w:rPr>
              <m:t>UAI</m:t>
            </m:r>
          </m:e>
          <m:sub>
            <m:r>
              <w:rPr>
                <w:rFonts w:ascii="Cambria Math" w:hAnsi="Cambria Math"/>
                <w:sz w:val="24"/>
                <w:szCs w:val="24"/>
              </w:rPr>
              <m:t>t</m:t>
            </m:r>
          </m:sub>
        </m:sSub>
      </m:oMath>
      <w:r w:rsidRPr="00086601">
        <w:rPr>
          <w:rFonts w:ascii="Garamond" w:eastAsiaTheme="minorEastAsia" w:hAnsi="Garamond"/>
          <w:sz w:val="24"/>
          <w:szCs w:val="24"/>
        </w:rPr>
        <w:t xml:space="preserve"> is the </w:t>
      </w:r>
      <w:r w:rsidR="00425F0C" w:rsidRPr="00086601">
        <w:rPr>
          <w:rFonts w:ascii="Garamond" w:eastAsiaTheme="minorEastAsia" w:hAnsi="Garamond"/>
          <w:sz w:val="24"/>
          <w:szCs w:val="24"/>
        </w:rPr>
        <w:t xml:space="preserve">representation of uncertainty avoidance for a given country, and </w:t>
      </w:r>
      <m:oMath>
        <m:sSub>
          <m:sSubPr>
            <m:ctrlPr>
              <w:rPr>
                <w:rFonts w:ascii="Cambria Math" w:hAnsi="Cambria Math"/>
                <w:i/>
                <w:sz w:val="24"/>
                <w:szCs w:val="24"/>
              </w:rPr>
            </m:ctrlPr>
          </m:sSubPr>
          <m:e>
            <m:r>
              <w:rPr>
                <w:rFonts w:ascii="Cambria Math" w:hAnsi="Cambria Math"/>
                <w:sz w:val="24"/>
                <w:szCs w:val="24"/>
              </w:rPr>
              <m:t>LTO</m:t>
            </m:r>
          </m:e>
          <m:sub>
            <m:r>
              <w:rPr>
                <w:rFonts w:ascii="Cambria Math" w:hAnsi="Cambria Math"/>
                <w:sz w:val="24"/>
                <w:szCs w:val="24"/>
              </w:rPr>
              <m:t>t</m:t>
            </m:r>
          </m:sub>
        </m:sSub>
      </m:oMath>
      <w:r w:rsidR="00425F0C" w:rsidRPr="00086601">
        <w:rPr>
          <w:rFonts w:ascii="Garamond" w:eastAsiaTheme="minorEastAsia" w:hAnsi="Garamond"/>
          <w:sz w:val="24"/>
          <w:szCs w:val="24"/>
        </w:rPr>
        <w:t xml:space="preserve"> is the representation of a country’s tendency to plan further out when making decisions.</w:t>
      </w:r>
    </w:p>
    <w:p w14:paraId="138FF76A" w14:textId="3C9AF3FC" w:rsidR="00C14A3C" w:rsidRPr="001F758F" w:rsidRDefault="00C14A3C" w:rsidP="00425F0C">
      <w:pPr>
        <w:spacing w:line="480" w:lineRule="auto"/>
        <w:jc w:val="both"/>
        <w:rPr>
          <w:rFonts w:ascii="Garamond" w:eastAsiaTheme="minorEastAsia" w:hAnsi="Garamond"/>
          <w:b/>
          <w:bCs/>
          <w:i/>
          <w:iCs/>
          <w:sz w:val="24"/>
          <w:szCs w:val="24"/>
        </w:rPr>
      </w:pPr>
      <w:r w:rsidRPr="001F758F">
        <w:rPr>
          <w:rFonts w:ascii="Garamond" w:eastAsiaTheme="minorEastAsia" w:hAnsi="Garamond"/>
          <w:b/>
          <w:bCs/>
          <w:i/>
          <w:iCs/>
          <w:sz w:val="24"/>
          <w:szCs w:val="24"/>
        </w:rPr>
        <w:t>Exploring Hypothesis 6</w:t>
      </w:r>
    </w:p>
    <w:p w14:paraId="15135615" w14:textId="50A6BC93" w:rsidR="00C14A3C" w:rsidRPr="00086601" w:rsidRDefault="00C14A3C" w:rsidP="00425F0C">
      <w:pPr>
        <w:spacing w:line="480" w:lineRule="auto"/>
        <w:jc w:val="both"/>
        <w:rPr>
          <w:rFonts w:ascii="Garamond" w:eastAsiaTheme="minorEastAsia" w:hAnsi="Garamond"/>
          <w:sz w:val="24"/>
          <w:szCs w:val="24"/>
        </w:rPr>
      </w:pPr>
      <w:r w:rsidRPr="00086601">
        <w:rPr>
          <w:rFonts w:ascii="Garamond" w:eastAsiaTheme="minorEastAsia" w:hAnsi="Garamond"/>
          <w:sz w:val="24"/>
          <w:szCs w:val="24"/>
        </w:rPr>
        <w:tab/>
        <w:t xml:space="preserve">The study explores the relationship between </w:t>
      </w:r>
      <w:r w:rsidR="00425F0C" w:rsidRPr="00086601">
        <w:rPr>
          <w:rFonts w:ascii="Garamond" w:eastAsiaTheme="minorEastAsia" w:hAnsi="Garamond"/>
          <w:sz w:val="24"/>
          <w:szCs w:val="24"/>
        </w:rPr>
        <w:t xml:space="preserve">the country’s tendency to express more indulgence for pleasures and the country’s crash risk. </w:t>
      </w:r>
      <w:r w:rsidRPr="00086601">
        <w:rPr>
          <w:rFonts w:ascii="Garamond" w:eastAsiaTheme="minorEastAsia" w:hAnsi="Garamond"/>
          <w:sz w:val="24"/>
          <w:szCs w:val="24"/>
        </w:rPr>
        <w:t xml:space="preserve">Given a country </w:t>
      </w:r>
      <w:r w:rsidR="00425F0C" w:rsidRPr="00086601">
        <w:rPr>
          <w:rFonts w:ascii="Garamond" w:eastAsiaTheme="minorEastAsia" w:hAnsi="Garamond"/>
          <w:sz w:val="24"/>
          <w:szCs w:val="24"/>
        </w:rPr>
        <w:t>that is pursues indulgence, the higher the expected crash risk.</w:t>
      </w:r>
      <w:r w:rsidRPr="00086601">
        <w:rPr>
          <w:rFonts w:ascii="Garamond" w:eastAsiaTheme="minorEastAsia" w:hAnsi="Garamond"/>
          <w:sz w:val="24"/>
          <w:szCs w:val="24"/>
        </w:rPr>
        <w:t xml:space="preserve"> The following regression model will be used to explore this relationship:</w:t>
      </w:r>
      <m:oMath>
        <m:r>
          <m:rPr>
            <m:sty m:val="p"/>
          </m:rPr>
          <w:rPr>
            <w:rFonts w:ascii="Cambria Math" w:hAnsi="Cambria Math"/>
            <w:sz w:val="24"/>
            <w:szCs w:val="24"/>
          </w:rPr>
          <w:br/>
        </m:r>
      </m:oMath>
      <m:oMathPara>
        <m:oMath>
          <m:sSub>
            <m:sSubPr>
              <m:ctrlPr>
                <w:rPr>
                  <w:rFonts w:ascii="Cambria Math" w:hAnsi="Cambria Math"/>
                  <w:i/>
                  <w:sz w:val="24"/>
                  <w:szCs w:val="24"/>
                </w:rPr>
              </m:ctrlPr>
            </m:sSubPr>
            <m:e>
              <m:r>
                <w:rPr>
                  <w:rFonts w:ascii="Cambria Math" w:hAnsi="Cambria Math"/>
                  <w:sz w:val="24"/>
                  <w:szCs w:val="24"/>
                </w:rPr>
                <m:t>CrashRisk</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IVR</m:t>
                  </m:r>
                </m:e>
                <m:sub>
                  <m:r>
                    <w:rPr>
                      <w:rFonts w:ascii="Cambria Math" w:hAnsi="Cambria Math"/>
                      <w:sz w:val="24"/>
                      <w:szCs w:val="24"/>
                    </w:rPr>
                    <m:t>t</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sz w:val="24"/>
                  <w:szCs w:val="24"/>
                </w:rPr>
                <m:t>t</m:t>
              </m:r>
            </m:sub>
          </m:sSub>
        </m:oMath>
      </m:oMathPara>
    </w:p>
    <w:p w14:paraId="7A63FB37" w14:textId="77777777" w:rsidR="00425F0C" w:rsidRPr="00086601" w:rsidRDefault="00C14A3C" w:rsidP="00425F0C">
      <w:pPr>
        <w:spacing w:line="480" w:lineRule="auto"/>
        <w:jc w:val="both"/>
        <w:rPr>
          <w:rFonts w:ascii="Garamond" w:eastAsiaTheme="minorEastAsia" w:hAnsi="Garamond"/>
          <w:sz w:val="24"/>
          <w:szCs w:val="24"/>
        </w:rPr>
      </w:pPr>
      <w:r w:rsidRPr="00086601">
        <w:rPr>
          <w:rFonts w:ascii="Garamond" w:eastAsiaTheme="minorEastAsia" w:hAnsi="Garamond"/>
          <w:sz w:val="24"/>
          <w:szCs w:val="24"/>
        </w:rPr>
        <w:lastRenderedPageBreak/>
        <w:t xml:space="preserve">where </w:t>
      </w:r>
      <m:oMath>
        <m:sSub>
          <m:sSubPr>
            <m:ctrlPr>
              <w:rPr>
                <w:rFonts w:ascii="Cambria Math" w:hAnsi="Cambria Math"/>
                <w:i/>
                <w:sz w:val="24"/>
                <w:szCs w:val="24"/>
              </w:rPr>
            </m:ctrlPr>
          </m:sSubPr>
          <m:e>
            <m:r>
              <w:rPr>
                <w:rFonts w:ascii="Cambria Math" w:hAnsi="Cambria Math"/>
                <w:sz w:val="24"/>
                <w:szCs w:val="24"/>
              </w:rPr>
              <m:t>CrashRisk</m:t>
            </m:r>
          </m:e>
          <m:sub>
            <m:r>
              <w:rPr>
                <w:rFonts w:ascii="Cambria Math" w:hAnsi="Cambria Math"/>
                <w:sz w:val="24"/>
                <w:szCs w:val="24"/>
              </w:rPr>
              <m:t>t</m:t>
            </m:r>
          </m:sub>
        </m:sSub>
      </m:oMath>
      <w:r w:rsidRPr="00086601">
        <w:rPr>
          <w:rFonts w:ascii="Garamond" w:eastAsiaTheme="minorEastAsia" w:hAnsi="Garamond"/>
          <w:sz w:val="24"/>
          <w:szCs w:val="24"/>
        </w:rPr>
        <w:t xml:space="preserve"> is either the negative skewness or down-to-up-volatility measure in year </w:t>
      </w:r>
      <w:r w:rsidRPr="00086601">
        <w:rPr>
          <w:rFonts w:ascii="Garamond" w:eastAsiaTheme="minorEastAsia" w:hAnsi="Garamond"/>
          <w:i/>
          <w:iCs/>
          <w:sz w:val="24"/>
          <w:szCs w:val="24"/>
        </w:rPr>
        <w:t>t</w:t>
      </w:r>
      <w:r w:rsidRPr="00086601">
        <w:rPr>
          <w:rFonts w:ascii="Garamond" w:eastAsiaTheme="minorEastAsia" w:hAnsi="Garamond"/>
          <w:sz w:val="24"/>
          <w:szCs w:val="24"/>
        </w:rPr>
        <w:t xml:space="preserve"> for a given country and </w:t>
      </w:r>
      <m:oMath>
        <m:sSub>
          <m:sSubPr>
            <m:ctrlPr>
              <w:rPr>
                <w:rFonts w:ascii="Cambria Math" w:hAnsi="Cambria Math"/>
                <w:i/>
                <w:sz w:val="24"/>
                <w:szCs w:val="24"/>
              </w:rPr>
            </m:ctrlPr>
          </m:sSubPr>
          <m:e>
            <m:r>
              <w:rPr>
                <w:rFonts w:ascii="Cambria Math" w:hAnsi="Cambria Math"/>
                <w:sz w:val="24"/>
                <w:szCs w:val="24"/>
              </w:rPr>
              <m:t>IVR</m:t>
            </m:r>
          </m:e>
          <m:sub>
            <m:r>
              <w:rPr>
                <w:rFonts w:ascii="Cambria Math" w:hAnsi="Cambria Math"/>
                <w:sz w:val="24"/>
                <w:szCs w:val="24"/>
              </w:rPr>
              <m:t>t</m:t>
            </m:r>
          </m:sub>
        </m:sSub>
      </m:oMath>
      <w:r w:rsidRPr="00086601">
        <w:rPr>
          <w:rFonts w:ascii="Garamond" w:eastAsiaTheme="minorEastAsia" w:hAnsi="Garamond"/>
          <w:sz w:val="24"/>
          <w:szCs w:val="24"/>
        </w:rPr>
        <w:t xml:space="preserve"> is the </w:t>
      </w:r>
      <w:r w:rsidR="00425F0C" w:rsidRPr="00086601">
        <w:rPr>
          <w:rFonts w:ascii="Garamond" w:eastAsiaTheme="minorEastAsia" w:hAnsi="Garamond"/>
          <w:sz w:val="24"/>
          <w:szCs w:val="24"/>
        </w:rPr>
        <w:t xml:space="preserve">measure for a country to pursue restraint or indulgence </w:t>
      </w:r>
      <w:r w:rsidRPr="00086601">
        <w:rPr>
          <w:rFonts w:ascii="Garamond" w:eastAsiaTheme="minorEastAsia" w:hAnsi="Garamond"/>
          <w:sz w:val="24"/>
          <w:szCs w:val="24"/>
        </w:rPr>
        <w:t xml:space="preserve">year </w:t>
      </w:r>
      <w:r w:rsidRPr="00086601">
        <w:rPr>
          <w:rFonts w:ascii="Garamond" w:eastAsiaTheme="minorEastAsia" w:hAnsi="Garamond"/>
          <w:i/>
          <w:iCs/>
          <w:sz w:val="24"/>
          <w:szCs w:val="24"/>
        </w:rPr>
        <w:t>t</w:t>
      </w:r>
      <w:r w:rsidRPr="00086601">
        <w:rPr>
          <w:rFonts w:ascii="Garamond" w:eastAsiaTheme="minorEastAsia" w:hAnsi="Garamond"/>
          <w:sz w:val="24"/>
          <w:szCs w:val="24"/>
        </w:rPr>
        <w:t xml:space="preserve"> for a given country.</w:t>
      </w:r>
    </w:p>
    <w:p w14:paraId="68A9537B" w14:textId="7C7C5E07" w:rsidR="00425F0C" w:rsidRPr="001F758F" w:rsidRDefault="00425F0C" w:rsidP="001F758F">
      <w:pPr>
        <w:pStyle w:val="Heading2"/>
        <w:spacing w:after="240"/>
        <w:jc w:val="both"/>
        <w:rPr>
          <w:rFonts w:ascii="Garamond" w:eastAsiaTheme="minorEastAsia" w:hAnsi="Garamond"/>
          <w:b/>
          <w:bCs/>
          <w:color w:val="000000" w:themeColor="text1"/>
          <w:sz w:val="28"/>
          <w:szCs w:val="28"/>
        </w:rPr>
      </w:pPr>
      <w:r w:rsidRPr="001F758F">
        <w:rPr>
          <w:rFonts w:ascii="Garamond" w:eastAsiaTheme="minorEastAsia" w:hAnsi="Garamond"/>
          <w:b/>
          <w:bCs/>
          <w:color w:val="000000" w:themeColor="text1"/>
          <w:sz w:val="28"/>
          <w:szCs w:val="28"/>
        </w:rPr>
        <w:t>Empirical results</w:t>
      </w:r>
    </w:p>
    <w:p w14:paraId="34B864E4" w14:textId="55621316" w:rsidR="00082FC2" w:rsidRPr="001F758F" w:rsidRDefault="006359D7" w:rsidP="006359D7">
      <w:pPr>
        <w:pStyle w:val="Heading3"/>
        <w:rPr>
          <w:rFonts w:ascii="Garamond" w:eastAsiaTheme="minorEastAsia" w:hAnsi="Garamond"/>
          <w:b/>
          <w:bCs/>
          <w:color w:val="000000" w:themeColor="text1"/>
        </w:rPr>
      </w:pPr>
      <w:r w:rsidRPr="001F758F">
        <w:rPr>
          <w:rFonts w:ascii="Garamond" w:eastAsiaTheme="minorEastAsia" w:hAnsi="Garamond"/>
          <w:b/>
          <w:bCs/>
          <w:color w:val="000000" w:themeColor="text1"/>
        </w:rPr>
        <w:t xml:space="preserve">Hypothesis 1: </w:t>
      </w:r>
      <w:r w:rsidR="00780F9C" w:rsidRPr="001F758F">
        <w:rPr>
          <w:rFonts w:ascii="Garamond" w:eastAsiaTheme="minorEastAsia" w:hAnsi="Garamond"/>
          <w:b/>
          <w:bCs/>
          <w:color w:val="000000" w:themeColor="text1"/>
        </w:rPr>
        <w:t>The effects of gross domestic product growth and crash risk</w:t>
      </w:r>
    </w:p>
    <w:p w14:paraId="5E503801" w14:textId="52A52EDE" w:rsidR="00765F47" w:rsidRPr="00086601" w:rsidRDefault="00082FC2" w:rsidP="00082FC2">
      <w:pPr>
        <w:spacing w:line="480" w:lineRule="auto"/>
        <w:ind w:firstLine="720"/>
        <w:jc w:val="both"/>
        <w:rPr>
          <w:rFonts w:ascii="Garamond" w:eastAsiaTheme="minorEastAsia" w:hAnsi="Garamond"/>
          <w:sz w:val="24"/>
          <w:szCs w:val="24"/>
        </w:rPr>
      </w:pPr>
      <w:bookmarkStart w:id="0" w:name="_Hlk38800109"/>
      <w:r w:rsidRPr="00086601">
        <w:rPr>
          <w:rFonts w:ascii="Garamond" w:eastAsiaTheme="minorEastAsia" w:hAnsi="Garamond"/>
          <w:sz w:val="24"/>
          <w:szCs w:val="24"/>
        </w:rPr>
        <w:t xml:space="preserve">The hypothesis was analyzed </w:t>
      </w:r>
      <w:r w:rsidR="00A921A6" w:rsidRPr="00086601">
        <w:rPr>
          <w:rFonts w:ascii="Garamond" w:eastAsiaTheme="minorEastAsia" w:hAnsi="Garamond"/>
          <w:sz w:val="24"/>
          <w:szCs w:val="24"/>
        </w:rPr>
        <w:t>at the aggregate level of every country’s crash risk and gross domestic product growth for years available in the period 2000 to 201</w:t>
      </w:r>
      <w:r w:rsidR="006359D7" w:rsidRPr="00086601">
        <w:rPr>
          <w:rFonts w:ascii="Garamond" w:eastAsiaTheme="minorEastAsia" w:hAnsi="Garamond"/>
          <w:sz w:val="24"/>
          <w:szCs w:val="24"/>
        </w:rPr>
        <w:t>8</w:t>
      </w:r>
      <w:r w:rsidR="00A921A6" w:rsidRPr="00086601">
        <w:rPr>
          <w:rFonts w:ascii="Garamond" w:eastAsiaTheme="minorEastAsia" w:hAnsi="Garamond"/>
          <w:sz w:val="24"/>
          <w:szCs w:val="24"/>
        </w:rPr>
        <w:t>.</w:t>
      </w:r>
      <w:r w:rsidR="006359D7" w:rsidRPr="00086601">
        <w:rPr>
          <w:rFonts w:ascii="Garamond" w:eastAsiaTheme="minorEastAsia" w:hAnsi="Garamond"/>
          <w:sz w:val="24"/>
          <w:szCs w:val="24"/>
        </w:rPr>
        <w:t xml:space="preserve"> The table below shows the sample of data distributed over the time period. Year 2019 was excluded due to the annual gross domestic product data not available from the source. The table also shows the number of observations in each year, the weight that the observations of each year have over the entire period, and average annual values for </w:t>
      </w:r>
      <w:proofErr w:type="spellStart"/>
      <w:r w:rsidR="006359D7" w:rsidRPr="00086601">
        <w:rPr>
          <w:rFonts w:ascii="Garamond" w:eastAsiaTheme="minorEastAsia" w:hAnsi="Garamond"/>
          <w:sz w:val="24"/>
          <w:szCs w:val="24"/>
        </w:rPr>
        <w:t>GDPGrowth</w:t>
      </w:r>
      <w:proofErr w:type="spellEnd"/>
      <w:r w:rsidR="006359D7" w:rsidRPr="00086601">
        <w:rPr>
          <w:rFonts w:ascii="Garamond" w:eastAsiaTheme="minorEastAsia" w:hAnsi="Garamond"/>
          <w:sz w:val="24"/>
          <w:szCs w:val="24"/>
        </w:rPr>
        <w:t>, DUVOL, and NCSKEW.</w:t>
      </w:r>
      <w:bookmarkEnd w:id="0"/>
    </w:p>
    <w:tbl>
      <w:tblPr>
        <w:tblW w:w="6261" w:type="dxa"/>
        <w:tblLook w:val="04A0" w:firstRow="1" w:lastRow="0" w:firstColumn="1" w:lastColumn="0" w:noHBand="0" w:noVBand="1"/>
      </w:tblPr>
      <w:tblGrid>
        <w:gridCol w:w="759"/>
        <w:gridCol w:w="1294"/>
        <w:gridCol w:w="992"/>
        <w:gridCol w:w="1487"/>
        <w:gridCol w:w="1089"/>
        <w:gridCol w:w="1252"/>
      </w:tblGrid>
      <w:tr w:rsidR="00765F47" w:rsidRPr="00086601" w14:paraId="5ACED838" w14:textId="77777777" w:rsidTr="00765F47">
        <w:trPr>
          <w:trHeight w:val="285"/>
        </w:trPr>
        <w:tc>
          <w:tcPr>
            <w:tcW w:w="6261" w:type="dxa"/>
            <w:gridSpan w:val="6"/>
            <w:tcBorders>
              <w:top w:val="nil"/>
              <w:left w:val="nil"/>
              <w:bottom w:val="single" w:sz="4" w:space="0" w:color="auto"/>
              <w:right w:val="nil"/>
            </w:tcBorders>
            <w:shd w:val="clear" w:color="auto" w:fill="auto"/>
            <w:noWrap/>
            <w:vAlign w:val="bottom"/>
            <w:hideMark/>
          </w:tcPr>
          <w:p w14:paraId="69BEE11C" w14:textId="77777777" w:rsidR="00765F47" w:rsidRPr="00086601" w:rsidRDefault="00765F47" w:rsidP="00765F47">
            <w:pPr>
              <w:spacing w:after="0" w:line="240" w:lineRule="auto"/>
              <w:jc w:val="center"/>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Hypothesis 1</w:t>
            </w:r>
          </w:p>
        </w:tc>
      </w:tr>
      <w:tr w:rsidR="00765F47" w:rsidRPr="00086601" w14:paraId="1EDCB70B" w14:textId="77777777" w:rsidTr="00765F47">
        <w:trPr>
          <w:trHeight w:val="285"/>
        </w:trPr>
        <w:tc>
          <w:tcPr>
            <w:tcW w:w="643" w:type="dxa"/>
            <w:tcBorders>
              <w:top w:val="nil"/>
              <w:left w:val="nil"/>
              <w:bottom w:val="single" w:sz="4" w:space="0" w:color="auto"/>
              <w:right w:val="nil"/>
            </w:tcBorders>
            <w:shd w:val="clear" w:color="000000" w:fill="FFFFFF"/>
            <w:noWrap/>
            <w:vAlign w:val="bottom"/>
            <w:hideMark/>
          </w:tcPr>
          <w:p w14:paraId="4C49CF82" w14:textId="77777777" w:rsidR="00765F47" w:rsidRPr="00086601" w:rsidRDefault="00765F47" w:rsidP="00765F47">
            <w:pPr>
              <w:spacing w:after="0" w:line="240" w:lineRule="auto"/>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Year</w:t>
            </w:r>
          </w:p>
        </w:tc>
        <w:tc>
          <w:tcPr>
            <w:tcW w:w="1270" w:type="dxa"/>
            <w:tcBorders>
              <w:top w:val="nil"/>
              <w:left w:val="nil"/>
              <w:bottom w:val="single" w:sz="4" w:space="0" w:color="auto"/>
              <w:right w:val="nil"/>
            </w:tcBorders>
            <w:shd w:val="clear" w:color="000000" w:fill="FFFFFF"/>
            <w:noWrap/>
            <w:vAlign w:val="bottom"/>
            <w:hideMark/>
          </w:tcPr>
          <w:p w14:paraId="46AA8F09"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Frequency</w:t>
            </w:r>
          </w:p>
        </w:tc>
        <w:tc>
          <w:tcPr>
            <w:tcW w:w="949" w:type="dxa"/>
            <w:tcBorders>
              <w:top w:val="nil"/>
              <w:left w:val="nil"/>
              <w:bottom w:val="single" w:sz="4" w:space="0" w:color="auto"/>
              <w:right w:val="nil"/>
            </w:tcBorders>
            <w:shd w:val="clear" w:color="000000" w:fill="FFFFFF"/>
            <w:noWrap/>
            <w:vAlign w:val="bottom"/>
            <w:hideMark/>
          </w:tcPr>
          <w:p w14:paraId="183E19D3"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Percent</w:t>
            </w:r>
          </w:p>
        </w:tc>
        <w:tc>
          <w:tcPr>
            <w:tcW w:w="1449" w:type="dxa"/>
            <w:tcBorders>
              <w:top w:val="nil"/>
              <w:left w:val="nil"/>
              <w:bottom w:val="single" w:sz="4" w:space="0" w:color="auto"/>
              <w:right w:val="nil"/>
            </w:tcBorders>
            <w:shd w:val="clear" w:color="000000" w:fill="FFFFFF"/>
            <w:noWrap/>
            <w:vAlign w:val="bottom"/>
            <w:hideMark/>
          </w:tcPr>
          <w:p w14:paraId="2171670E"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proofErr w:type="spellStart"/>
            <w:r w:rsidRPr="00086601">
              <w:rPr>
                <w:rFonts w:ascii="Garamond" w:eastAsia="Times New Roman" w:hAnsi="Garamond" w:cs="Calibri"/>
                <w:b/>
                <w:bCs/>
                <w:color w:val="000000"/>
                <w:sz w:val="24"/>
                <w:szCs w:val="24"/>
              </w:rPr>
              <w:t>GDPGrowth</w:t>
            </w:r>
            <w:proofErr w:type="spellEnd"/>
          </w:p>
        </w:tc>
        <w:tc>
          <w:tcPr>
            <w:tcW w:w="886" w:type="dxa"/>
            <w:tcBorders>
              <w:top w:val="nil"/>
              <w:left w:val="nil"/>
              <w:bottom w:val="single" w:sz="4" w:space="0" w:color="auto"/>
              <w:right w:val="nil"/>
            </w:tcBorders>
            <w:shd w:val="clear" w:color="000000" w:fill="FFFFFF"/>
            <w:noWrap/>
            <w:vAlign w:val="bottom"/>
            <w:hideMark/>
          </w:tcPr>
          <w:p w14:paraId="168B4ECB"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DUVOL</w:t>
            </w:r>
          </w:p>
        </w:tc>
        <w:tc>
          <w:tcPr>
            <w:tcW w:w="1064" w:type="dxa"/>
            <w:tcBorders>
              <w:top w:val="nil"/>
              <w:left w:val="nil"/>
              <w:bottom w:val="single" w:sz="4" w:space="0" w:color="auto"/>
              <w:right w:val="nil"/>
            </w:tcBorders>
            <w:shd w:val="clear" w:color="000000" w:fill="FFFFFF"/>
            <w:noWrap/>
            <w:vAlign w:val="bottom"/>
            <w:hideMark/>
          </w:tcPr>
          <w:p w14:paraId="795A78E4"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NCSKEW</w:t>
            </w:r>
          </w:p>
        </w:tc>
      </w:tr>
      <w:tr w:rsidR="00765F47" w:rsidRPr="00086601" w14:paraId="5F8451AB" w14:textId="77777777" w:rsidTr="00765F47">
        <w:trPr>
          <w:trHeight w:val="285"/>
        </w:trPr>
        <w:tc>
          <w:tcPr>
            <w:tcW w:w="643" w:type="dxa"/>
            <w:tcBorders>
              <w:top w:val="nil"/>
              <w:left w:val="nil"/>
              <w:bottom w:val="nil"/>
              <w:right w:val="nil"/>
            </w:tcBorders>
            <w:shd w:val="clear" w:color="000000" w:fill="FFFFFF"/>
            <w:noWrap/>
            <w:vAlign w:val="bottom"/>
            <w:hideMark/>
          </w:tcPr>
          <w:p w14:paraId="1466F059"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2000</w:t>
            </w:r>
          </w:p>
        </w:tc>
        <w:tc>
          <w:tcPr>
            <w:tcW w:w="1270" w:type="dxa"/>
            <w:tcBorders>
              <w:top w:val="nil"/>
              <w:left w:val="nil"/>
              <w:bottom w:val="nil"/>
              <w:right w:val="nil"/>
            </w:tcBorders>
            <w:shd w:val="clear" w:color="000000" w:fill="FFFFFF"/>
            <w:noWrap/>
            <w:vAlign w:val="bottom"/>
            <w:hideMark/>
          </w:tcPr>
          <w:p w14:paraId="4C1F478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43</w:t>
            </w:r>
          </w:p>
        </w:tc>
        <w:tc>
          <w:tcPr>
            <w:tcW w:w="949" w:type="dxa"/>
            <w:tcBorders>
              <w:top w:val="nil"/>
              <w:left w:val="nil"/>
              <w:bottom w:val="nil"/>
              <w:right w:val="nil"/>
            </w:tcBorders>
            <w:shd w:val="clear" w:color="000000" w:fill="FFFFFF"/>
            <w:noWrap/>
            <w:vAlign w:val="bottom"/>
            <w:hideMark/>
          </w:tcPr>
          <w:p w14:paraId="6707943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4.09</w:t>
            </w:r>
          </w:p>
        </w:tc>
        <w:tc>
          <w:tcPr>
            <w:tcW w:w="1449" w:type="dxa"/>
            <w:tcBorders>
              <w:top w:val="nil"/>
              <w:left w:val="nil"/>
              <w:bottom w:val="nil"/>
              <w:right w:val="nil"/>
            </w:tcBorders>
            <w:shd w:val="clear" w:color="000000" w:fill="FFFFFF"/>
            <w:noWrap/>
            <w:vAlign w:val="bottom"/>
            <w:hideMark/>
          </w:tcPr>
          <w:p w14:paraId="28CD756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5.05</w:t>
            </w:r>
          </w:p>
        </w:tc>
        <w:tc>
          <w:tcPr>
            <w:tcW w:w="886" w:type="dxa"/>
            <w:tcBorders>
              <w:top w:val="nil"/>
              <w:left w:val="nil"/>
              <w:bottom w:val="nil"/>
              <w:right w:val="nil"/>
            </w:tcBorders>
            <w:shd w:val="clear" w:color="000000" w:fill="FFFFFF"/>
            <w:noWrap/>
            <w:vAlign w:val="bottom"/>
            <w:hideMark/>
          </w:tcPr>
          <w:p w14:paraId="6D1D69B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-0.05</w:t>
            </w:r>
          </w:p>
        </w:tc>
        <w:tc>
          <w:tcPr>
            <w:tcW w:w="1064" w:type="dxa"/>
            <w:tcBorders>
              <w:top w:val="nil"/>
              <w:left w:val="nil"/>
              <w:bottom w:val="nil"/>
              <w:right w:val="nil"/>
            </w:tcBorders>
            <w:shd w:val="clear" w:color="000000" w:fill="FFFFFF"/>
            <w:noWrap/>
            <w:vAlign w:val="bottom"/>
            <w:hideMark/>
          </w:tcPr>
          <w:p w14:paraId="1C6EBE3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-0.12</w:t>
            </w:r>
          </w:p>
        </w:tc>
      </w:tr>
      <w:tr w:rsidR="00765F47" w:rsidRPr="00086601" w14:paraId="6CFABF4A" w14:textId="77777777" w:rsidTr="00765F47">
        <w:trPr>
          <w:trHeight w:val="285"/>
        </w:trPr>
        <w:tc>
          <w:tcPr>
            <w:tcW w:w="643" w:type="dxa"/>
            <w:tcBorders>
              <w:top w:val="nil"/>
              <w:left w:val="nil"/>
              <w:bottom w:val="nil"/>
              <w:right w:val="nil"/>
            </w:tcBorders>
            <w:shd w:val="clear" w:color="000000" w:fill="FFFFFF"/>
            <w:noWrap/>
            <w:vAlign w:val="bottom"/>
            <w:hideMark/>
          </w:tcPr>
          <w:p w14:paraId="723DF977"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2001</w:t>
            </w:r>
          </w:p>
        </w:tc>
        <w:tc>
          <w:tcPr>
            <w:tcW w:w="1270" w:type="dxa"/>
            <w:tcBorders>
              <w:top w:val="nil"/>
              <w:left w:val="nil"/>
              <w:bottom w:val="nil"/>
              <w:right w:val="nil"/>
            </w:tcBorders>
            <w:shd w:val="clear" w:color="000000" w:fill="FFFFFF"/>
            <w:noWrap/>
            <w:vAlign w:val="bottom"/>
            <w:hideMark/>
          </w:tcPr>
          <w:p w14:paraId="4E983D1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43</w:t>
            </w:r>
          </w:p>
        </w:tc>
        <w:tc>
          <w:tcPr>
            <w:tcW w:w="949" w:type="dxa"/>
            <w:tcBorders>
              <w:top w:val="nil"/>
              <w:left w:val="nil"/>
              <w:bottom w:val="nil"/>
              <w:right w:val="nil"/>
            </w:tcBorders>
            <w:shd w:val="clear" w:color="000000" w:fill="FFFFFF"/>
            <w:noWrap/>
            <w:vAlign w:val="bottom"/>
            <w:hideMark/>
          </w:tcPr>
          <w:p w14:paraId="416CAD1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4.09</w:t>
            </w:r>
          </w:p>
        </w:tc>
        <w:tc>
          <w:tcPr>
            <w:tcW w:w="1449" w:type="dxa"/>
            <w:tcBorders>
              <w:top w:val="nil"/>
              <w:left w:val="nil"/>
              <w:bottom w:val="nil"/>
              <w:right w:val="nil"/>
            </w:tcBorders>
            <w:shd w:val="clear" w:color="000000" w:fill="FFFFFF"/>
            <w:noWrap/>
            <w:vAlign w:val="bottom"/>
            <w:hideMark/>
          </w:tcPr>
          <w:p w14:paraId="0139305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2.16</w:t>
            </w:r>
          </w:p>
        </w:tc>
        <w:tc>
          <w:tcPr>
            <w:tcW w:w="886" w:type="dxa"/>
            <w:tcBorders>
              <w:top w:val="nil"/>
              <w:left w:val="nil"/>
              <w:bottom w:val="nil"/>
              <w:right w:val="nil"/>
            </w:tcBorders>
            <w:shd w:val="clear" w:color="000000" w:fill="FFFFFF"/>
            <w:noWrap/>
            <w:vAlign w:val="bottom"/>
            <w:hideMark/>
          </w:tcPr>
          <w:p w14:paraId="0A010D9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0.17</w:t>
            </w:r>
          </w:p>
        </w:tc>
        <w:tc>
          <w:tcPr>
            <w:tcW w:w="1064" w:type="dxa"/>
            <w:tcBorders>
              <w:top w:val="nil"/>
              <w:left w:val="nil"/>
              <w:bottom w:val="nil"/>
              <w:right w:val="nil"/>
            </w:tcBorders>
            <w:shd w:val="clear" w:color="000000" w:fill="FFFFFF"/>
            <w:noWrap/>
            <w:vAlign w:val="bottom"/>
            <w:hideMark/>
          </w:tcPr>
          <w:p w14:paraId="65724CD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0.90</w:t>
            </w:r>
          </w:p>
        </w:tc>
      </w:tr>
      <w:tr w:rsidR="00765F47" w:rsidRPr="00086601" w14:paraId="2DABC9ED" w14:textId="77777777" w:rsidTr="00765F47">
        <w:trPr>
          <w:trHeight w:val="285"/>
        </w:trPr>
        <w:tc>
          <w:tcPr>
            <w:tcW w:w="643" w:type="dxa"/>
            <w:tcBorders>
              <w:top w:val="nil"/>
              <w:left w:val="nil"/>
              <w:bottom w:val="nil"/>
              <w:right w:val="nil"/>
            </w:tcBorders>
            <w:shd w:val="clear" w:color="000000" w:fill="FFFFFF"/>
            <w:noWrap/>
            <w:vAlign w:val="bottom"/>
            <w:hideMark/>
          </w:tcPr>
          <w:p w14:paraId="6A8960AF"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2002</w:t>
            </w:r>
          </w:p>
        </w:tc>
        <w:tc>
          <w:tcPr>
            <w:tcW w:w="1270" w:type="dxa"/>
            <w:tcBorders>
              <w:top w:val="nil"/>
              <w:left w:val="nil"/>
              <w:bottom w:val="nil"/>
              <w:right w:val="nil"/>
            </w:tcBorders>
            <w:shd w:val="clear" w:color="000000" w:fill="FFFFFF"/>
            <w:noWrap/>
            <w:vAlign w:val="bottom"/>
            <w:hideMark/>
          </w:tcPr>
          <w:p w14:paraId="334EFB8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43</w:t>
            </w:r>
          </w:p>
        </w:tc>
        <w:tc>
          <w:tcPr>
            <w:tcW w:w="949" w:type="dxa"/>
            <w:tcBorders>
              <w:top w:val="nil"/>
              <w:left w:val="nil"/>
              <w:bottom w:val="nil"/>
              <w:right w:val="nil"/>
            </w:tcBorders>
            <w:shd w:val="clear" w:color="000000" w:fill="FFFFFF"/>
            <w:noWrap/>
            <w:vAlign w:val="bottom"/>
            <w:hideMark/>
          </w:tcPr>
          <w:p w14:paraId="78136D3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4.09</w:t>
            </w:r>
          </w:p>
        </w:tc>
        <w:tc>
          <w:tcPr>
            <w:tcW w:w="1449" w:type="dxa"/>
            <w:tcBorders>
              <w:top w:val="nil"/>
              <w:left w:val="nil"/>
              <w:bottom w:val="nil"/>
              <w:right w:val="nil"/>
            </w:tcBorders>
            <w:shd w:val="clear" w:color="000000" w:fill="FFFFFF"/>
            <w:noWrap/>
            <w:vAlign w:val="bottom"/>
            <w:hideMark/>
          </w:tcPr>
          <w:p w14:paraId="1C51994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3.04</w:t>
            </w:r>
          </w:p>
        </w:tc>
        <w:tc>
          <w:tcPr>
            <w:tcW w:w="886" w:type="dxa"/>
            <w:tcBorders>
              <w:top w:val="nil"/>
              <w:left w:val="nil"/>
              <w:bottom w:val="nil"/>
              <w:right w:val="nil"/>
            </w:tcBorders>
            <w:shd w:val="clear" w:color="000000" w:fill="FFFFFF"/>
            <w:noWrap/>
            <w:vAlign w:val="bottom"/>
            <w:hideMark/>
          </w:tcPr>
          <w:p w14:paraId="0172A2A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0.05</w:t>
            </w:r>
          </w:p>
        </w:tc>
        <w:tc>
          <w:tcPr>
            <w:tcW w:w="1064" w:type="dxa"/>
            <w:tcBorders>
              <w:top w:val="nil"/>
              <w:left w:val="nil"/>
              <w:bottom w:val="nil"/>
              <w:right w:val="nil"/>
            </w:tcBorders>
            <w:shd w:val="clear" w:color="000000" w:fill="FFFFFF"/>
            <w:noWrap/>
            <w:vAlign w:val="bottom"/>
            <w:hideMark/>
          </w:tcPr>
          <w:p w14:paraId="25D669F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0.10</w:t>
            </w:r>
          </w:p>
        </w:tc>
      </w:tr>
      <w:tr w:rsidR="00765F47" w:rsidRPr="00086601" w14:paraId="1664AB0F" w14:textId="77777777" w:rsidTr="00765F47">
        <w:trPr>
          <w:trHeight w:val="285"/>
        </w:trPr>
        <w:tc>
          <w:tcPr>
            <w:tcW w:w="643" w:type="dxa"/>
            <w:tcBorders>
              <w:top w:val="nil"/>
              <w:left w:val="nil"/>
              <w:bottom w:val="nil"/>
              <w:right w:val="nil"/>
            </w:tcBorders>
            <w:shd w:val="clear" w:color="000000" w:fill="FFFFFF"/>
            <w:noWrap/>
            <w:vAlign w:val="bottom"/>
            <w:hideMark/>
          </w:tcPr>
          <w:p w14:paraId="326E59FC"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2003</w:t>
            </w:r>
          </w:p>
        </w:tc>
        <w:tc>
          <w:tcPr>
            <w:tcW w:w="1270" w:type="dxa"/>
            <w:tcBorders>
              <w:top w:val="nil"/>
              <w:left w:val="nil"/>
              <w:bottom w:val="nil"/>
              <w:right w:val="nil"/>
            </w:tcBorders>
            <w:shd w:val="clear" w:color="000000" w:fill="FFFFFF"/>
            <w:noWrap/>
            <w:vAlign w:val="bottom"/>
            <w:hideMark/>
          </w:tcPr>
          <w:p w14:paraId="4E7EE25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43</w:t>
            </w:r>
          </w:p>
        </w:tc>
        <w:tc>
          <w:tcPr>
            <w:tcW w:w="949" w:type="dxa"/>
            <w:tcBorders>
              <w:top w:val="nil"/>
              <w:left w:val="nil"/>
              <w:bottom w:val="nil"/>
              <w:right w:val="nil"/>
            </w:tcBorders>
            <w:shd w:val="clear" w:color="000000" w:fill="FFFFFF"/>
            <w:noWrap/>
            <w:vAlign w:val="bottom"/>
            <w:hideMark/>
          </w:tcPr>
          <w:p w14:paraId="74BCFD6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4.09</w:t>
            </w:r>
          </w:p>
        </w:tc>
        <w:tc>
          <w:tcPr>
            <w:tcW w:w="1449" w:type="dxa"/>
            <w:tcBorders>
              <w:top w:val="nil"/>
              <w:left w:val="nil"/>
              <w:bottom w:val="nil"/>
              <w:right w:val="nil"/>
            </w:tcBorders>
            <w:shd w:val="clear" w:color="000000" w:fill="FFFFFF"/>
            <w:noWrap/>
            <w:vAlign w:val="bottom"/>
            <w:hideMark/>
          </w:tcPr>
          <w:p w14:paraId="11513A0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3.28</w:t>
            </w:r>
          </w:p>
        </w:tc>
        <w:tc>
          <w:tcPr>
            <w:tcW w:w="886" w:type="dxa"/>
            <w:tcBorders>
              <w:top w:val="nil"/>
              <w:left w:val="nil"/>
              <w:bottom w:val="nil"/>
              <w:right w:val="nil"/>
            </w:tcBorders>
            <w:shd w:val="clear" w:color="000000" w:fill="FFFFFF"/>
            <w:noWrap/>
            <w:vAlign w:val="bottom"/>
            <w:hideMark/>
          </w:tcPr>
          <w:p w14:paraId="742BAC4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0.01</w:t>
            </w:r>
          </w:p>
        </w:tc>
        <w:tc>
          <w:tcPr>
            <w:tcW w:w="1064" w:type="dxa"/>
            <w:tcBorders>
              <w:top w:val="nil"/>
              <w:left w:val="nil"/>
              <w:bottom w:val="nil"/>
              <w:right w:val="nil"/>
            </w:tcBorders>
            <w:shd w:val="clear" w:color="000000" w:fill="FFFFFF"/>
            <w:noWrap/>
            <w:vAlign w:val="bottom"/>
            <w:hideMark/>
          </w:tcPr>
          <w:p w14:paraId="4A7C1CA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-0.06</w:t>
            </w:r>
          </w:p>
        </w:tc>
      </w:tr>
      <w:tr w:rsidR="00765F47" w:rsidRPr="00086601" w14:paraId="1098631A" w14:textId="77777777" w:rsidTr="00765F47">
        <w:trPr>
          <w:trHeight w:val="285"/>
        </w:trPr>
        <w:tc>
          <w:tcPr>
            <w:tcW w:w="643" w:type="dxa"/>
            <w:tcBorders>
              <w:top w:val="nil"/>
              <w:left w:val="nil"/>
              <w:bottom w:val="nil"/>
              <w:right w:val="nil"/>
            </w:tcBorders>
            <w:shd w:val="clear" w:color="000000" w:fill="FFFFFF"/>
            <w:noWrap/>
            <w:vAlign w:val="bottom"/>
            <w:hideMark/>
          </w:tcPr>
          <w:p w14:paraId="2F03173F"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2004</w:t>
            </w:r>
          </w:p>
        </w:tc>
        <w:tc>
          <w:tcPr>
            <w:tcW w:w="1270" w:type="dxa"/>
            <w:tcBorders>
              <w:top w:val="nil"/>
              <w:left w:val="nil"/>
              <w:bottom w:val="nil"/>
              <w:right w:val="nil"/>
            </w:tcBorders>
            <w:shd w:val="clear" w:color="000000" w:fill="FFFFFF"/>
            <w:noWrap/>
            <w:vAlign w:val="bottom"/>
            <w:hideMark/>
          </w:tcPr>
          <w:p w14:paraId="249F999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43</w:t>
            </w:r>
          </w:p>
        </w:tc>
        <w:tc>
          <w:tcPr>
            <w:tcW w:w="949" w:type="dxa"/>
            <w:tcBorders>
              <w:top w:val="nil"/>
              <w:left w:val="nil"/>
              <w:bottom w:val="nil"/>
              <w:right w:val="nil"/>
            </w:tcBorders>
            <w:shd w:val="clear" w:color="000000" w:fill="FFFFFF"/>
            <w:noWrap/>
            <w:vAlign w:val="bottom"/>
            <w:hideMark/>
          </w:tcPr>
          <w:p w14:paraId="19D3F73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4.09</w:t>
            </w:r>
          </w:p>
        </w:tc>
        <w:tc>
          <w:tcPr>
            <w:tcW w:w="1449" w:type="dxa"/>
            <w:tcBorders>
              <w:top w:val="nil"/>
              <w:left w:val="nil"/>
              <w:bottom w:val="nil"/>
              <w:right w:val="nil"/>
            </w:tcBorders>
            <w:shd w:val="clear" w:color="000000" w:fill="FFFFFF"/>
            <w:noWrap/>
            <w:vAlign w:val="bottom"/>
            <w:hideMark/>
          </w:tcPr>
          <w:p w14:paraId="73BEFB9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4.99</w:t>
            </w:r>
          </w:p>
        </w:tc>
        <w:tc>
          <w:tcPr>
            <w:tcW w:w="886" w:type="dxa"/>
            <w:tcBorders>
              <w:top w:val="nil"/>
              <w:left w:val="nil"/>
              <w:bottom w:val="nil"/>
              <w:right w:val="nil"/>
            </w:tcBorders>
            <w:shd w:val="clear" w:color="000000" w:fill="FFFFFF"/>
            <w:noWrap/>
            <w:vAlign w:val="bottom"/>
            <w:hideMark/>
          </w:tcPr>
          <w:p w14:paraId="00C8076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-0.03</w:t>
            </w:r>
          </w:p>
        </w:tc>
        <w:tc>
          <w:tcPr>
            <w:tcW w:w="1064" w:type="dxa"/>
            <w:tcBorders>
              <w:top w:val="nil"/>
              <w:left w:val="nil"/>
              <w:bottom w:val="nil"/>
              <w:right w:val="nil"/>
            </w:tcBorders>
            <w:shd w:val="clear" w:color="000000" w:fill="FFFFFF"/>
            <w:noWrap/>
            <w:vAlign w:val="bottom"/>
            <w:hideMark/>
          </w:tcPr>
          <w:p w14:paraId="14D027E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-0.18</w:t>
            </w:r>
          </w:p>
        </w:tc>
      </w:tr>
      <w:tr w:rsidR="00765F47" w:rsidRPr="00086601" w14:paraId="686A26F3" w14:textId="77777777" w:rsidTr="00765F47">
        <w:trPr>
          <w:trHeight w:val="285"/>
        </w:trPr>
        <w:tc>
          <w:tcPr>
            <w:tcW w:w="643" w:type="dxa"/>
            <w:tcBorders>
              <w:top w:val="nil"/>
              <w:left w:val="nil"/>
              <w:bottom w:val="nil"/>
              <w:right w:val="nil"/>
            </w:tcBorders>
            <w:shd w:val="clear" w:color="000000" w:fill="FFFFFF"/>
            <w:noWrap/>
            <w:vAlign w:val="bottom"/>
            <w:hideMark/>
          </w:tcPr>
          <w:p w14:paraId="411E9DAC"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2005</w:t>
            </w:r>
          </w:p>
        </w:tc>
        <w:tc>
          <w:tcPr>
            <w:tcW w:w="1270" w:type="dxa"/>
            <w:tcBorders>
              <w:top w:val="nil"/>
              <w:left w:val="nil"/>
              <w:bottom w:val="nil"/>
              <w:right w:val="nil"/>
            </w:tcBorders>
            <w:shd w:val="clear" w:color="000000" w:fill="FFFFFF"/>
            <w:noWrap/>
            <w:vAlign w:val="bottom"/>
            <w:hideMark/>
          </w:tcPr>
          <w:p w14:paraId="4E939AA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44</w:t>
            </w:r>
          </w:p>
        </w:tc>
        <w:tc>
          <w:tcPr>
            <w:tcW w:w="949" w:type="dxa"/>
            <w:tcBorders>
              <w:top w:val="nil"/>
              <w:left w:val="nil"/>
              <w:bottom w:val="nil"/>
              <w:right w:val="nil"/>
            </w:tcBorders>
            <w:shd w:val="clear" w:color="000000" w:fill="FFFFFF"/>
            <w:noWrap/>
            <w:vAlign w:val="bottom"/>
            <w:hideMark/>
          </w:tcPr>
          <w:p w14:paraId="0FA1B01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4.19</w:t>
            </w:r>
          </w:p>
        </w:tc>
        <w:tc>
          <w:tcPr>
            <w:tcW w:w="1449" w:type="dxa"/>
            <w:tcBorders>
              <w:top w:val="nil"/>
              <w:left w:val="nil"/>
              <w:bottom w:val="nil"/>
              <w:right w:val="nil"/>
            </w:tcBorders>
            <w:shd w:val="clear" w:color="000000" w:fill="FFFFFF"/>
            <w:noWrap/>
            <w:vAlign w:val="bottom"/>
            <w:hideMark/>
          </w:tcPr>
          <w:p w14:paraId="48EC787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4.32</w:t>
            </w:r>
          </w:p>
        </w:tc>
        <w:tc>
          <w:tcPr>
            <w:tcW w:w="886" w:type="dxa"/>
            <w:tcBorders>
              <w:top w:val="nil"/>
              <w:left w:val="nil"/>
              <w:bottom w:val="nil"/>
              <w:right w:val="nil"/>
            </w:tcBorders>
            <w:shd w:val="clear" w:color="000000" w:fill="FFFFFF"/>
            <w:noWrap/>
            <w:vAlign w:val="bottom"/>
            <w:hideMark/>
          </w:tcPr>
          <w:p w14:paraId="32D6EDA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-0.01</w:t>
            </w:r>
          </w:p>
        </w:tc>
        <w:tc>
          <w:tcPr>
            <w:tcW w:w="1064" w:type="dxa"/>
            <w:tcBorders>
              <w:top w:val="nil"/>
              <w:left w:val="nil"/>
              <w:bottom w:val="nil"/>
              <w:right w:val="nil"/>
            </w:tcBorders>
            <w:shd w:val="clear" w:color="000000" w:fill="FFFFFF"/>
            <w:noWrap/>
            <w:vAlign w:val="bottom"/>
            <w:hideMark/>
          </w:tcPr>
          <w:p w14:paraId="7A674FB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-0.09</w:t>
            </w:r>
          </w:p>
        </w:tc>
      </w:tr>
      <w:tr w:rsidR="00765F47" w:rsidRPr="00086601" w14:paraId="384D49BD" w14:textId="77777777" w:rsidTr="00765F47">
        <w:trPr>
          <w:trHeight w:val="285"/>
        </w:trPr>
        <w:tc>
          <w:tcPr>
            <w:tcW w:w="643" w:type="dxa"/>
            <w:tcBorders>
              <w:top w:val="nil"/>
              <w:left w:val="nil"/>
              <w:bottom w:val="nil"/>
              <w:right w:val="nil"/>
            </w:tcBorders>
            <w:shd w:val="clear" w:color="000000" w:fill="FFFFFF"/>
            <w:noWrap/>
            <w:vAlign w:val="bottom"/>
            <w:hideMark/>
          </w:tcPr>
          <w:p w14:paraId="4B6521B3"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2006</w:t>
            </w:r>
          </w:p>
        </w:tc>
        <w:tc>
          <w:tcPr>
            <w:tcW w:w="1270" w:type="dxa"/>
            <w:tcBorders>
              <w:top w:val="nil"/>
              <w:left w:val="nil"/>
              <w:bottom w:val="nil"/>
              <w:right w:val="nil"/>
            </w:tcBorders>
            <w:shd w:val="clear" w:color="000000" w:fill="FFFFFF"/>
            <w:noWrap/>
            <w:vAlign w:val="bottom"/>
            <w:hideMark/>
          </w:tcPr>
          <w:p w14:paraId="01CABFA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49</w:t>
            </w:r>
          </w:p>
        </w:tc>
        <w:tc>
          <w:tcPr>
            <w:tcW w:w="949" w:type="dxa"/>
            <w:tcBorders>
              <w:top w:val="nil"/>
              <w:left w:val="nil"/>
              <w:bottom w:val="nil"/>
              <w:right w:val="nil"/>
            </w:tcBorders>
            <w:shd w:val="clear" w:color="000000" w:fill="FFFFFF"/>
            <w:noWrap/>
            <w:vAlign w:val="bottom"/>
            <w:hideMark/>
          </w:tcPr>
          <w:p w14:paraId="5A27F5A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4.66</w:t>
            </w:r>
          </w:p>
        </w:tc>
        <w:tc>
          <w:tcPr>
            <w:tcW w:w="1449" w:type="dxa"/>
            <w:tcBorders>
              <w:top w:val="nil"/>
              <w:left w:val="nil"/>
              <w:bottom w:val="nil"/>
              <w:right w:val="nil"/>
            </w:tcBorders>
            <w:shd w:val="clear" w:color="000000" w:fill="FFFFFF"/>
            <w:noWrap/>
            <w:vAlign w:val="bottom"/>
            <w:hideMark/>
          </w:tcPr>
          <w:p w14:paraId="4A09305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5.70</w:t>
            </w:r>
          </w:p>
        </w:tc>
        <w:tc>
          <w:tcPr>
            <w:tcW w:w="886" w:type="dxa"/>
            <w:tcBorders>
              <w:top w:val="nil"/>
              <w:left w:val="nil"/>
              <w:bottom w:val="nil"/>
              <w:right w:val="nil"/>
            </w:tcBorders>
            <w:shd w:val="clear" w:color="000000" w:fill="FFFFFF"/>
            <w:noWrap/>
            <w:vAlign w:val="bottom"/>
            <w:hideMark/>
          </w:tcPr>
          <w:p w14:paraId="5D913EF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-0.08</w:t>
            </w:r>
          </w:p>
        </w:tc>
        <w:tc>
          <w:tcPr>
            <w:tcW w:w="1064" w:type="dxa"/>
            <w:tcBorders>
              <w:top w:val="nil"/>
              <w:left w:val="nil"/>
              <w:bottom w:val="nil"/>
              <w:right w:val="nil"/>
            </w:tcBorders>
            <w:shd w:val="clear" w:color="000000" w:fill="FFFFFF"/>
            <w:noWrap/>
            <w:vAlign w:val="bottom"/>
            <w:hideMark/>
          </w:tcPr>
          <w:p w14:paraId="2828979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-0.36</w:t>
            </w:r>
          </w:p>
        </w:tc>
      </w:tr>
      <w:tr w:rsidR="00765F47" w:rsidRPr="00086601" w14:paraId="5F86A5DA" w14:textId="77777777" w:rsidTr="00765F47">
        <w:trPr>
          <w:trHeight w:val="285"/>
        </w:trPr>
        <w:tc>
          <w:tcPr>
            <w:tcW w:w="643" w:type="dxa"/>
            <w:tcBorders>
              <w:top w:val="nil"/>
              <w:left w:val="nil"/>
              <w:bottom w:val="nil"/>
              <w:right w:val="nil"/>
            </w:tcBorders>
            <w:shd w:val="clear" w:color="000000" w:fill="FFFFFF"/>
            <w:noWrap/>
            <w:vAlign w:val="bottom"/>
            <w:hideMark/>
          </w:tcPr>
          <w:p w14:paraId="08129A20"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2007</w:t>
            </w:r>
          </w:p>
        </w:tc>
        <w:tc>
          <w:tcPr>
            <w:tcW w:w="1270" w:type="dxa"/>
            <w:tcBorders>
              <w:top w:val="nil"/>
              <w:left w:val="nil"/>
              <w:bottom w:val="nil"/>
              <w:right w:val="nil"/>
            </w:tcBorders>
            <w:shd w:val="clear" w:color="000000" w:fill="FFFFFF"/>
            <w:noWrap/>
            <w:vAlign w:val="bottom"/>
            <w:hideMark/>
          </w:tcPr>
          <w:p w14:paraId="4CAF758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49</w:t>
            </w:r>
          </w:p>
        </w:tc>
        <w:tc>
          <w:tcPr>
            <w:tcW w:w="949" w:type="dxa"/>
            <w:tcBorders>
              <w:top w:val="nil"/>
              <w:left w:val="nil"/>
              <w:bottom w:val="nil"/>
              <w:right w:val="nil"/>
            </w:tcBorders>
            <w:shd w:val="clear" w:color="000000" w:fill="FFFFFF"/>
            <w:noWrap/>
            <w:vAlign w:val="bottom"/>
            <w:hideMark/>
          </w:tcPr>
          <w:p w14:paraId="023C5C7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4.66</w:t>
            </w:r>
          </w:p>
        </w:tc>
        <w:tc>
          <w:tcPr>
            <w:tcW w:w="1449" w:type="dxa"/>
            <w:tcBorders>
              <w:top w:val="nil"/>
              <w:left w:val="nil"/>
              <w:bottom w:val="nil"/>
              <w:right w:val="nil"/>
            </w:tcBorders>
            <w:shd w:val="clear" w:color="000000" w:fill="FFFFFF"/>
            <w:noWrap/>
            <w:vAlign w:val="bottom"/>
            <w:hideMark/>
          </w:tcPr>
          <w:p w14:paraId="60B4F3D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5.36</w:t>
            </w:r>
          </w:p>
        </w:tc>
        <w:tc>
          <w:tcPr>
            <w:tcW w:w="886" w:type="dxa"/>
            <w:tcBorders>
              <w:top w:val="nil"/>
              <w:left w:val="nil"/>
              <w:bottom w:val="nil"/>
              <w:right w:val="nil"/>
            </w:tcBorders>
            <w:shd w:val="clear" w:color="000000" w:fill="FFFFFF"/>
            <w:noWrap/>
            <w:vAlign w:val="bottom"/>
            <w:hideMark/>
          </w:tcPr>
          <w:p w14:paraId="18FB3D1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0.01</w:t>
            </w:r>
          </w:p>
        </w:tc>
        <w:tc>
          <w:tcPr>
            <w:tcW w:w="1064" w:type="dxa"/>
            <w:tcBorders>
              <w:top w:val="nil"/>
              <w:left w:val="nil"/>
              <w:bottom w:val="nil"/>
              <w:right w:val="nil"/>
            </w:tcBorders>
            <w:shd w:val="clear" w:color="000000" w:fill="FFFFFF"/>
            <w:noWrap/>
            <w:vAlign w:val="bottom"/>
            <w:hideMark/>
          </w:tcPr>
          <w:p w14:paraId="7962D4B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-0.03</w:t>
            </w:r>
          </w:p>
        </w:tc>
      </w:tr>
      <w:tr w:rsidR="00765F47" w:rsidRPr="00086601" w14:paraId="2390E5EC" w14:textId="77777777" w:rsidTr="00765F47">
        <w:trPr>
          <w:trHeight w:val="285"/>
        </w:trPr>
        <w:tc>
          <w:tcPr>
            <w:tcW w:w="643" w:type="dxa"/>
            <w:tcBorders>
              <w:top w:val="nil"/>
              <w:left w:val="nil"/>
              <w:bottom w:val="nil"/>
              <w:right w:val="nil"/>
            </w:tcBorders>
            <w:shd w:val="clear" w:color="000000" w:fill="FFFFFF"/>
            <w:noWrap/>
            <w:vAlign w:val="bottom"/>
            <w:hideMark/>
          </w:tcPr>
          <w:p w14:paraId="4B957955"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2008</w:t>
            </w:r>
          </w:p>
        </w:tc>
        <w:tc>
          <w:tcPr>
            <w:tcW w:w="1270" w:type="dxa"/>
            <w:tcBorders>
              <w:top w:val="nil"/>
              <w:left w:val="nil"/>
              <w:bottom w:val="nil"/>
              <w:right w:val="nil"/>
            </w:tcBorders>
            <w:shd w:val="clear" w:color="000000" w:fill="FFFFFF"/>
            <w:noWrap/>
            <w:vAlign w:val="bottom"/>
            <w:hideMark/>
          </w:tcPr>
          <w:p w14:paraId="405C834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49</w:t>
            </w:r>
          </w:p>
        </w:tc>
        <w:tc>
          <w:tcPr>
            <w:tcW w:w="949" w:type="dxa"/>
            <w:tcBorders>
              <w:top w:val="nil"/>
              <w:left w:val="nil"/>
              <w:bottom w:val="nil"/>
              <w:right w:val="nil"/>
            </w:tcBorders>
            <w:shd w:val="clear" w:color="000000" w:fill="FFFFFF"/>
            <w:noWrap/>
            <w:vAlign w:val="bottom"/>
            <w:hideMark/>
          </w:tcPr>
          <w:p w14:paraId="3824122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4.66</w:t>
            </w:r>
          </w:p>
        </w:tc>
        <w:tc>
          <w:tcPr>
            <w:tcW w:w="1449" w:type="dxa"/>
            <w:tcBorders>
              <w:top w:val="nil"/>
              <w:left w:val="nil"/>
              <w:bottom w:val="nil"/>
              <w:right w:val="nil"/>
            </w:tcBorders>
            <w:shd w:val="clear" w:color="000000" w:fill="FFFFFF"/>
            <w:noWrap/>
            <w:vAlign w:val="bottom"/>
            <w:hideMark/>
          </w:tcPr>
          <w:p w14:paraId="5AD85AB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2.81</w:t>
            </w:r>
          </w:p>
        </w:tc>
        <w:tc>
          <w:tcPr>
            <w:tcW w:w="886" w:type="dxa"/>
            <w:tcBorders>
              <w:top w:val="nil"/>
              <w:left w:val="nil"/>
              <w:bottom w:val="nil"/>
              <w:right w:val="nil"/>
            </w:tcBorders>
            <w:shd w:val="clear" w:color="000000" w:fill="FFFFFF"/>
            <w:noWrap/>
            <w:vAlign w:val="bottom"/>
            <w:hideMark/>
          </w:tcPr>
          <w:p w14:paraId="391C4F4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0.09</w:t>
            </w:r>
          </w:p>
        </w:tc>
        <w:tc>
          <w:tcPr>
            <w:tcW w:w="1064" w:type="dxa"/>
            <w:tcBorders>
              <w:top w:val="nil"/>
              <w:left w:val="nil"/>
              <w:bottom w:val="nil"/>
              <w:right w:val="nil"/>
            </w:tcBorders>
            <w:shd w:val="clear" w:color="000000" w:fill="FFFFFF"/>
            <w:noWrap/>
            <w:vAlign w:val="bottom"/>
            <w:hideMark/>
          </w:tcPr>
          <w:p w14:paraId="0E1A573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0.32</w:t>
            </w:r>
          </w:p>
        </w:tc>
      </w:tr>
      <w:tr w:rsidR="00765F47" w:rsidRPr="00086601" w14:paraId="6EC05430" w14:textId="77777777" w:rsidTr="00765F47">
        <w:trPr>
          <w:trHeight w:val="285"/>
        </w:trPr>
        <w:tc>
          <w:tcPr>
            <w:tcW w:w="643" w:type="dxa"/>
            <w:tcBorders>
              <w:top w:val="nil"/>
              <w:left w:val="nil"/>
              <w:bottom w:val="nil"/>
              <w:right w:val="nil"/>
            </w:tcBorders>
            <w:shd w:val="clear" w:color="000000" w:fill="FFFFFF"/>
            <w:noWrap/>
            <w:vAlign w:val="bottom"/>
            <w:hideMark/>
          </w:tcPr>
          <w:p w14:paraId="08D15BC4"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2009</w:t>
            </w:r>
          </w:p>
        </w:tc>
        <w:tc>
          <w:tcPr>
            <w:tcW w:w="1270" w:type="dxa"/>
            <w:tcBorders>
              <w:top w:val="nil"/>
              <w:left w:val="nil"/>
              <w:bottom w:val="nil"/>
              <w:right w:val="nil"/>
            </w:tcBorders>
            <w:shd w:val="clear" w:color="000000" w:fill="FFFFFF"/>
            <w:noWrap/>
            <w:vAlign w:val="bottom"/>
            <w:hideMark/>
          </w:tcPr>
          <w:p w14:paraId="62BA173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58</w:t>
            </w:r>
          </w:p>
        </w:tc>
        <w:tc>
          <w:tcPr>
            <w:tcW w:w="949" w:type="dxa"/>
            <w:tcBorders>
              <w:top w:val="nil"/>
              <w:left w:val="nil"/>
              <w:bottom w:val="nil"/>
              <w:right w:val="nil"/>
            </w:tcBorders>
            <w:shd w:val="clear" w:color="000000" w:fill="FFFFFF"/>
            <w:noWrap/>
            <w:vAlign w:val="bottom"/>
            <w:hideMark/>
          </w:tcPr>
          <w:p w14:paraId="181873F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5.52</w:t>
            </w:r>
          </w:p>
        </w:tc>
        <w:tc>
          <w:tcPr>
            <w:tcW w:w="1449" w:type="dxa"/>
            <w:tcBorders>
              <w:top w:val="nil"/>
              <w:left w:val="nil"/>
              <w:bottom w:val="nil"/>
              <w:right w:val="nil"/>
            </w:tcBorders>
            <w:shd w:val="clear" w:color="000000" w:fill="FFFFFF"/>
            <w:noWrap/>
            <w:vAlign w:val="bottom"/>
            <w:hideMark/>
          </w:tcPr>
          <w:p w14:paraId="7D268BC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-0.82</w:t>
            </w:r>
          </w:p>
        </w:tc>
        <w:tc>
          <w:tcPr>
            <w:tcW w:w="886" w:type="dxa"/>
            <w:tcBorders>
              <w:top w:val="nil"/>
              <w:left w:val="nil"/>
              <w:bottom w:val="nil"/>
              <w:right w:val="nil"/>
            </w:tcBorders>
            <w:shd w:val="clear" w:color="000000" w:fill="FFFFFF"/>
            <w:noWrap/>
            <w:vAlign w:val="bottom"/>
            <w:hideMark/>
          </w:tcPr>
          <w:p w14:paraId="4ACDF79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-0.05</w:t>
            </w:r>
          </w:p>
        </w:tc>
        <w:tc>
          <w:tcPr>
            <w:tcW w:w="1064" w:type="dxa"/>
            <w:tcBorders>
              <w:top w:val="nil"/>
              <w:left w:val="nil"/>
              <w:bottom w:val="nil"/>
              <w:right w:val="nil"/>
            </w:tcBorders>
            <w:shd w:val="clear" w:color="000000" w:fill="FFFFFF"/>
            <w:noWrap/>
            <w:vAlign w:val="bottom"/>
            <w:hideMark/>
          </w:tcPr>
          <w:p w14:paraId="5AA1081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-0.12</w:t>
            </w:r>
          </w:p>
        </w:tc>
      </w:tr>
      <w:tr w:rsidR="00765F47" w:rsidRPr="00086601" w14:paraId="565B94A7" w14:textId="77777777" w:rsidTr="00765F47">
        <w:trPr>
          <w:trHeight w:val="285"/>
        </w:trPr>
        <w:tc>
          <w:tcPr>
            <w:tcW w:w="643" w:type="dxa"/>
            <w:tcBorders>
              <w:top w:val="nil"/>
              <w:left w:val="nil"/>
              <w:bottom w:val="nil"/>
              <w:right w:val="nil"/>
            </w:tcBorders>
            <w:shd w:val="clear" w:color="000000" w:fill="FFFFFF"/>
            <w:noWrap/>
            <w:vAlign w:val="bottom"/>
            <w:hideMark/>
          </w:tcPr>
          <w:p w14:paraId="636A9C9D"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2010</w:t>
            </w:r>
          </w:p>
        </w:tc>
        <w:tc>
          <w:tcPr>
            <w:tcW w:w="1270" w:type="dxa"/>
            <w:tcBorders>
              <w:top w:val="nil"/>
              <w:left w:val="nil"/>
              <w:bottom w:val="nil"/>
              <w:right w:val="nil"/>
            </w:tcBorders>
            <w:shd w:val="clear" w:color="000000" w:fill="FFFFFF"/>
            <w:noWrap/>
            <w:vAlign w:val="bottom"/>
            <w:hideMark/>
          </w:tcPr>
          <w:p w14:paraId="0C07118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58</w:t>
            </w:r>
          </w:p>
        </w:tc>
        <w:tc>
          <w:tcPr>
            <w:tcW w:w="949" w:type="dxa"/>
            <w:tcBorders>
              <w:top w:val="nil"/>
              <w:left w:val="nil"/>
              <w:bottom w:val="nil"/>
              <w:right w:val="nil"/>
            </w:tcBorders>
            <w:shd w:val="clear" w:color="000000" w:fill="FFFFFF"/>
            <w:noWrap/>
            <w:vAlign w:val="bottom"/>
            <w:hideMark/>
          </w:tcPr>
          <w:p w14:paraId="0637F70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5.52</w:t>
            </w:r>
          </w:p>
        </w:tc>
        <w:tc>
          <w:tcPr>
            <w:tcW w:w="1449" w:type="dxa"/>
            <w:tcBorders>
              <w:top w:val="nil"/>
              <w:left w:val="nil"/>
              <w:bottom w:val="nil"/>
              <w:right w:val="nil"/>
            </w:tcBorders>
            <w:shd w:val="clear" w:color="000000" w:fill="FFFFFF"/>
            <w:noWrap/>
            <w:vAlign w:val="bottom"/>
            <w:hideMark/>
          </w:tcPr>
          <w:p w14:paraId="2C0CADF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4.26</w:t>
            </w:r>
          </w:p>
        </w:tc>
        <w:tc>
          <w:tcPr>
            <w:tcW w:w="886" w:type="dxa"/>
            <w:tcBorders>
              <w:top w:val="nil"/>
              <w:left w:val="nil"/>
              <w:bottom w:val="nil"/>
              <w:right w:val="nil"/>
            </w:tcBorders>
            <w:shd w:val="clear" w:color="000000" w:fill="FFFFFF"/>
            <w:noWrap/>
            <w:vAlign w:val="bottom"/>
            <w:hideMark/>
          </w:tcPr>
          <w:p w14:paraId="7D7AE88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-0.02</w:t>
            </w:r>
          </w:p>
        </w:tc>
        <w:tc>
          <w:tcPr>
            <w:tcW w:w="1064" w:type="dxa"/>
            <w:tcBorders>
              <w:top w:val="nil"/>
              <w:left w:val="nil"/>
              <w:bottom w:val="nil"/>
              <w:right w:val="nil"/>
            </w:tcBorders>
            <w:shd w:val="clear" w:color="000000" w:fill="FFFFFF"/>
            <w:noWrap/>
            <w:vAlign w:val="bottom"/>
            <w:hideMark/>
          </w:tcPr>
          <w:p w14:paraId="6F381A7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0.02</w:t>
            </w:r>
          </w:p>
        </w:tc>
      </w:tr>
      <w:tr w:rsidR="00765F47" w:rsidRPr="00086601" w14:paraId="4E54A858" w14:textId="77777777" w:rsidTr="00765F47">
        <w:trPr>
          <w:trHeight w:val="285"/>
        </w:trPr>
        <w:tc>
          <w:tcPr>
            <w:tcW w:w="643" w:type="dxa"/>
            <w:tcBorders>
              <w:top w:val="nil"/>
              <w:left w:val="nil"/>
              <w:bottom w:val="nil"/>
              <w:right w:val="nil"/>
            </w:tcBorders>
            <w:shd w:val="clear" w:color="000000" w:fill="FFFFFF"/>
            <w:noWrap/>
            <w:vAlign w:val="bottom"/>
            <w:hideMark/>
          </w:tcPr>
          <w:p w14:paraId="1262B3A5"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2011</w:t>
            </w:r>
          </w:p>
        </w:tc>
        <w:tc>
          <w:tcPr>
            <w:tcW w:w="1270" w:type="dxa"/>
            <w:tcBorders>
              <w:top w:val="nil"/>
              <w:left w:val="nil"/>
              <w:bottom w:val="nil"/>
              <w:right w:val="nil"/>
            </w:tcBorders>
            <w:shd w:val="clear" w:color="000000" w:fill="FFFFFF"/>
            <w:noWrap/>
            <w:vAlign w:val="bottom"/>
            <w:hideMark/>
          </w:tcPr>
          <w:p w14:paraId="6F9286C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59</w:t>
            </w:r>
          </w:p>
        </w:tc>
        <w:tc>
          <w:tcPr>
            <w:tcW w:w="949" w:type="dxa"/>
            <w:tcBorders>
              <w:top w:val="nil"/>
              <w:left w:val="nil"/>
              <w:bottom w:val="nil"/>
              <w:right w:val="nil"/>
            </w:tcBorders>
            <w:shd w:val="clear" w:color="000000" w:fill="FFFFFF"/>
            <w:noWrap/>
            <w:vAlign w:val="bottom"/>
            <w:hideMark/>
          </w:tcPr>
          <w:p w14:paraId="63493ED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5.61</w:t>
            </w:r>
          </w:p>
        </w:tc>
        <w:tc>
          <w:tcPr>
            <w:tcW w:w="1449" w:type="dxa"/>
            <w:tcBorders>
              <w:top w:val="nil"/>
              <w:left w:val="nil"/>
              <w:bottom w:val="nil"/>
              <w:right w:val="nil"/>
            </w:tcBorders>
            <w:shd w:val="clear" w:color="000000" w:fill="FFFFFF"/>
            <w:noWrap/>
            <w:vAlign w:val="bottom"/>
            <w:hideMark/>
          </w:tcPr>
          <w:p w14:paraId="0BFD4B2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3.27</w:t>
            </w:r>
          </w:p>
        </w:tc>
        <w:tc>
          <w:tcPr>
            <w:tcW w:w="886" w:type="dxa"/>
            <w:tcBorders>
              <w:top w:val="nil"/>
              <w:left w:val="nil"/>
              <w:bottom w:val="nil"/>
              <w:right w:val="nil"/>
            </w:tcBorders>
            <w:shd w:val="clear" w:color="000000" w:fill="FFFFFF"/>
            <w:noWrap/>
            <w:vAlign w:val="bottom"/>
            <w:hideMark/>
          </w:tcPr>
          <w:p w14:paraId="0F39BB3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0.06</w:t>
            </w:r>
          </w:p>
        </w:tc>
        <w:tc>
          <w:tcPr>
            <w:tcW w:w="1064" w:type="dxa"/>
            <w:tcBorders>
              <w:top w:val="nil"/>
              <w:left w:val="nil"/>
              <w:bottom w:val="nil"/>
              <w:right w:val="nil"/>
            </w:tcBorders>
            <w:shd w:val="clear" w:color="000000" w:fill="FFFFFF"/>
            <w:noWrap/>
            <w:vAlign w:val="bottom"/>
            <w:hideMark/>
          </w:tcPr>
          <w:p w14:paraId="34D0EE5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0.24</w:t>
            </w:r>
          </w:p>
        </w:tc>
      </w:tr>
      <w:tr w:rsidR="00765F47" w:rsidRPr="00086601" w14:paraId="08EFF9CA" w14:textId="77777777" w:rsidTr="00765F47">
        <w:trPr>
          <w:trHeight w:val="285"/>
        </w:trPr>
        <w:tc>
          <w:tcPr>
            <w:tcW w:w="643" w:type="dxa"/>
            <w:tcBorders>
              <w:top w:val="nil"/>
              <w:left w:val="nil"/>
              <w:bottom w:val="nil"/>
              <w:right w:val="nil"/>
            </w:tcBorders>
            <w:shd w:val="clear" w:color="000000" w:fill="FFFFFF"/>
            <w:noWrap/>
            <w:vAlign w:val="bottom"/>
            <w:hideMark/>
          </w:tcPr>
          <w:p w14:paraId="20CB13E8"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2012</w:t>
            </w:r>
          </w:p>
        </w:tc>
        <w:tc>
          <w:tcPr>
            <w:tcW w:w="1270" w:type="dxa"/>
            <w:tcBorders>
              <w:top w:val="nil"/>
              <w:left w:val="nil"/>
              <w:bottom w:val="nil"/>
              <w:right w:val="nil"/>
            </w:tcBorders>
            <w:shd w:val="clear" w:color="000000" w:fill="FFFFFF"/>
            <w:noWrap/>
            <w:vAlign w:val="bottom"/>
            <w:hideMark/>
          </w:tcPr>
          <w:p w14:paraId="29C7804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60</w:t>
            </w:r>
          </w:p>
        </w:tc>
        <w:tc>
          <w:tcPr>
            <w:tcW w:w="949" w:type="dxa"/>
            <w:tcBorders>
              <w:top w:val="nil"/>
              <w:left w:val="nil"/>
              <w:bottom w:val="nil"/>
              <w:right w:val="nil"/>
            </w:tcBorders>
            <w:shd w:val="clear" w:color="000000" w:fill="FFFFFF"/>
            <w:noWrap/>
            <w:vAlign w:val="bottom"/>
            <w:hideMark/>
          </w:tcPr>
          <w:p w14:paraId="658FF05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5.71</w:t>
            </w:r>
          </w:p>
        </w:tc>
        <w:tc>
          <w:tcPr>
            <w:tcW w:w="1449" w:type="dxa"/>
            <w:tcBorders>
              <w:top w:val="nil"/>
              <w:left w:val="nil"/>
              <w:bottom w:val="nil"/>
              <w:right w:val="nil"/>
            </w:tcBorders>
            <w:shd w:val="clear" w:color="000000" w:fill="FFFFFF"/>
            <w:noWrap/>
            <w:vAlign w:val="bottom"/>
            <w:hideMark/>
          </w:tcPr>
          <w:p w14:paraId="5E04125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2.32</w:t>
            </w:r>
          </w:p>
        </w:tc>
        <w:tc>
          <w:tcPr>
            <w:tcW w:w="886" w:type="dxa"/>
            <w:tcBorders>
              <w:top w:val="nil"/>
              <w:left w:val="nil"/>
              <w:bottom w:val="nil"/>
              <w:right w:val="nil"/>
            </w:tcBorders>
            <w:shd w:val="clear" w:color="000000" w:fill="FFFFFF"/>
            <w:noWrap/>
            <w:vAlign w:val="bottom"/>
            <w:hideMark/>
          </w:tcPr>
          <w:p w14:paraId="5D3FB00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-0.01</w:t>
            </w:r>
          </w:p>
        </w:tc>
        <w:tc>
          <w:tcPr>
            <w:tcW w:w="1064" w:type="dxa"/>
            <w:tcBorders>
              <w:top w:val="nil"/>
              <w:left w:val="nil"/>
              <w:bottom w:val="nil"/>
              <w:right w:val="nil"/>
            </w:tcBorders>
            <w:shd w:val="clear" w:color="000000" w:fill="FFFFFF"/>
            <w:noWrap/>
            <w:vAlign w:val="bottom"/>
            <w:hideMark/>
          </w:tcPr>
          <w:p w14:paraId="6F50C70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-0.02</w:t>
            </w:r>
          </w:p>
        </w:tc>
      </w:tr>
      <w:tr w:rsidR="00765F47" w:rsidRPr="00086601" w14:paraId="038703A9" w14:textId="77777777" w:rsidTr="00765F47">
        <w:trPr>
          <w:trHeight w:val="285"/>
        </w:trPr>
        <w:tc>
          <w:tcPr>
            <w:tcW w:w="643" w:type="dxa"/>
            <w:tcBorders>
              <w:top w:val="nil"/>
              <w:left w:val="nil"/>
              <w:bottom w:val="nil"/>
              <w:right w:val="nil"/>
            </w:tcBorders>
            <w:shd w:val="clear" w:color="000000" w:fill="FFFFFF"/>
            <w:noWrap/>
            <w:vAlign w:val="bottom"/>
            <w:hideMark/>
          </w:tcPr>
          <w:p w14:paraId="794E6E4E"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2013</w:t>
            </w:r>
          </w:p>
        </w:tc>
        <w:tc>
          <w:tcPr>
            <w:tcW w:w="1270" w:type="dxa"/>
            <w:tcBorders>
              <w:top w:val="nil"/>
              <w:left w:val="nil"/>
              <w:bottom w:val="nil"/>
              <w:right w:val="nil"/>
            </w:tcBorders>
            <w:shd w:val="clear" w:color="000000" w:fill="FFFFFF"/>
            <w:noWrap/>
            <w:vAlign w:val="bottom"/>
            <w:hideMark/>
          </w:tcPr>
          <w:p w14:paraId="50EAA1D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61</w:t>
            </w:r>
          </w:p>
        </w:tc>
        <w:tc>
          <w:tcPr>
            <w:tcW w:w="949" w:type="dxa"/>
            <w:tcBorders>
              <w:top w:val="nil"/>
              <w:left w:val="nil"/>
              <w:bottom w:val="nil"/>
              <w:right w:val="nil"/>
            </w:tcBorders>
            <w:shd w:val="clear" w:color="000000" w:fill="FFFFFF"/>
            <w:noWrap/>
            <w:vAlign w:val="bottom"/>
            <w:hideMark/>
          </w:tcPr>
          <w:p w14:paraId="544EB5F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5.8</w:t>
            </w:r>
          </w:p>
        </w:tc>
        <w:tc>
          <w:tcPr>
            <w:tcW w:w="1449" w:type="dxa"/>
            <w:tcBorders>
              <w:top w:val="nil"/>
              <w:left w:val="nil"/>
              <w:bottom w:val="nil"/>
              <w:right w:val="nil"/>
            </w:tcBorders>
            <w:shd w:val="clear" w:color="000000" w:fill="FFFFFF"/>
            <w:noWrap/>
            <w:vAlign w:val="bottom"/>
            <w:hideMark/>
          </w:tcPr>
          <w:p w14:paraId="6AA7221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2.63</w:t>
            </w:r>
          </w:p>
        </w:tc>
        <w:tc>
          <w:tcPr>
            <w:tcW w:w="886" w:type="dxa"/>
            <w:tcBorders>
              <w:top w:val="nil"/>
              <w:left w:val="nil"/>
              <w:bottom w:val="nil"/>
              <w:right w:val="nil"/>
            </w:tcBorders>
            <w:shd w:val="clear" w:color="000000" w:fill="FFFFFF"/>
            <w:noWrap/>
            <w:vAlign w:val="bottom"/>
            <w:hideMark/>
          </w:tcPr>
          <w:p w14:paraId="28D48F8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0.10</w:t>
            </w:r>
          </w:p>
        </w:tc>
        <w:tc>
          <w:tcPr>
            <w:tcW w:w="1064" w:type="dxa"/>
            <w:tcBorders>
              <w:top w:val="nil"/>
              <w:left w:val="nil"/>
              <w:bottom w:val="nil"/>
              <w:right w:val="nil"/>
            </w:tcBorders>
            <w:shd w:val="clear" w:color="000000" w:fill="FFFFFF"/>
            <w:noWrap/>
            <w:vAlign w:val="bottom"/>
            <w:hideMark/>
          </w:tcPr>
          <w:p w14:paraId="7D92CB1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0.41</w:t>
            </w:r>
          </w:p>
        </w:tc>
      </w:tr>
      <w:tr w:rsidR="00765F47" w:rsidRPr="00086601" w14:paraId="6BC8BA47" w14:textId="77777777" w:rsidTr="00765F47">
        <w:trPr>
          <w:trHeight w:val="285"/>
        </w:trPr>
        <w:tc>
          <w:tcPr>
            <w:tcW w:w="643" w:type="dxa"/>
            <w:tcBorders>
              <w:top w:val="nil"/>
              <w:left w:val="nil"/>
              <w:bottom w:val="nil"/>
              <w:right w:val="nil"/>
            </w:tcBorders>
            <w:shd w:val="clear" w:color="000000" w:fill="FFFFFF"/>
            <w:noWrap/>
            <w:vAlign w:val="bottom"/>
            <w:hideMark/>
          </w:tcPr>
          <w:p w14:paraId="6DA42210"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2014</w:t>
            </w:r>
          </w:p>
        </w:tc>
        <w:tc>
          <w:tcPr>
            <w:tcW w:w="1270" w:type="dxa"/>
            <w:tcBorders>
              <w:top w:val="nil"/>
              <w:left w:val="nil"/>
              <w:bottom w:val="nil"/>
              <w:right w:val="nil"/>
            </w:tcBorders>
            <w:shd w:val="clear" w:color="000000" w:fill="FFFFFF"/>
            <w:noWrap/>
            <w:vAlign w:val="bottom"/>
            <w:hideMark/>
          </w:tcPr>
          <w:p w14:paraId="4CBBBE7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61</w:t>
            </w:r>
          </w:p>
        </w:tc>
        <w:tc>
          <w:tcPr>
            <w:tcW w:w="949" w:type="dxa"/>
            <w:tcBorders>
              <w:top w:val="nil"/>
              <w:left w:val="nil"/>
              <w:bottom w:val="nil"/>
              <w:right w:val="nil"/>
            </w:tcBorders>
            <w:shd w:val="clear" w:color="000000" w:fill="FFFFFF"/>
            <w:noWrap/>
            <w:vAlign w:val="bottom"/>
            <w:hideMark/>
          </w:tcPr>
          <w:p w14:paraId="5985CDF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5.8</w:t>
            </w:r>
          </w:p>
        </w:tc>
        <w:tc>
          <w:tcPr>
            <w:tcW w:w="1449" w:type="dxa"/>
            <w:tcBorders>
              <w:top w:val="nil"/>
              <w:left w:val="nil"/>
              <w:bottom w:val="nil"/>
              <w:right w:val="nil"/>
            </w:tcBorders>
            <w:shd w:val="clear" w:color="000000" w:fill="FFFFFF"/>
            <w:noWrap/>
            <w:vAlign w:val="bottom"/>
            <w:hideMark/>
          </w:tcPr>
          <w:p w14:paraId="7D3C540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2.91</w:t>
            </w:r>
          </w:p>
        </w:tc>
        <w:tc>
          <w:tcPr>
            <w:tcW w:w="886" w:type="dxa"/>
            <w:tcBorders>
              <w:top w:val="nil"/>
              <w:left w:val="nil"/>
              <w:bottom w:val="nil"/>
              <w:right w:val="nil"/>
            </w:tcBorders>
            <w:shd w:val="clear" w:color="000000" w:fill="FFFFFF"/>
            <w:noWrap/>
            <w:vAlign w:val="bottom"/>
            <w:hideMark/>
          </w:tcPr>
          <w:p w14:paraId="0E715B3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0.08</w:t>
            </w:r>
          </w:p>
        </w:tc>
        <w:tc>
          <w:tcPr>
            <w:tcW w:w="1064" w:type="dxa"/>
            <w:tcBorders>
              <w:top w:val="nil"/>
              <w:left w:val="nil"/>
              <w:bottom w:val="nil"/>
              <w:right w:val="nil"/>
            </w:tcBorders>
            <w:shd w:val="clear" w:color="000000" w:fill="FFFFFF"/>
            <w:noWrap/>
            <w:vAlign w:val="bottom"/>
            <w:hideMark/>
          </w:tcPr>
          <w:p w14:paraId="2DC4A3B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0.43</w:t>
            </w:r>
          </w:p>
        </w:tc>
      </w:tr>
      <w:tr w:rsidR="00765F47" w:rsidRPr="00086601" w14:paraId="286D2918" w14:textId="77777777" w:rsidTr="00765F47">
        <w:trPr>
          <w:trHeight w:val="285"/>
        </w:trPr>
        <w:tc>
          <w:tcPr>
            <w:tcW w:w="643" w:type="dxa"/>
            <w:tcBorders>
              <w:top w:val="nil"/>
              <w:left w:val="nil"/>
              <w:bottom w:val="nil"/>
              <w:right w:val="nil"/>
            </w:tcBorders>
            <w:shd w:val="clear" w:color="000000" w:fill="FFFFFF"/>
            <w:noWrap/>
            <w:vAlign w:val="bottom"/>
            <w:hideMark/>
          </w:tcPr>
          <w:p w14:paraId="0E9F3519"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2015</w:t>
            </w:r>
          </w:p>
        </w:tc>
        <w:tc>
          <w:tcPr>
            <w:tcW w:w="1270" w:type="dxa"/>
            <w:tcBorders>
              <w:top w:val="nil"/>
              <w:left w:val="nil"/>
              <w:bottom w:val="nil"/>
              <w:right w:val="nil"/>
            </w:tcBorders>
            <w:shd w:val="clear" w:color="000000" w:fill="FFFFFF"/>
            <w:noWrap/>
            <w:vAlign w:val="bottom"/>
            <w:hideMark/>
          </w:tcPr>
          <w:p w14:paraId="0CC4CAF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72</w:t>
            </w:r>
          </w:p>
        </w:tc>
        <w:tc>
          <w:tcPr>
            <w:tcW w:w="949" w:type="dxa"/>
            <w:tcBorders>
              <w:top w:val="nil"/>
              <w:left w:val="nil"/>
              <w:bottom w:val="nil"/>
              <w:right w:val="nil"/>
            </w:tcBorders>
            <w:shd w:val="clear" w:color="000000" w:fill="FFFFFF"/>
            <w:noWrap/>
            <w:vAlign w:val="bottom"/>
            <w:hideMark/>
          </w:tcPr>
          <w:p w14:paraId="74AA1E4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6.85</w:t>
            </w:r>
          </w:p>
        </w:tc>
        <w:tc>
          <w:tcPr>
            <w:tcW w:w="1449" w:type="dxa"/>
            <w:tcBorders>
              <w:top w:val="nil"/>
              <w:left w:val="nil"/>
              <w:bottom w:val="nil"/>
              <w:right w:val="nil"/>
            </w:tcBorders>
            <w:shd w:val="clear" w:color="000000" w:fill="FFFFFF"/>
            <w:noWrap/>
            <w:vAlign w:val="bottom"/>
            <w:hideMark/>
          </w:tcPr>
          <w:p w14:paraId="3D58290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2.92</w:t>
            </w:r>
          </w:p>
        </w:tc>
        <w:tc>
          <w:tcPr>
            <w:tcW w:w="886" w:type="dxa"/>
            <w:tcBorders>
              <w:top w:val="nil"/>
              <w:left w:val="nil"/>
              <w:bottom w:val="nil"/>
              <w:right w:val="nil"/>
            </w:tcBorders>
            <w:shd w:val="clear" w:color="000000" w:fill="FFFFFF"/>
            <w:noWrap/>
            <w:vAlign w:val="bottom"/>
            <w:hideMark/>
          </w:tcPr>
          <w:p w14:paraId="7A2B34B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-0.03</w:t>
            </w:r>
          </w:p>
        </w:tc>
        <w:tc>
          <w:tcPr>
            <w:tcW w:w="1064" w:type="dxa"/>
            <w:tcBorders>
              <w:top w:val="nil"/>
              <w:left w:val="nil"/>
              <w:bottom w:val="nil"/>
              <w:right w:val="nil"/>
            </w:tcBorders>
            <w:shd w:val="clear" w:color="000000" w:fill="FFFFFF"/>
            <w:noWrap/>
            <w:vAlign w:val="bottom"/>
            <w:hideMark/>
          </w:tcPr>
          <w:p w14:paraId="6692CA7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-0.02</w:t>
            </w:r>
          </w:p>
        </w:tc>
      </w:tr>
      <w:tr w:rsidR="00765F47" w:rsidRPr="00086601" w14:paraId="4E49AF53" w14:textId="77777777" w:rsidTr="00765F47">
        <w:trPr>
          <w:trHeight w:val="285"/>
        </w:trPr>
        <w:tc>
          <w:tcPr>
            <w:tcW w:w="643" w:type="dxa"/>
            <w:tcBorders>
              <w:top w:val="nil"/>
              <w:left w:val="nil"/>
              <w:bottom w:val="nil"/>
              <w:right w:val="nil"/>
            </w:tcBorders>
            <w:shd w:val="clear" w:color="000000" w:fill="FFFFFF"/>
            <w:noWrap/>
            <w:vAlign w:val="bottom"/>
            <w:hideMark/>
          </w:tcPr>
          <w:p w14:paraId="7ECE419A"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2016</w:t>
            </w:r>
          </w:p>
        </w:tc>
        <w:tc>
          <w:tcPr>
            <w:tcW w:w="1270" w:type="dxa"/>
            <w:tcBorders>
              <w:top w:val="nil"/>
              <w:left w:val="nil"/>
              <w:bottom w:val="nil"/>
              <w:right w:val="nil"/>
            </w:tcBorders>
            <w:shd w:val="clear" w:color="000000" w:fill="FFFFFF"/>
            <w:noWrap/>
            <w:vAlign w:val="bottom"/>
            <w:hideMark/>
          </w:tcPr>
          <w:p w14:paraId="49B7A08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72</w:t>
            </w:r>
          </w:p>
        </w:tc>
        <w:tc>
          <w:tcPr>
            <w:tcW w:w="949" w:type="dxa"/>
            <w:tcBorders>
              <w:top w:val="nil"/>
              <w:left w:val="nil"/>
              <w:bottom w:val="nil"/>
              <w:right w:val="nil"/>
            </w:tcBorders>
            <w:shd w:val="clear" w:color="000000" w:fill="FFFFFF"/>
            <w:noWrap/>
            <w:vAlign w:val="bottom"/>
            <w:hideMark/>
          </w:tcPr>
          <w:p w14:paraId="2495AD4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6.85</w:t>
            </w:r>
          </w:p>
        </w:tc>
        <w:tc>
          <w:tcPr>
            <w:tcW w:w="1449" w:type="dxa"/>
            <w:tcBorders>
              <w:top w:val="nil"/>
              <w:left w:val="nil"/>
              <w:bottom w:val="nil"/>
              <w:right w:val="nil"/>
            </w:tcBorders>
            <w:shd w:val="clear" w:color="000000" w:fill="FFFFFF"/>
            <w:noWrap/>
            <w:vAlign w:val="bottom"/>
            <w:hideMark/>
          </w:tcPr>
          <w:p w14:paraId="1D24BDD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2.76</w:t>
            </w:r>
          </w:p>
        </w:tc>
        <w:tc>
          <w:tcPr>
            <w:tcW w:w="886" w:type="dxa"/>
            <w:tcBorders>
              <w:top w:val="nil"/>
              <w:left w:val="nil"/>
              <w:bottom w:val="nil"/>
              <w:right w:val="nil"/>
            </w:tcBorders>
            <w:shd w:val="clear" w:color="000000" w:fill="FFFFFF"/>
            <w:noWrap/>
            <w:vAlign w:val="bottom"/>
            <w:hideMark/>
          </w:tcPr>
          <w:p w14:paraId="25943E3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-0.01</w:t>
            </w:r>
          </w:p>
        </w:tc>
        <w:tc>
          <w:tcPr>
            <w:tcW w:w="1064" w:type="dxa"/>
            <w:tcBorders>
              <w:top w:val="nil"/>
              <w:left w:val="nil"/>
              <w:bottom w:val="nil"/>
              <w:right w:val="nil"/>
            </w:tcBorders>
            <w:shd w:val="clear" w:color="000000" w:fill="FFFFFF"/>
            <w:noWrap/>
            <w:vAlign w:val="bottom"/>
            <w:hideMark/>
          </w:tcPr>
          <w:p w14:paraId="4323C50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0.13</w:t>
            </w:r>
          </w:p>
        </w:tc>
      </w:tr>
      <w:tr w:rsidR="00765F47" w:rsidRPr="00086601" w14:paraId="4D068521" w14:textId="77777777" w:rsidTr="00765F47">
        <w:trPr>
          <w:trHeight w:val="285"/>
        </w:trPr>
        <w:tc>
          <w:tcPr>
            <w:tcW w:w="643" w:type="dxa"/>
            <w:tcBorders>
              <w:top w:val="nil"/>
              <w:left w:val="nil"/>
              <w:bottom w:val="nil"/>
              <w:right w:val="nil"/>
            </w:tcBorders>
            <w:shd w:val="clear" w:color="000000" w:fill="FFFFFF"/>
            <w:noWrap/>
            <w:vAlign w:val="bottom"/>
            <w:hideMark/>
          </w:tcPr>
          <w:p w14:paraId="7BD7D592"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2017</w:t>
            </w:r>
          </w:p>
        </w:tc>
        <w:tc>
          <w:tcPr>
            <w:tcW w:w="1270" w:type="dxa"/>
            <w:tcBorders>
              <w:top w:val="nil"/>
              <w:left w:val="nil"/>
              <w:bottom w:val="nil"/>
              <w:right w:val="nil"/>
            </w:tcBorders>
            <w:shd w:val="clear" w:color="000000" w:fill="FFFFFF"/>
            <w:noWrap/>
            <w:vAlign w:val="bottom"/>
            <w:hideMark/>
          </w:tcPr>
          <w:p w14:paraId="22293AC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72</w:t>
            </w:r>
          </w:p>
        </w:tc>
        <w:tc>
          <w:tcPr>
            <w:tcW w:w="949" w:type="dxa"/>
            <w:tcBorders>
              <w:top w:val="nil"/>
              <w:left w:val="nil"/>
              <w:bottom w:val="nil"/>
              <w:right w:val="nil"/>
            </w:tcBorders>
            <w:shd w:val="clear" w:color="000000" w:fill="FFFFFF"/>
            <w:noWrap/>
            <w:vAlign w:val="bottom"/>
            <w:hideMark/>
          </w:tcPr>
          <w:p w14:paraId="22BFA33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6.85</w:t>
            </w:r>
          </w:p>
        </w:tc>
        <w:tc>
          <w:tcPr>
            <w:tcW w:w="1449" w:type="dxa"/>
            <w:tcBorders>
              <w:top w:val="nil"/>
              <w:left w:val="nil"/>
              <w:bottom w:val="nil"/>
              <w:right w:val="nil"/>
            </w:tcBorders>
            <w:shd w:val="clear" w:color="000000" w:fill="FFFFFF"/>
            <w:noWrap/>
            <w:vAlign w:val="bottom"/>
            <w:hideMark/>
          </w:tcPr>
          <w:p w14:paraId="2CE4D85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3.30</w:t>
            </w:r>
          </w:p>
        </w:tc>
        <w:tc>
          <w:tcPr>
            <w:tcW w:w="886" w:type="dxa"/>
            <w:tcBorders>
              <w:top w:val="nil"/>
              <w:left w:val="nil"/>
              <w:bottom w:val="nil"/>
              <w:right w:val="nil"/>
            </w:tcBorders>
            <w:shd w:val="clear" w:color="000000" w:fill="FFFFFF"/>
            <w:noWrap/>
            <w:vAlign w:val="bottom"/>
            <w:hideMark/>
          </w:tcPr>
          <w:p w14:paraId="624D0C6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-0.06</w:t>
            </w:r>
          </w:p>
        </w:tc>
        <w:tc>
          <w:tcPr>
            <w:tcW w:w="1064" w:type="dxa"/>
            <w:tcBorders>
              <w:top w:val="nil"/>
              <w:left w:val="nil"/>
              <w:bottom w:val="nil"/>
              <w:right w:val="nil"/>
            </w:tcBorders>
            <w:shd w:val="clear" w:color="000000" w:fill="FFFFFF"/>
            <w:noWrap/>
            <w:vAlign w:val="bottom"/>
            <w:hideMark/>
          </w:tcPr>
          <w:p w14:paraId="40E2849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-0.20</w:t>
            </w:r>
          </w:p>
        </w:tc>
      </w:tr>
      <w:tr w:rsidR="00765F47" w:rsidRPr="00086601" w14:paraId="43154642" w14:textId="77777777" w:rsidTr="00765F47">
        <w:trPr>
          <w:trHeight w:val="285"/>
        </w:trPr>
        <w:tc>
          <w:tcPr>
            <w:tcW w:w="643" w:type="dxa"/>
            <w:tcBorders>
              <w:top w:val="nil"/>
              <w:left w:val="nil"/>
              <w:bottom w:val="nil"/>
              <w:right w:val="nil"/>
            </w:tcBorders>
            <w:shd w:val="clear" w:color="000000" w:fill="FFFFFF"/>
            <w:noWrap/>
            <w:vAlign w:val="bottom"/>
            <w:hideMark/>
          </w:tcPr>
          <w:p w14:paraId="0E2E13C4"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2018</w:t>
            </w:r>
          </w:p>
        </w:tc>
        <w:tc>
          <w:tcPr>
            <w:tcW w:w="1270" w:type="dxa"/>
            <w:tcBorders>
              <w:top w:val="nil"/>
              <w:left w:val="nil"/>
              <w:bottom w:val="nil"/>
              <w:right w:val="nil"/>
            </w:tcBorders>
            <w:shd w:val="clear" w:color="000000" w:fill="FFFFFF"/>
            <w:noWrap/>
            <w:vAlign w:val="bottom"/>
            <w:hideMark/>
          </w:tcPr>
          <w:p w14:paraId="18B8F25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72</w:t>
            </w:r>
          </w:p>
        </w:tc>
        <w:tc>
          <w:tcPr>
            <w:tcW w:w="949" w:type="dxa"/>
            <w:tcBorders>
              <w:top w:val="nil"/>
              <w:left w:val="nil"/>
              <w:bottom w:val="nil"/>
              <w:right w:val="nil"/>
            </w:tcBorders>
            <w:shd w:val="clear" w:color="000000" w:fill="FFFFFF"/>
            <w:noWrap/>
            <w:vAlign w:val="bottom"/>
            <w:hideMark/>
          </w:tcPr>
          <w:p w14:paraId="0A35A68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6.85</w:t>
            </w:r>
          </w:p>
        </w:tc>
        <w:tc>
          <w:tcPr>
            <w:tcW w:w="1449" w:type="dxa"/>
            <w:tcBorders>
              <w:top w:val="nil"/>
              <w:left w:val="nil"/>
              <w:bottom w:val="nil"/>
              <w:right w:val="nil"/>
            </w:tcBorders>
            <w:shd w:val="clear" w:color="000000" w:fill="FFFFFF"/>
            <w:noWrap/>
            <w:vAlign w:val="bottom"/>
            <w:hideMark/>
          </w:tcPr>
          <w:p w14:paraId="4743833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3.23</w:t>
            </w:r>
          </w:p>
        </w:tc>
        <w:tc>
          <w:tcPr>
            <w:tcW w:w="886" w:type="dxa"/>
            <w:tcBorders>
              <w:top w:val="nil"/>
              <w:left w:val="nil"/>
              <w:bottom w:val="nil"/>
              <w:right w:val="nil"/>
            </w:tcBorders>
            <w:shd w:val="clear" w:color="000000" w:fill="FFFFFF"/>
            <w:noWrap/>
            <w:vAlign w:val="bottom"/>
            <w:hideMark/>
          </w:tcPr>
          <w:p w14:paraId="040D582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0.00</w:t>
            </w:r>
          </w:p>
        </w:tc>
        <w:tc>
          <w:tcPr>
            <w:tcW w:w="1064" w:type="dxa"/>
            <w:tcBorders>
              <w:top w:val="nil"/>
              <w:left w:val="nil"/>
              <w:bottom w:val="nil"/>
              <w:right w:val="nil"/>
            </w:tcBorders>
            <w:shd w:val="clear" w:color="000000" w:fill="FFFFFF"/>
            <w:noWrap/>
            <w:vAlign w:val="bottom"/>
            <w:hideMark/>
          </w:tcPr>
          <w:p w14:paraId="0EFAB59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0.08</w:t>
            </w:r>
          </w:p>
        </w:tc>
      </w:tr>
      <w:tr w:rsidR="00765F47" w:rsidRPr="00086601" w14:paraId="1E088F5F" w14:textId="77777777" w:rsidTr="00765F47">
        <w:trPr>
          <w:trHeight w:val="285"/>
        </w:trPr>
        <w:tc>
          <w:tcPr>
            <w:tcW w:w="643" w:type="dxa"/>
            <w:tcBorders>
              <w:top w:val="single" w:sz="4" w:space="0" w:color="auto"/>
              <w:left w:val="nil"/>
              <w:bottom w:val="single" w:sz="4" w:space="0" w:color="auto"/>
              <w:right w:val="nil"/>
            </w:tcBorders>
            <w:shd w:val="clear" w:color="000000" w:fill="FFFFFF"/>
            <w:noWrap/>
            <w:vAlign w:val="bottom"/>
            <w:hideMark/>
          </w:tcPr>
          <w:p w14:paraId="22353B1A" w14:textId="77777777" w:rsidR="00765F47" w:rsidRPr="00086601" w:rsidRDefault="00765F47" w:rsidP="00765F47">
            <w:pPr>
              <w:spacing w:after="0" w:line="240" w:lineRule="auto"/>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Total</w:t>
            </w:r>
          </w:p>
        </w:tc>
        <w:tc>
          <w:tcPr>
            <w:tcW w:w="1270" w:type="dxa"/>
            <w:tcBorders>
              <w:top w:val="single" w:sz="4" w:space="0" w:color="auto"/>
              <w:left w:val="nil"/>
              <w:bottom w:val="single" w:sz="4" w:space="0" w:color="auto"/>
              <w:right w:val="nil"/>
            </w:tcBorders>
            <w:shd w:val="clear" w:color="000000" w:fill="FFFFFF"/>
            <w:noWrap/>
            <w:vAlign w:val="bottom"/>
            <w:hideMark/>
          </w:tcPr>
          <w:p w14:paraId="6F292836" w14:textId="77777777" w:rsidR="00765F47" w:rsidRPr="00086601" w:rsidRDefault="00765F47" w:rsidP="00765F47">
            <w:pPr>
              <w:spacing w:after="0" w:line="240" w:lineRule="auto"/>
              <w:jc w:val="right"/>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1051</w:t>
            </w:r>
          </w:p>
        </w:tc>
        <w:tc>
          <w:tcPr>
            <w:tcW w:w="949" w:type="dxa"/>
            <w:tcBorders>
              <w:top w:val="single" w:sz="4" w:space="0" w:color="auto"/>
              <w:left w:val="nil"/>
              <w:bottom w:val="single" w:sz="4" w:space="0" w:color="auto"/>
              <w:right w:val="nil"/>
            </w:tcBorders>
            <w:shd w:val="clear" w:color="000000" w:fill="FFFFFF"/>
            <w:noWrap/>
            <w:vAlign w:val="bottom"/>
            <w:hideMark/>
          </w:tcPr>
          <w:p w14:paraId="18F8A2AB" w14:textId="77777777" w:rsidR="00765F47" w:rsidRPr="00086601" w:rsidRDefault="00765F47" w:rsidP="00765F47">
            <w:pPr>
              <w:spacing w:after="0" w:line="240" w:lineRule="auto"/>
              <w:jc w:val="right"/>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99.98</w:t>
            </w:r>
          </w:p>
        </w:tc>
        <w:tc>
          <w:tcPr>
            <w:tcW w:w="1449" w:type="dxa"/>
            <w:tcBorders>
              <w:top w:val="single" w:sz="4" w:space="0" w:color="auto"/>
              <w:left w:val="nil"/>
              <w:bottom w:val="single" w:sz="4" w:space="0" w:color="auto"/>
              <w:right w:val="nil"/>
            </w:tcBorders>
            <w:shd w:val="clear" w:color="000000" w:fill="FFFFFF"/>
            <w:noWrap/>
            <w:vAlign w:val="bottom"/>
            <w:hideMark/>
          </w:tcPr>
          <w:p w14:paraId="15854820" w14:textId="77777777" w:rsidR="00765F47" w:rsidRPr="00086601" w:rsidRDefault="00765F47" w:rsidP="00765F47">
            <w:pPr>
              <w:spacing w:after="0" w:line="240" w:lineRule="auto"/>
              <w:jc w:val="right"/>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3.34</w:t>
            </w:r>
          </w:p>
        </w:tc>
        <w:tc>
          <w:tcPr>
            <w:tcW w:w="886" w:type="dxa"/>
            <w:tcBorders>
              <w:top w:val="single" w:sz="4" w:space="0" w:color="auto"/>
              <w:left w:val="nil"/>
              <w:bottom w:val="single" w:sz="4" w:space="0" w:color="auto"/>
              <w:right w:val="nil"/>
            </w:tcBorders>
            <w:shd w:val="clear" w:color="000000" w:fill="FFFFFF"/>
            <w:noWrap/>
            <w:vAlign w:val="bottom"/>
            <w:hideMark/>
          </w:tcPr>
          <w:p w14:paraId="352CAA79" w14:textId="77777777" w:rsidR="00765F47" w:rsidRPr="00086601" w:rsidRDefault="00765F47" w:rsidP="00765F47">
            <w:pPr>
              <w:spacing w:after="0" w:line="240" w:lineRule="auto"/>
              <w:jc w:val="right"/>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0.01</w:t>
            </w:r>
          </w:p>
        </w:tc>
        <w:tc>
          <w:tcPr>
            <w:tcW w:w="1064" w:type="dxa"/>
            <w:tcBorders>
              <w:top w:val="single" w:sz="4" w:space="0" w:color="auto"/>
              <w:left w:val="nil"/>
              <w:bottom w:val="single" w:sz="4" w:space="0" w:color="auto"/>
              <w:right w:val="nil"/>
            </w:tcBorders>
            <w:shd w:val="clear" w:color="000000" w:fill="FFFFFF"/>
            <w:noWrap/>
            <w:vAlign w:val="bottom"/>
            <w:hideMark/>
          </w:tcPr>
          <w:p w14:paraId="0D94BC4D" w14:textId="77777777" w:rsidR="00765F47" w:rsidRPr="00086601" w:rsidRDefault="00765F47" w:rsidP="00765F47">
            <w:pPr>
              <w:spacing w:after="0" w:line="240" w:lineRule="auto"/>
              <w:jc w:val="right"/>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0.08</w:t>
            </w:r>
          </w:p>
        </w:tc>
      </w:tr>
    </w:tbl>
    <w:p w14:paraId="7CB320C3" w14:textId="2603DE3B" w:rsidR="00765F47" w:rsidRPr="00086601" w:rsidRDefault="00765F47" w:rsidP="00765F47">
      <w:pPr>
        <w:spacing w:line="480" w:lineRule="auto"/>
        <w:jc w:val="both"/>
        <w:rPr>
          <w:rFonts w:ascii="Garamond" w:eastAsiaTheme="minorEastAsia" w:hAnsi="Garamond"/>
          <w:b/>
          <w:bCs/>
          <w:sz w:val="24"/>
          <w:szCs w:val="24"/>
        </w:rPr>
      </w:pPr>
    </w:p>
    <w:p w14:paraId="7D714044" w14:textId="0C5B08D1" w:rsidR="006359D7" w:rsidRPr="00086601" w:rsidRDefault="006359D7" w:rsidP="00765F47">
      <w:pPr>
        <w:spacing w:line="480" w:lineRule="auto"/>
        <w:jc w:val="both"/>
        <w:rPr>
          <w:rFonts w:ascii="Garamond" w:eastAsiaTheme="minorEastAsia" w:hAnsi="Garamond"/>
          <w:b/>
          <w:bCs/>
          <w:sz w:val="24"/>
          <w:szCs w:val="24"/>
        </w:rPr>
      </w:pPr>
      <w:r w:rsidRPr="00086601">
        <w:rPr>
          <w:rFonts w:ascii="Garamond" w:eastAsiaTheme="minorEastAsia" w:hAnsi="Garamond"/>
          <w:sz w:val="24"/>
          <w:szCs w:val="24"/>
        </w:rPr>
        <w:lastRenderedPageBreak/>
        <w:t>The following table shows the results form the regression model stated in the hypothesis. The table includes the coefficient and p values for the model when DUVOL or NCSKEW were used as the target value. For each respective target used in the model, the R^2 and number of observations are listed.</w:t>
      </w:r>
    </w:p>
    <w:tbl>
      <w:tblPr>
        <w:tblW w:w="5100" w:type="dxa"/>
        <w:tblLook w:val="04A0" w:firstRow="1" w:lastRow="0" w:firstColumn="1" w:lastColumn="0" w:noHBand="0" w:noVBand="1"/>
      </w:tblPr>
      <w:tblGrid>
        <w:gridCol w:w="1518"/>
        <w:gridCol w:w="830"/>
        <w:gridCol w:w="961"/>
        <w:gridCol w:w="830"/>
        <w:gridCol w:w="961"/>
      </w:tblGrid>
      <w:tr w:rsidR="00765F47" w:rsidRPr="00086601" w14:paraId="772EADF5" w14:textId="77777777" w:rsidTr="00765F47">
        <w:trPr>
          <w:trHeight w:val="285"/>
        </w:trPr>
        <w:tc>
          <w:tcPr>
            <w:tcW w:w="5100" w:type="dxa"/>
            <w:gridSpan w:val="5"/>
            <w:tcBorders>
              <w:top w:val="nil"/>
              <w:left w:val="nil"/>
              <w:bottom w:val="single" w:sz="4" w:space="0" w:color="auto"/>
              <w:right w:val="nil"/>
            </w:tcBorders>
            <w:shd w:val="clear" w:color="000000" w:fill="FFFFFF"/>
            <w:noWrap/>
            <w:vAlign w:val="bottom"/>
            <w:hideMark/>
          </w:tcPr>
          <w:p w14:paraId="5581FF5E" w14:textId="77777777" w:rsidR="00765F47" w:rsidRPr="00086601" w:rsidRDefault="00765F47" w:rsidP="00765F47">
            <w:pPr>
              <w:spacing w:after="0" w:line="240" w:lineRule="auto"/>
              <w:jc w:val="center"/>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Hypothesis 1</w:t>
            </w:r>
          </w:p>
        </w:tc>
      </w:tr>
      <w:tr w:rsidR="00765F47" w:rsidRPr="00086601" w14:paraId="32C94B48" w14:textId="77777777" w:rsidTr="00765F47">
        <w:trPr>
          <w:trHeight w:val="285"/>
        </w:trPr>
        <w:tc>
          <w:tcPr>
            <w:tcW w:w="1518" w:type="dxa"/>
            <w:tcBorders>
              <w:top w:val="nil"/>
              <w:left w:val="nil"/>
              <w:bottom w:val="nil"/>
              <w:right w:val="nil"/>
            </w:tcBorders>
            <w:shd w:val="clear" w:color="000000" w:fill="FFFFFF"/>
            <w:noWrap/>
            <w:vAlign w:val="bottom"/>
            <w:hideMark/>
          </w:tcPr>
          <w:p w14:paraId="54D49706"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 </w:t>
            </w:r>
          </w:p>
        </w:tc>
        <w:tc>
          <w:tcPr>
            <w:tcW w:w="3582" w:type="dxa"/>
            <w:gridSpan w:val="4"/>
            <w:tcBorders>
              <w:top w:val="nil"/>
              <w:left w:val="nil"/>
              <w:bottom w:val="single" w:sz="4" w:space="0" w:color="auto"/>
              <w:right w:val="nil"/>
            </w:tcBorders>
            <w:shd w:val="clear" w:color="000000" w:fill="FFFFFF"/>
            <w:noWrap/>
            <w:vAlign w:val="bottom"/>
            <w:hideMark/>
          </w:tcPr>
          <w:p w14:paraId="7AB2A74E"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Crash Risk Measure</w:t>
            </w:r>
          </w:p>
        </w:tc>
      </w:tr>
      <w:tr w:rsidR="00765F47" w:rsidRPr="00086601" w14:paraId="29146170" w14:textId="77777777" w:rsidTr="00765F47">
        <w:trPr>
          <w:trHeight w:val="285"/>
        </w:trPr>
        <w:tc>
          <w:tcPr>
            <w:tcW w:w="1518" w:type="dxa"/>
            <w:tcBorders>
              <w:top w:val="nil"/>
              <w:left w:val="nil"/>
              <w:bottom w:val="nil"/>
              <w:right w:val="nil"/>
            </w:tcBorders>
            <w:shd w:val="clear" w:color="000000" w:fill="FFFFFF"/>
            <w:noWrap/>
            <w:vAlign w:val="bottom"/>
            <w:hideMark/>
          </w:tcPr>
          <w:p w14:paraId="6F59CB04"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 </w:t>
            </w:r>
          </w:p>
        </w:tc>
        <w:tc>
          <w:tcPr>
            <w:tcW w:w="1791" w:type="dxa"/>
            <w:gridSpan w:val="2"/>
            <w:tcBorders>
              <w:top w:val="nil"/>
              <w:left w:val="nil"/>
              <w:bottom w:val="nil"/>
              <w:right w:val="nil"/>
            </w:tcBorders>
            <w:shd w:val="clear" w:color="000000" w:fill="FFFFFF"/>
            <w:noWrap/>
            <w:vAlign w:val="bottom"/>
            <w:hideMark/>
          </w:tcPr>
          <w:p w14:paraId="62CE4BB1"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DUVOL</w:t>
            </w:r>
          </w:p>
        </w:tc>
        <w:tc>
          <w:tcPr>
            <w:tcW w:w="1791" w:type="dxa"/>
            <w:gridSpan w:val="2"/>
            <w:tcBorders>
              <w:top w:val="nil"/>
              <w:left w:val="nil"/>
              <w:bottom w:val="nil"/>
              <w:right w:val="nil"/>
            </w:tcBorders>
            <w:shd w:val="clear" w:color="000000" w:fill="FFFFFF"/>
            <w:noWrap/>
            <w:vAlign w:val="bottom"/>
            <w:hideMark/>
          </w:tcPr>
          <w:p w14:paraId="1F3AAD3B"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NCSKEW</w:t>
            </w:r>
          </w:p>
        </w:tc>
      </w:tr>
      <w:tr w:rsidR="00765F47" w:rsidRPr="00086601" w14:paraId="765E54E6" w14:textId="77777777" w:rsidTr="00765F47">
        <w:trPr>
          <w:trHeight w:val="285"/>
        </w:trPr>
        <w:tc>
          <w:tcPr>
            <w:tcW w:w="1518" w:type="dxa"/>
            <w:tcBorders>
              <w:top w:val="single" w:sz="4" w:space="0" w:color="auto"/>
              <w:left w:val="nil"/>
              <w:bottom w:val="single" w:sz="4" w:space="0" w:color="auto"/>
              <w:right w:val="nil"/>
            </w:tcBorders>
            <w:shd w:val="clear" w:color="000000" w:fill="FFFFFF"/>
            <w:noWrap/>
            <w:vAlign w:val="bottom"/>
            <w:hideMark/>
          </w:tcPr>
          <w:p w14:paraId="0DEAD796" w14:textId="77777777" w:rsidR="00765F47" w:rsidRPr="00086601" w:rsidRDefault="00765F47" w:rsidP="00765F47">
            <w:pPr>
              <w:spacing w:after="0" w:line="240" w:lineRule="auto"/>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Model</w:t>
            </w:r>
          </w:p>
        </w:tc>
        <w:tc>
          <w:tcPr>
            <w:tcW w:w="830" w:type="dxa"/>
            <w:tcBorders>
              <w:top w:val="single" w:sz="4" w:space="0" w:color="auto"/>
              <w:left w:val="nil"/>
              <w:bottom w:val="single" w:sz="4" w:space="0" w:color="auto"/>
              <w:right w:val="nil"/>
            </w:tcBorders>
            <w:shd w:val="clear" w:color="000000" w:fill="FFFFFF"/>
            <w:noWrap/>
            <w:vAlign w:val="bottom"/>
            <w:hideMark/>
          </w:tcPr>
          <w:p w14:paraId="055D5D6D"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proofErr w:type="spellStart"/>
            <w:r w:rsidRPr="00086601">
              <w:rPr>
                <w:rFonts w:ascii="Garamond" w:eastAsia="Times New Roman" w:hAnsi="Garamond" w:cs="Calibri"/>
                <w:b/>
                <w:bCs/>
                <w:color w:val="000000"/>
                <w:sz w:val="24"/>
                <w:szCs w:val="24"/>
              </w:rPr>
              <w:t>Coef</w:t>
            </w:r>
            <w:proofErr w:type="spellEnd"/>
          </w:p>
        </w:tc>
        <w:tc>
          <w:tcPr>
            <w:tcW w:w="961" w:type="dxa"/>
            <w:tcBorders>
              <w:top w:val="single" w:sz="4" w:space="0" w:color="auto"/>
              <w:left w:val="nil"/>
              <w:bottom w:val="single" w:sz="4" w:space="0" w:color="auto"/>
              <w:right w:val="nil"/>
            </w:tcBorders>
            <w:shd w:val="clear" w:color="000000" w:fill="FFFFFF"/>
            <w:noWrap/>
            <w:vAlign w:val="bottom"/>
            <w:hideMark/>
          </w:tcPr>
          <w:p w14:paraId="69D5E075"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p value</w:t>
            </w:r>
          </w:p>
        </w:tc>
        <w:tc>
          <w:tcPr>
            <w:tcW w:w="830" w:type="dxa"/>
            <w:tcBorders>
              <w:top w:val="single" w:sz="4" w:space="0" w:color="auto"/>
              <w:left w:val="nil"/>
              <w:bottom w:val="single" w:sz="4" w:space="0" w:color="auto"/>
              <w:right w:val="nil"/>
            </w:tcBorders>
            <w:shd w:val="clear" w:color="000000" w:fill="FFFFFF"/>
            <w:noWrap/>
            <w:vAlign w:val="bottom"/>
            <w:hideMark/>
          </w:tcPr>
          <w:p w14:paraId="4D10DBBE"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proofErr w:type="spellStart"/>
            <w:r w:rsidRPr="00086601">
              <w:rPr>
                <w:rFonts w:ascii="Garamond" w:eastAsia="Times New Roman" w:hAnsi="Garamond" w:cs="Calibri"/>
                <w:b/>
                <w:bCs/>
                <w:color w:val="000000"/>
                <w:sz w:val="24"/>
                <w:szCs w:val="24"/>
              </w:rPr>
              <w:t>Coef</w:t>
            </w:r>
            <w:proofErr w:type="spellEnd"/>
          </w:p>
        </w:tc>
        <w:tc>
          <w:tcPr>
            <w:tcW w:w="961" w:type="dxa"/>
            <w:tcBorders>
              <w:top w:val="single" w:sz="4" w:space="0" w:color="auto"/>
              <w:left w:val="nil"/>
              <w:bottom w:val="single" w:sz="4" w:space="0" w:color="auto"/>
              <w:right w:val="nil"/>
            </w:tcBorders>
            <w:shd w:val="clear" w:color="000000" w:fill="FFFFFF"/>
            <w:noWrap/>
            <w:vAlign w:val="bottom"/>
            <w:hideMark/>
          </w:tcPr>
          <w:p w14:paraId="1ACAEFCD"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p value</w:t>
            </w:r>
          </w:p>
        </w:tc>
      </w:tr>
      <w:tr w:rsidR="00765F47" w:rsidRPr="00086601" w14:paraId="0BCC629B" w14:textId="77777777" w:rsidTr="00765F47">
        <w:trPr>
          <w:trHeight w:val="285"/>
        </w:trPr>
        <w:tc>
          <w:tcPr>
            <w:tcW w:w="1518" w:type="dxa"/>
            <w:tcBorders>
              <w:top w:val="nil"/>
              <w:left w:val="nil"/>
              <w:bottom w:val="nil"/>
              <w:right w:val="nil"/>
            </w:tcBorders>
            <w:shd w:val="clear" w:color="000000" w:fill="FFFFFF"/>
            <w:noWrap/>
            <w:vAlign w:val="bottom"/>
            <w:hideMark/>
          </w:tcPr>
          <w:p w14:paraId="1BEBFC0F" w14:textId="625C040C" w:rsidR="00765F47" w:rsidRPr="00086601" w:rsidRDefault="006359D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C</w:t>
            </w:r>
            <w:r w:rsidR="00765F47" w:rsidRPr="00086601">
              <w:rPr>
                <w:rFonts w:ascii="Garamond" w:eastAsia="Times New Roman" w:hAnsi="Garamond" w:cs="Calibri"/>
                <w:color w:val="000000"/>
                <w:sz w:val="24"/>
                <w:szCs w:val="24"/>
              </w:rPr>
              <w:t>onst</w:t>
            </w:r>
          </w:p>
        </w:tc>
        <w:tc>
          <w:tcPr>
            <w:tcW w:w="830" w:type="dxa"/>
            <w:tcBorders>
              <w:top w:val="nil"/>
              <w:left w:val="nil"/>
              <w:bottom w:val="nil"/>
              <w:right w:val="nil"/>
            </w:tcBorders>
            <w:shd w:val="clear" w:color="000000" w:fill="FFFFFF"/>
            <w:noWrap/>
            <w:vAlign w:val="bottom"/>
            <w:hideMark/>
          </w:tcPr>
          <w:p w14:paraId="473192B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0.023</w:t>
            </w:r>
          </w:p>
        </w:tc>
        <w:tc>
          <w:tcPr>
            <w:tcW w:w="961" w:type="dxa"/>
            <w:tcBorders>
              <w:top w:val="nil"/>
              <w:left w:val="nil"/>
              <w:bottom w:val="nil"/>
              <w:right w:val="nil"/>
            </w:tcBorders>
            <w:shd w:val="clear" w:color="000000" w:fill="FFFFFF"/>
            <w:noWrap/>
            <w:vAlign w:val="bottom"/>
            <w:hideMark/>
          </w:tcPr>
          <w:p w14:paraId="53D5F9A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0.021</w:t>
            </w:r>
          </w:p>
        </w:tc>
        <w:tc>
          <w:tcPr>
            <w:tcW w:w="830" w:type="dxa"/>
            <w:tcBorders>
              <w:top w:val="nil"/>
              <w:left w:val="nil"/>
              <w:bottom w:val="nil"/>
              <w:right w:val="nil"/>
            </w:tcBorders>
            <w:shd w:val="clear" w:color="000000" w:fill="FFFFFF"/>
            <w:noWrap/>
            <w:vAlign w:val="bottom"/>
            <w:hideMark/>
          </w:tcPr>
          <w:p w14:paraId="52D6611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0.144</w:t>
            </w:r>
          </w:p>
        </w:tc>
        <w:tc>
          <w:tcPr>
            <w:tcW w:w="961" w:type="dxa"/>
            <w:tcBorders>
              <w:top w:val="nil"/>
              <w:left w:val="nil"/>
              <w:bottom w:val="nil"/>
              <w:right w:val="nil"/>
            </w:tcBorders>
            <w:shd w:val="clear" w:color="000000" w:fill="FFFFFF"/>
            <w:noWrap/>
            <w:vAlign w:val="bottom"/>
            <w:hideMark/>
          </w:tcPr>
          <w:p w14:paraId="055793C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0.000</w:t>
            </w:r>
          </w:p>
        </w:tc>
      </w:tr>
      <w:tr w:rsidR="00765F47" w:rsidRPr="00086601" w14:paraId="40171AAA" w14:textId="77777777" w:rsidTr="00765F47">
        <w:trPr>
          <w:trHeight w:val="285"/>
        </w:trPr>
        <w:tc>
          <w:tcPr>
            <w:tcW w:w="1518" w:type="dxa"/>
            <w:tcBorders>
              <w:top w:val="nil"/>
              <w:left w:val="nil"/>
              <w:bottom w:val="nil"/>
              <w:right w:val="nil"/>
            </w:tcBorders>
            <w:shd w:val="clear" w:color="000000" w:fill="FFFFFF"/>
            <w:noWrap/>
            <w:vAlign w:val="bottom"/>
            <w:hideMark/>
          </w:tcPr>
          <w:p w14:paraId="3AEF81B7" w14:textId="77777777" w:rsidR="00765F47" w:rsidRPr="00086601" w:rsidRDefault="00765F47" w:rsidP="00765F47">
            <w:pPr>
              <w:spacing w:after="0" w:line="240" w:lineRule="auto"/>
              <w:rPr>
                <w:rFonts w:ascii="Garamond" w:eastAsia="Times New Roman" w:hAnsi="Garamond" w:cs="Calibri"/>
                <w:color w:val="000000"/>
                <w:sz w:val="24"/>
                <w:szCs w:val="24"/>
              </w:rPr>
            </w:pPr>
            <w:proofErr w:type="spellStart"/>
            <w:r w:rsidRPr="00086601">
              <w:rPr>
                <w:rFonts w:ascii="Garamond" w:eastAsia="Times New Roman" w:hAnsi="Garamond" w:cs="Calibri"/>
                <w:color w:val="000000"/>
                <w:sz w:val="24"/>
                <w:szCs w:val="24"/>
              </w:rPr>
              <w:t>GDPGrowth</w:t>
            </w:r>
            <w:proofErr w:type="spellEnd"/>
          </w:p>
        </w:tc>
        <w:tc>
          <w:tcPr>
            <w:tcW w:w="830" w:type="dxa"/>
            <w:tcBorders>
              <w:top w:val="nil"/>
              <w:left w:val="nil"/>
              <w:bottom w:val="nil"/>
              <w:right w:val="nil"/>
            </w:tcBorders>
            <w:shd w:val="clear" w:color="000000" w:fill="FFFFFF"/>
            <w:noWrap/>
            <w:vAlign w:val="bottom"/>
            <w:hideMark/>
          </w:tcPr>
          <w:p w14:paraId="1150262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-0.004</w:t>
            </w:r>
          </w:p>
        </w:tc>
        <w:tc>
          <w:tcPr>
            <w:tcW w:w="961" w:type="dxa"/>
            <w:tcBorders>
              <w:top w:val="nil"/>
              <w:left w:val="nil"/>
              <w:bottom w:val="nil"/>
              <w:right w:val="nil"/>
            </w:tcBorders>
            <w:shd w:val="clear" w:color="000000" w:fill="FFFFFF"/>
            <w:noWrap/>
            <w:vAlign w:val="bottom"/>
            <w:hideMark/>
          </w:tcPr>
          <w:p w14:paraId="4AD50D8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0.069</w:t>
            </w:r>
          </w:p>
        </w:tc>
        <w:tc>
          <w:tcPr>
            <w:tcW w:w="830" w:type="dxa"/>
            <w:tcBorders>
              <w:top w:val="nil"/>
              <w:left w:val="nil"/>
              <w:bottom w:val="nil"/>
              <w:right w:val="nil"/>
            </w:tcBorders>
            <w:shd w:val="clear" w:color="000000" w:fill="FFFFFF"/>
            <w:noWrap/>
            <w:vAlign w:val="bottom"/>
            <w:hideMark/>
          </w:tcPr>
          <w:p w14:paraId="6A758A1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-0.021</w:t>
            </w:r>
          </w:p>
        </w:tc>
        <w:tc>
          <w:tcPr>
            <w:tcW w:w="961" w:type="dxa"/>
            <w:tcBorders>
              <w:top w:val="nil"/>
              <w:left w:val="nil"/>
              <w:bottom w:val="nil"/>
              <w:right w:val="nil"/>
            </w:tcBorders>
            <w:shd w:val="clear" w:color="000000" w:fill="FFFFFF"/>
            <w:noWrap/>
            <w:vAlign w:val="bottom"/>
            <w:hideMark/>
          </w:tcPr>
          <w:p w14:paraId="3A3FE3E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0.011</w:t>
            </w:r>
          </w:p>
        </w:tc>
      </w:tr>
      <w:tr w:rsidR="00765F47" w:rsidRPr="00086601" w14:paraId="4CE7875B" w14:textId="77777777" w:rsidTr="00765F47">
        <w:trPr>
          <w:trHeight w:val="285"/>
        </w:trPr>
        <w:tc>
          <w:tcPr>
            <w:tcW w:w="1518" w:type="dxa"/>
            <w:tcBorders>
              <w:top w:val="nil"/>
              <w:left w:val="nil"/>
              <w:bottom w:val="nil"/>
              <w:right w:val="nil"/>
            </w:tcBorders>
            <w:shd w:val="clear" w:color="000000" w:fill="FFFFFF"/>
            <w:noWrap/>
            <w:vAlign w:val="bottom"/>
            <w:hideMark/>
          </w:tcPr>
          <w:p w14:paraId="5166CE5D" w14:textId="77777777" w:rsidR="00765F47" w:rsidRPr="00086601" w:rsidRDefault="00765F47" w:rsidP="00765F47">
            <w:pPr>
              <w:spacing w:after="0" w:line="240" w:lineRule="auto"/>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R^2</w:t>
            </w:r>
          </w:p>
        </w:tc>
        <w:tc>
          <w:tcPr>
            <w:tcW w:w="830" w:type="dxa"/>
            <w:tcBorders>
              <w:top w:val="nil"/>
              <w:left w:val="nil"/>
              <w:bottom w:val="nil"/>
              <w:right w:val="nil"/>
            </w:tcBorders>
            <w:shd w:val="clear" w:color="000000" w:fill="FFFFFF"/>
            <w:noWrap/>
            <w:vAlign w:val="bottom"/>
            <w:hideMark/>
          </w:tcPr>
          <w:p w14:paraId="7007A11F" w14:textId="77777777" w:rsidR="00765F47" w:rsidRPr="00086601" w:rsidRDefault="00765F47" w:rsidP="00765F47">
            <w:pPr>
              <w:spacing w:after="0" w:line="240" w:lineRule="auto"/>
              <w:jc w:val="right"/>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0.003</w:t>
            </w:r>
          </w:p>
        </w:tc>
        <w:tc>
          <w:tcPr>
            <w:tcW w:w="961" w:type="dxa"/>
            <w:tcBorders>
              <w:top w:val="nil"/>
              <w:left w:val="nil"/>
              <w:bottom w:val="nil"/>
              <w:right w:val="nil"/>
            </w:tcBorders>
            <w:shd w:val="clear" w:color="000000" w:fill="FFFFFF"/>
            <w:noWrap/>
            <w:vAlign w:val="bottom"/>
            <w:hideMark/>
          </w:tcPr>
          <w:p w14:paraId="6FBD0C35" w14:textId="77777777" w:rsidR="00765F47" w:rsidRPr="00086601" w:rsidRDefault="00765F47" w:rsidP="00765F47">
            <w:pPr>
              <w:spacing w:after="0" w:line="240" w:lineRule="auto"/>
              <w:jc w:val="right"/>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 </w:t>
            </w:r>
          </w:p>
        </w:tc>
        <w:tc>
          <w:tcPr>
            <w:tcW w:w="830" w:type="dxa"/>
            <w:tcBorders>
              <w:top w:val="nil"/>
              <w:left w:val="nil"/>
              <w:bottom w:val="nil"/>
              <w:right w:val="nil"/>
            </w:tcBorders>
            <w:shd w:val="clear" w:color="000000" w:fill="FFFFFF"/>
            <w:noWrap/>
            <w:vAlign w:val="bottom"/>
            <w:hideMark/>
          </w:tcPr>
          <w:p w14:paraId="428A4776" w14:textId="77777777" w:rsidR="00765F47" w:rsidRPr="00086601" w:rsidRDefault="00765F47" w:rsidP="00765F47">
            <w:pPr>
              <w:spacing w:after="0" w:line="240" w:lineRule="auto"/>
              <w:jc w:val="right"/>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0.006</w:t>
            </w:r>
          </w:p>
        </w:tc>
        <w:tc>
          <w:tcPr>
            <w:tcW w:w="961" w:type="dxa"/>
            <w:tcBorders>
              <w:top w:val="nil"/>
              <w:left w:val="nil"/>
              <w:bottom w:val="nil"/>
              <w:right w:val="nil"/>
            </w:tcBorders>
            <w:shd w:val="clear" w:color="000000" w:fill="FFFFFF"/>
            <w:noWrap/>
            <w:vAlign w:val="bottom"/>
            <w:hideMark/>
          </w:tcPr>
          <w:p w14:paraId="4DE45D99" w14:textId="77777777" w:rsidR="00765F47" w:rsidRPr="00086601" w:rsidRDefault="00765F47" w:rsidP="00765F47">
            <w:pPr>
              <w:spacing w:after="0" w:line="240" w:lineRule="auto"/>
              <w:jc w:val="right"/>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 </w:t>
            </w:r>
          </w:p>
        </w:tc>
      </w:tr>
      <w:tr w:rsidR="00765F47" w:rsidRPr="00086601" w14:paraId="3F15101A" w14:textId="77777777" w:rsidTr="00765F47">
        <w:trPr>
          <w:trHeight w:val="285"/>
        </w:trPr>
        <w:tc>
          <w:tcPr>
            <w:tcW w:w="1518" w:type="dxa"/>
            <w:tcBorders>
              <w:top w:val="nil"/>
              <w:left w:val="nil"/>
              <w:bottom w:val="single" w:sz="4" w:space="0" w:color="auto"/>
              <w:right w:val="nil"/>
            </w:tcBorders>
            <w:shd w:val="clear" w:color="000000" w:fill="FFFFFF"/>
            <w:noWrap/>
            <w:vAlign w:val="bottom"/>
            <w:hideMark/>
          </w:tcPr>
          <w:p w14:paraId="6940808D" w14:textId="38BB2170" w:rsidR="00765F47" w:rsidRPr="00086601" w:rsidRDefault="006359D7" w:rsidP="00765F47">
            <w:pPr>
              <w:spacing w:after="0" w:line="240" w:lineRule="auto"/>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n</w:t>
            </w:r>
          </w:p>
        </w:tc>
        <w:tc>
          <w:tcPr>
            <w:tcW w:w="830" w:type="dxa"/>
            <w:tcBorders>
              <w:top w:val="nil"/>
              <w:left w:val="nil"/>
              <w:bottom w:val="single" w:sz="4" w:space="0" w:color="auto"/>
              <w:right w:val="nil"/>
            </w:tcBorders>
            <w:shd w:val="clear" w:color="000000" w:fill="FFFFFF"/>
            <w:noWrap/>
            <w:vAlign w:val="bottom"/>
            <w:hideMark/>
          </w:tcPr>
          <w:p w14:paraId="6A90A0E6" w14:textId="77777777" w:rsidR="00765F47" w:rsidRPr="00086601" w:rsidRDefault="00765F47" w:rsidP="00765F47">
            <w:pPr>
              <w:spacing w:after="0" w:line="240" w:lineRule="auto"/>
              <w:jc w:val="right"/>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1051</w:t>
            </w:r>
          </w:p>
        </w:tc>
        <w:tc>
          <w:tcPr>
            <w:tcW w:w="961" w:type="dxa"/>
            <w:tcBorders>
              <w:top w:val="nil"/>
              <w:left w:val="nil"/>
              <w:bottom w:val="single" w:sz="4" w:space="0" w:color="auto"/>
              <w:right w:val="nil"/>
            </w:tcBorders>
            <w:shd w:val="clear" w:color="000000" w:fill="FFFFFF"/>
            <w:noWrap/>
            <w:vAlign w:val="bottom"/>
            <w:hideMark/>
          </w:tcPr>
          <w:p w14:paraId="4979852D" w14:textId="77777777" w:rsidR="00765F47" w:rsidRPr="00086601" w:rsidRDefault="00765F47" w:rsidP="00765F47">
            <w:pPr>
              <w:spacing w:after="0" w:line="240" w:lineRule="auto"/>
              <w:jc w:val="right"/>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 </w:t>
            </w:r>
          </w:p>
        </w:tc>
        <w:tc>
          <w:tcPr>
            <w:tcW w:w="830" w:type="dxa"/>
            <w:tcBorders>
              <w:top w:val="nil"/>
              <w:left w:val="nil"/>
              <w:bottom w:val="single" w:sz="4" w:space="0" w:color="auto"/>
              <w:right w:val="nil"/>
            </w:tcBorders>
            <w:shd w:val="clear" w:color="000000" w:fill="FFFFFF"/>
            <w:noWrap/>
            <w:vAlign w:val="bottom"/>
            <w:hideMark/>
          </w:tcPr>
          <w:p w14:paraId="55F6DF38" w14:textId="77777777" w:rsidR="00765F47" w:rsidRPr="00086601" w:rsidRDefault="00765F47" w:rsidP="00765F47">
            <w:pPr>
              <w:spacing w:after="0" w:line="240" w:lineRule="auto"/>
              <w:jc w:val="right"/>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1051</w:t>
            </w:r>
          </w:p>
        </w:tc>
        <w:tc>
          <w:tcPr>
            <w:tcW w:w="961" w:type="dxa"/>
            <w:tcBorders>
              <w:top w:val="nil"/>
              <w:left w:val="nil"/>
              <w:bottom w:val="single" w:sz="4" w:space="0" w:color="auto"/>
              <w:right w:val="nil"/>
            </w:tcBorders>
            <w:shd w:val="clear" w:color="000000" w:fill="FFFFFF"/>
            <w:noWrap/>
            <w:vAlign w:val="bottom"/>
            <w:hideMark/>
          </w:tcPr>
          <w:p w14:paraId="7ADE594E" w14:textId="77777777" w:rsidR="00765F47" w:rsidRPr="00086601" w:rsidRDefault="00765F47" w:rsidP="00765F47">
            <w:pPr>
              <w:spacing w:after="0" w:line="240" w:lineRule="auto"/>
              <w:jc w:val="right"/>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 </w:t>
            </w:r>
          </w:p>
        </w:tc>
      </w:tr>
    </w:tbl>
    <w:p w14:paraId="20FEEA7D" w14:textId="77777777" w:rsidR="006359D7" w:rsidRPr="00086601" w:rsidRDefault="006359D7" w:rsidP="00765F47">
      <w:pPr>
        <w:spacing w:line="480" w:lineRule="auto"/>
        <w:jc w:val="both"/>
        <w:rPr>
          <w:rFonts w:ascii="Garamond" w:eastAsiaTheme="minorEastAsia" w:hAnsi="Garamond"/>
          <w:sz w:val="24"/>
          <w:szCs w:val="24"/>
        </w:rPr>
      </w:pPr>
    </w:p>
    <w:p w14:paraId="284CBCFB" w14:textId="3EB229E7" w:rsidR="006359D7" w:rsidRPr="00086601" w:rsidRDefault="006359D7" w:rsidP="00765F47">
      <w:pPr>
        <w:spacing w:line="480" w:lineRule="auto"/>
        <w:jc w:val="both"/>
        <w:rPr>
          <w:rFonts w:ascii="Garamond" w:eastAsiaTheme="minorEastAsia" w:hAnsi="Garamond"/>
          <w:sz w:val="24"/>
          <w:szCs w:val="24"/>
        </w:rPr>
      </w:pPr>
      <w:r w:rsidRPr="00086601">
        <w:rPr>
          <w:rFonts w:ascii="Garamond" w:eastAsiaTheme="minorEastAsia" w:hAnsi="Garamond"/>
          <w:sz w:val="24"/>
          <w:szCs w:val="24"/>
        </w:rPr>
        <w:t>The table above indicates significance for both coefficients</w:t>
      </w:r>
      <w:r w:rsidR="002672DA" w:rsidRPr="00086601">
        <w:rPr>
          <w:rFonts w:ascii="Garamond" w:eastAsiaTheme="minorEastAsia" w:hAnsi="Garamond"/>
          <w:sz w:val="24"/>
          <w:szCs w:val="24"/>
        </w:rPr>
        <w:t xml:space="preserve"> at a 95% confidence level</w:t>
      </w:r>
      <w:r w:rsidRPr="00086601">
        <w:rPr>
          <w:rFonts w:ascii="Garamond" w:eastAsiaTheme="minorEastAsia" w:hAnsi="Garamond"/>
          <w:sz w:val="24"/>
          <w:szCs w:val="24"/>
        </w:rPr>
        <w:t xml:space="preserve">, the constant and the independent variable </w:t>
      </w:r>
      <w:proofErr w:type="spellStart"/>
      <w:r w:rsidRPr="00086601">
        <w:rPr>
          <w:rFonts w:ascii="Garamond" w:eastAsiaTheme="minorEastAsia" w:hAnsi="Garamond"/>
          <w:sz w:val="24"/>
          <w:szCs w:val="24"/>
        </w:rPr>
        <w:t>GDPGrowth</w:t>
      </w:r>
      <w:proofErr w:type="spellEnd"/>
      <w:r w:rsidRPr="00086601">
        <w:rPr>
          <w:rFonts w:ascii="Garamond" w:eastAsiaTheme="minorEastAsia" w:hAnsi="Garamond"/>
          <w:sz w:val="24"/>
          <w:szCs w:val="24"/>
        </w:rPr>
        <w:t xml:space="preserve">, in the NCSKEW model. In the </w:t>
      </w:r>
      <w:r w:rsidR="002672DA" w:rsidRPr="00086601">
        <w:rPr>
          <w:rFonts w:ascii="Garamond" w:eastAsiaTheme="minorEastAsia" w:hAnsi="Garamond"/>
          <w:sz w:val="24"/>
          <w:szCs w:val="24"/>
        </w:rPr>
        <w:t xml:space="preserve">DUVOL model, the results for the dependent variable, </w:t>
      </w:r>
      <w:proofErr w:type="spellStart"/>
      <w:r w:rsidR="002672DA" w:rsidRPr="00086601">
        <w:rPr>
          <w:rFonts w:ascii="Garamond" w:eastAsiaTheme="minorEastAsia" w:hAnsi="Garamond"/>
          <w:sz w:val="24"/>
          <w:szCs w:val="24"/>
        </w:rPr>
        <w:t>GDPGrowth</w:t>
      </w:r>
      <w:proofErr w:type="spellEnd"/>
      <w:r w:rsidR="002672DA" w:rsidRPr="00086601">
        <w:rPr>
          <w:rFonts w:ascii="Garamond" w:eastAsiaTheme="minorEastAsia" w:hAnsi="Garamond"/>
          <w:sz w:val="24"/>
          <w:szCs w:val="24"/>
        </w:rPr>
        <w:t xml:space="preserve">, did not result in significance at the 95% confidence level. The constant parameter does indicate significance at the 95% confidence level. In conclusion, </w:t>
      </w:r>
      <w:proofErr w:type="spellStart"/>
      <w:r w:rsidR="002672DA" w:rsidRPr="00086601">
        <w:rPr>
          <w:rFonts w:ascii="Garamond" w:eastAsiaTheme="minorEastAsia" w:hAnsi="Garamond"/>
          <w:sz w:val="24"/>
          <w:szCs w:val="24"/>
        </w:rPr>
        <w:t>GDPGrowth</w:t>
      </w:r>
      <w:proofErr w:type="spellEnd"/>
      <w:r w:rsidR="002672DA" w:rsidRPr="00086601">
        <w:rPr>
          <w:rFonts w:ascii="Garamond" w:eastAsiaTheme="minorEastAsia" w:hAnsi="Garamond"/>
          <w:sz w:val="24"/>
          <w:szCs w:val="24"/>
        </w:rPr>
        <w:t xml:space="preserve"> has a significant relationship with the NCSKEW measure of crash risk at the 95% confidence level. The independent variable </w:t>
      </w:r>
      <w:proofErr w:type="spellStart"/>
      <w:r w:rsidR="002672DA" w:rsidRPr="00086601">
        <w:rPr>
          <w:rFonts w:ascii="Garamond" w:eastAsiaTheme="minorEastAsia" w:hAnsi="Garamond"/>
          <w:sz w:val="24"/>
          <w:szCs w:val="24"/>
        </w:rPr>
        <w:t>GDPGrowth</w:t>
      </w:r>
      <w:proofErr w:type="spellEnd"/>
      <w:r w:rsidR="002672DA" w:rsidRPr="00086601">
        <w:rPr>
          <w:rFonts w:ascii="Garamond" w:eastAsiaTheme="minorEastAsia" w:hAnsi="Garamond"/>
          <w:sz w:val="24"/>
          <w:szCs w:val="24"/>
        </w:rPr>
        <w:t xml:space="preserve"> does not have a significant relationship with the DUVOL measure of crash risk at the 95% confidence level.</w:t>
      </w:r>
    </w:p>
    <w:p w14:paraId="18619031" w14:textId="30ECCB4F" w:rsidR="002672DA" w:rsidRPr="001F758F" w:rsidRDefault="002672DA" w:rsidP="001F758F">
      <w:pPr>
        <w:pStyle w:val="Heading3"/>
        <w:spacing w:after="240"/>
        <w:rPr>
          <w:rFonts w:ascii="Garamond" w:eastAsiaTheme="minorEastAsia" w:hAnsi="Garamond"/>
          <w:b/>
          <w:bCs/>
          <w:color w:val="000000" w:themeColor="text1"/>
        </w:rPr>
      </w:pPr>
      <w:r w:rsidRPr="001F758F">
        <w:rPr>
          <w:rFonts w:ascii="Garamond" w:eastAsiaTheme="minorEastAsia" w:hAnsi="Garamond"/>
          <w:b/>
          <w:bCs/>
          <w:color w:val="000000" w:themeColor="text1"/>
        </w:rPr>
        <w:t>Hypothesis 2: The effects of gross domestic product per capita and crash risk</w:t>
      </w:r>
    </w:p>
    <w:p w14:paraId="59916C5D" w14:textId="5AFE5F15" w:rsidR="002672DA" w:rsidRPr="00086601" w:rsidRDefault="002672DA" w:rsidP="002672DA">
      <w:pPr>
        <w:spacing w:line="480" w:lineRule="auto"/>
        <w:rPr>
          <w:rFonts w:ascii="Garamond" w:hAnsi="Garamond"/>
          <w:sz w:val="24"/>
          <w:szCs w:val="24"/>
        </w:rPr>
      </w:pPr>
      <w:r w:rsidRPr="00086601">
        <w:rPr>
          <w:rFonts w:ascii="Garamond" w:hAnsi="Garamond"/>
          <w:sz w:val="24"/>
          <w:szCs w:val="24"/>
        </w:rPr>
        <w:t xml:space="preserve">The hypothesis was analyzed at the aggregate level of every country’s crash risk and gross domestic product per capita for years available in the period 2000 to 2018. The table below shows the sample of data distributed over the time period. Year 2019 was excluded due to the annual gross domestic product data not available from the source. The table also shows the number of observations in each year, the weight that the observations of each year have over the entire period, and average annual values for </w:t>
      </w:r>
      <w:proofErr w:type="spellStart"/>
      <w:r w:rsidRPr="00086601">
        <w:rPr>
          <w:rFonts w:ascii="Garamond" w:hAnsi="Garamond"/>
          <w:sz w:val="24"/>
          <w:szCs w:val="24"/>
        </w:rPr>
        <w:t>GDPPerCapita</w:t>
      </w:r>
      <w:proofErr w:type="spellEnd"/>
      <w:r w:rsidRPr="00086601">
        <w:rPr>
          <w:rFonts w:ascii="Garamond" w:hAnsi="Garamond"/>
          <w:sz w:val="24"/>
          <w:szCs w:val="24"/>
        </w:rPr>
        <w:t>, DUVOL, and NCSKEW.</w:t>
      </w:r>
    </w:p>
    <w:tbl>
      <w:tblPr>
        <w:tblW w:w="6120" w:type="dxa"/>
        <w:tblLook w:val="04A0" w:firstRow="1" w:lastRow="0" w:firstColumn="1" w:lastColumn="0" w:noHBand="0" w:noVBand="1"/>
      </w:tblPr>
      <w:tblGrid>
        <w:gridCol w:w="759"/>
        <w:gridCol w:w="1294"/>
        <w:gridCol w:w="992"/>
        <w:gridCol w:w="1737"/>
        <w:gridCol w:w="1089"/>
        <w:gridCol w:w="1252"/>
      </w:tblGrid>
      <w:tr w:rsidR="00765F47" w:rsidRPr="00086601" w14:paraId="6CDA8827" w14:textId="77777777" w:rsidTr="00765F47">
        <w:trPr>
          <w:trHeight w:val="285"/>
        </w:trPr>
        <w:tc>
          <w:tcPr>
            <w:tcW w:w="6120" w:type="dxa"/>
            <w:gridSpan w:val="6"/>
            <w:tcBorders>
              <w:top w:val="nil"/>
              <w:left w:val="nil"/>
              <w:bottom w:val="single" w:sz="4" w:space="0" w:color="auto"/>
              <w:right w:val="nil"/>
            </w:tcBorders>
            <w:shd w:val="clear" w:color="auto" w:fill="auto"/>
            <w:noWrap/>
            <w:vAlign w:val="bottom"/>
            <w:hideMark/>
          </w:tcPr>
          <w:p w14:paraId="359694E3" w14:textId="77777777" w:rsidR="00765F47" w:rsidRPr="00086601" w:rsidRDefault="00765F47" w:rsidP="00765F47">
            <w:pPr>
              <w:spacing w:after="0" w:line="240" w:lineRule="auto"/>
              <w:jc w:val="center"/>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lastRenderedPageBreak/>
              <w:t>Hypothesis 2</w:t>
            </w:r>
          </w:p>
        </w:tc>
      </w:tr>
      <w:tr w:rsidR="00765F47" w:rsidRPr="00086601" w14:paraId="58FD148C" w14:textId="77777777" w:rsidTr="00765F47">
        <w:trPr>
          <w:trHeight w:val="285"/>
        </w:trPr>
        <w:tc>
          <w:tcPr>
            <w:tcW w:w="605" w:type="dxa"/>
            <w:tcBorders>
              <w:top w:val="nil"/>
              <w:left w:val="nil"/>
              <w:bottom w:val="single" w:sz="4" w:space="0" w:color="auto"/>
              <w:right w:val="nil"/>
            </w:tcBorders>
            <w:shd w:val="clear" w:color="000000" w:fill="FFFFFF"/>
            <w:noWrap/>
            <w:vAlign w:val="bottom"/>
            <w:hideMark/>
          </w:tcPr>
          <w:p w14:paraId="16A62925" w14:textId="77777777" w:rsidR="00765F47" w:rsidRPr="00086601" w:rsidRDefault="00765F47" w:rsidP="00765F47">
            <w:pPr>
              <w:spacing w:after="0" w:line="240" w:lineRule="auto"/>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Year</w:t>
            </w:r>
          </w:p>
        </w:tc>
        <w:tc>
          <w:tcPr>
            <w:tcW w:w="1193" w:type="dxa"/>
            <w:tcBorders>
              <w:top w:val="nil"/>
              <w:left w:val="nil"/>
              <w:bottom w:val="single" w:sz="4" w:space="0" w:color="auto"/>
              <w:right w:val="nil"/>
            </w:tcBorders>
            <w:shd w:val="clear" w:color="000000" w:fill="FFFFFF"/>
            <w:noWrap/>
            <w:vAlign w:val="bottom"/>
            <w:hideMark/>
          </w:tcPr>
          <w:p w14:paraId="7F853659"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Frequency</w:t>
            </w:r>
          </w:p>
        </w:tc>
        <w:tc>
          <w:tcPr>
            <w:tcW w:w="892" w:type="dxa"/>
            <w:tcBorders>
              <w:top w:val="nil"/>
              <w:left w:val="nil"/>
              <w:bottom w:val="single" w:sz="4" w:space="0" w:color="auto"/>
              <w:right w:val="nil"/>
            </w:tcBorders>
            <w:shd w:val="clear" w:color="000000" w:fill="FFFFFF"/>
            <w:noWrap/>
            <w:vAlign w:val="bottom"/>
            <w:hideMark/>
          </w:tcPr>
          <w:p w14:paraId="3482E03B"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Percent</w:t>
            </w:r>
          </w:p>
        </w:tc>
        <w:tc>
          <w:tcPr>
            <w:tcW w:w="1598" w:type="dxa"/>
            <w:tcBorders>
              <w:top w:val="nil"/>
              <w:left w:val="nil"/>
              <w:bottom w:val="single" w:sz="4" w:space="0" w:color="auto"/>
              <w:right w:val="nil"/>
            </w:tcBorders>
            <w:shd w:val="clear" w:color="000000" w:fill="FFFFFF"/>
            <w:noWrap/>
            <w:vAlign w:val="bottom"/>
            <w:hideMark/>
          </w:tcPr>
          <w:p w14:paraId="1BE1007E"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proofErr w:type="spellStart"/>
            <w:r w:rsidRPr="00086601">
              <w:rPr>
                <w:rFonts w:ascii="Garamond" w:eastAsia="Times New Roman" w:hAnsi="Garamond" w:cs="Calibri"/>
                <w:b/>
                <w:bCs/>
                <w:color w:val="000000"/>
                <w:sz w:val="24"/>
                <w:szCs w:val="24"/>
              </w:rPr>
              <w:t>GDPPerCapita</w:t>
            </w:r>
            <w:proofErr w:type="spellEnd"/>
          </w:p>
        </w:tc>
        <w:tc>
          <w:tcPr>
            <w:tcW w:w="832" w:type="dxa"/>
            <w:tcBorders>
              <w:top w:val="nil"/>
              <w:left w:val="nil"/>
              <w:bottom w:val="single" w:sz="4" w:space="0" w:color="auto"/>
              <w:right w:val="nil"/>
            </w:tcBorders>
            <w:shd w:val="clear" w:color="000000" w:fill="FFFFFF"/>
            <w:noWrap/>
            <w:vAlign w:val="bottom"/>
            <w:hideMark/>
          </w:tcPr>
          <w:p w14:paraId="21DC9913"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DUVOL</w:t>
            </w:r>
          </w:p>
        </w:tc>
        <w:tc>
          <w:tcPr>
            <w:tcW w:w="1000" w:type="dxa"/>
            <w:tcBorders>
              <w:top w:val="nil"/>
              <w:left w:val="nil"/>
              <w:bottom w:val="single" w:sz="4" w:space="0" w:color="auto"/>
              <w:right w:val="nil"/>
            </w:tcBorders>
            <w:shd w:val="clear" w:color="000000" w:fill="FFFFFF"/>
            <w:noWrap/>
            <w:vAlign w:val="bottom"/>
            <w:hideMark/>
          </w:tcPr>
          <w:p w14:paraId="26E92354"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NCSKEW</w:t>
            </w:r>
          </w:p>
        </w:tc>
      </w:tr>
      <w:tr w:rsidR="00765F47" w:rsidRPr="00086601" w14:paraId="463BF613" w14:textId="77777777" w:rsidTr="00765F47">
        <w:trPr>
          <w:trHeight w:val="285"/>
        </w:trPr>
        <w:tc>
          <w:tcPr>
            <w:tcW w:w="605" w:type="dxa"/>
            <w:tcBorders>
              <w:top w:val="nil"/>
              <w:left w:val="nil"/>
              <w:bottom w:val="nil"/>
              <w:right w:val="nil"/>
            </w:tcBorders>
            <w:shd w:val="clear" w:color="000000" w:fill="FFFFFF"/>
            <w:noWrap/>
            <w:vAlign w:val="bottom"/>
            <w:hideMark/>
          </w:tcPr>
          <w:p w14:paraId="000A2032"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2000</w:t>
            </w:r>
          </w:p>
        </w:tc>
        <w:tc>
          <w:tcPr>
            <w:tcW w:w="1193" w:type="dxa"/>
            <w:tcBorders>
              <w:top w:val="nil"/>
              <w:left w:val="nil"/>
              <w:bottom w:val="nil"/>
              <w:right w:val="nil"/>
            </w:tcBorders>
            <w:shd w:val="clear" w:color="000000" w:fill="FFFFFF"/>
            <w:noWrap/>
            <w:vAlign w:val="bottom"/>
            <w:hideMark/>
          </w:tcPr>
          <w:p w14:paraId="1F81CFC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43</w:t>
            </w:r>
          </w:p>
        </w:tc>
        <w:tc>
          <w:tcPr>
            <w:tcW w:w="892" w:type="dxa"/>
            <w:tcBorders>
              <w:top w:val="nil"/>
              <w:left w:val="nil"/>
              <w:bottom w:val="nil"/>
              <w:right w:val="nil"/>
            </w:tcBorders>
            <w:shd w:val="clear" w:color="000000" w:fill="FFFFFF"/>
            <w:noWrap/>
            <w:vAlign w:val="bottom"/>
            <w:hideMark/>
          </w:tcPr>
          <w:p w14:paraId="520C757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4.09</w:t>
            </w:r>
          </w:p>
        </w:tc>
        <w:tc>
          <w:tcPr>
            <w:tcW w:w="1598" w:type="dxa"/>
            <w:tcBorders>
              <w:top w:val="nil"/>
              <w:left w:val="nil"/>
              <w:bottom w:val="nil"/>
              <w:right w:val="nil"/>
            </w:tcBorders>
            <w:shd w:val="clear" w:color="000000" w:fill="FFFFFF"/>
            <w:noWrap/>
            <w:vAlign w:val="bottom"/>
            <w:hideMark/>
          </w:tcPr>
          <w:p w14:paraId="4303F10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25130.36</w:t>
            </w:r>
          </w:p>
        </w:tc>
        <w:tc>
          <w:tcPr>
            <w:tcW w:w="832" w:type="dxa"/>
            <w:tcBorders>
              <w:top w:val="nil"/>
              <w:left w:val="nil"/>
              <w:bottom w:val="nil"/>
              <w:right w:val="nil"/>
            </w:tcBorders>
            <w:shd w:val="clear" w:color="000000" w:fill="FFFFFF"/>
            <w:noWrap/>
            <w:vAlign w:val="bottom"/>
            <w:hideMark/>
          </w:tcPr>
          <w:p w14:paraId="0941C73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-0.05</w:t>
            </w:r>
          </w:p>
        </w:tc>
        <w:tc>
          <w:tcPr>
            <w:tcW w:w="1000" w:type="dxa"/>
            <w:tcBorders>
              <w:top w:val="nil"/>
              <w:left w:val="nil"/>
              <w:bottom w:val="nil"/>
              <w:right w:val="nil"/>
            </w:tcBorders>
            <w:shd w:val="clear" w:color="000000" w:fill="FFFFFF"/>
            <w:noWrap/>
            <w:vAlign w:val="bottom"/>
            <w:hideMark/>
          </w:tcPr>
          <w:p w14:paraId="3B83B17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-0.12</w:t>
            </w:r>
          </w:p>
        </w:tc>
      </w:tr>
      <w:tr w:rsidR="00765F47" w:rsidRPr="00086601" w14:paraId="15BF5F09" w14:textId="77777777" w:rsidTr="00765F47">
        <w:trPr>
          <w:trHeight w:val="285"/>
        </w:trPr>
        <w:tc>
          <w:tcPr>
            <w:tcW w:w="605" w:type="dxa"/>
            <w:tcBorders>
              <w:top w:val="nil"/>
              <w:left w:val="nil"/>
              <w:bottom w:val="nil"/>
              <w:right w:val="nil"/>
            </w:tcBorders>
            <w:shd w:val="clear" w:color="000000" w:fill="FFFFFF"/>
            <w:noWrap/>
            <w:vAlign w:val="bottom"/>
            <w:hideMark/>
          </w:tcPr>
          <w:p w14:paraId="055C1A90"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2001</w:t>
            </w:r>
          </w:p>
        </w:tc>
        <w:tc>
          <w:tcPr>
            <w:tcW w:w="1193" w:type="dxa"/>
            <w:tcBorders>
              <w:top w:val="nil"/>
              <w:left w:val="nil"/>
              <w:bottom w:val="nil"/>
              <w:right w:val="nil"/>
            </w:tcBorders>
            <w:shd w:val="clear" w:color="000000" w:fill="FFFFFF"/>
            <w:noWrap/>
            <w:vAlign w:val="bottom"/>
            <w:hideMark/>
          </w:tcPr>
          <w:p w14:paraId="3973A9C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43</w:t>
            </w:r>
          </w:p>
        </w:tc>
        <w:tc>
          <w:tcPr>
            <w:tcW w:w="892" w:type="dxa"/>
            <w:tcBorders>
              <w:top w:val="nil"/>
              <w:left w:val="nil"/>
              <w:bottom w:val="nil"/>
              <w:right w:val="nil"/>
            </w:tcBorders>
            <w:shd w:val="clear" w:color="000000" w:fill="FFFFFF"/>
            <w:noWrap/>
            <w:vAlign w:val="bottom"/>
            <w:hideMark/>
          </w:tcPr>
          <w:p w14:paraId="254427B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4.09</w:t>
            </w:r>
          </w:p>
        </w:tc>
        <w:tc>
          <w:tcPr>
            <w:tcW w:w="1598" w:type="dxa"/>
            <w:tcBorders>
              <w:top w:val="nil"/>
              <w:left w:val="nil"/>
              <w:bottom w:val="nil"/>
              <w:right w:val="nil"/>
            </w:tcBorders>
            <w:shd w:val="clear" w:color="000000" w:fill="FFFFFF"/>
            <w:noWrap/>
            <w:vAlign w:val="bottom"/>
            <w:hideMark/>
          </w:tcPr>
          <w:p w14:paraId="42B509E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25416.26</w:t>
            </w:r>
          </w:p>
        </w:tc>
        <w:tc>
          <w:tcPr>
            <w:tcW w:w="832" w:type="dxa"/>
            <w:tcBorders>
              <w:top w:val="nil"/>
              <w:left w:val="nil"/>
              <w:bottom w:val="nil"/>
              <w:right w:val="nil"/>
            </w:tcBorders>
            <w:shd w:val="clear" w:color="000000" w:fill="FFFFFF"/>
            <w:noWrap/>
            <w:vAlign w:val="bottom"/>
            <w:hideMark/>
          </w:tcPr>
          <w:p w14:paraId="3648A12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0.17</w:t>
            </w:r>
          </w:p>
        </w:tc>
        <w:tc>
          <w:tcPr>
            <w:tcW w:w="1000" w:type="dxa"/>
            <w:tcBorders>
              <w:top w:val="nil"/>
              <w:left w:val="nil"/>
              <w:bottom w:val="nil"/>
              <w:right w:val="nil"/>
            </w:tcBorders>
            <w:shd w:val="clear" w:color="000000" w:fill="FFFFFF"/>
            <w:noWrap/>
            <w:vAlign w:val="bottom"/>
            <w:hideMark/>
          </w:tcPr>
          <w:p w14:paraId="1B5B39A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0.90</w:t>
            </w:r>
          </w:p>
        </w:tc>
      </w:tr>
      <w:tr w:rsidR="00765F47" w:rsidRPr="00086601" w14:paraId="2B467BFA" w14:textId="77777777" w:rsidTr="00765F47">
        <w:trPr>
          <w:trHeight w:val="285"/>
        </w:trPr>
        <w:tc>
          <w:tcPr>
            <w:tcW w:w="605" w:type="dxa"/>
            <w:tcBorders>
              <w:top w:val="nil"/>
              <w:left w:val="nil"/>
              <w:bottom w:val="nil"/>
              <w:right w:val="nil"/>
            </w:tcBorders>
            <w:shd w:val="clear" w:color="000000" w:fill="FFFFFF"/>
            <w:noWrap/>
            <w:vAlign w:val="bottom"/>
            <w:hideMark/>
          </w:tcPr>
          <w:p w14:paraId="69ADABEB"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2002</w:t>
            </w:r>
          </w:p>
        </w:tc>
        <w:tc>
          <w:tcPr>
            <w:tcW w:w="1193" w:type="dxa"/>
            <w:tcBorders>
              <w:top w:val="nil"/>
              <w:left w:val="nil"/>
              <w:bottom w:val="nil"/>
              <w:right w:val="nil"/>
            </w:tcBorders>
            <w:shd w:val="clear" w:color="000000" w:fill="FFFFFF"/>
            <w:noWrap/>
            <w:vAlign w:val="bottom"/>
            <w:hideMark/>
          </w:tcPr>
          <w:p w14:paraId="46A9336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43</w:t>
            </w:r>
          </w:p>
        </w:tc>
        <w:tc>
          <w:tcPr>
            <w:tcW w:w="892" w:type="dxa"/>
            <w:tcBorders>
              <w:top w:val="nil"/>
              <w:left w:val="nil"/>
              <w:bottom w:val="nil"/>
              <w:right w:val="nil"/>
            </w:tcBorders>
            <w:shd w:val="clear" w:color="000000" w:fill="FFFFFF"/>
            <w:noWrap/>
            <w:vAlign w:val="bottom"/>
            <w:hideMark/>
          </w:tcPr>
          <w:p w14:paraId="6426F3B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4.09</w:t>
            </w:r>
          </w:p>
        </w:tc>
        <w:tc>
          <w:tcPr>
            <w:tcW w:w="1598" w:type="dxa"/>
            <w:tcBorders>
              <w:top w:val="nil"/>
              <w:left w:val="nil"/>
              <w:bottom w:val="nil"/>
              <w:right w:val="nil"/>
            </w:tcBorders>
            <w:shd w:val="clear" w:color="000000" w:fill="FFFFFF"/>
            <w:noWrap/>
            <w:vAlign w:val="bottom"/>
            <w:hideMark/>
          </w:tcPr>
          <w:p w14:paraId="45610E9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25758.67</w:t>
            </w:r>
          </w:p>
        </w:tc>
        <w:tc>
          <w:tcPr>
            <w:tcW w:w="832" w:type="dxa"/>
            <w:tcBorders>
              <w:top w:val="nil"/>
              <w:left w:val="nil"/>
              <w:bottom w:val="nil"/>
              <w:right w:val="nil"/>
            </w:tcBorders>
            <w:shd w:val="clear" w:color="000000" w:fill="FFFFFF"/>
            <w:noWrap/>
            <w:vAlign w:val="bottom"/>
            <w:hideMark/>
          </w:tcPr>
          <w:p w14:paraId="3778D56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0.05</w:t>
            </w:r>
          </w:p>
        </w:tc>
        <w:tc>
          <w:tcPr>
            <w:tcW w:w="1000" w:type="dxa"/>
            <w:tcBorders>
              <w:top w:val="nil"/>
              <w:left w:val="nil"/>
              <w:bottom w:val="nil"/>
              <w:right w:val="nil"/>
            </w:tcBorders>
            <w:shd w:val="clear" w:color="000000" w:fill="FFFFFF"/>
            <w:noWrap/>
            <w:vAlign w:val="bottom"/>
            <w:hideMark/>
          </w:tcPr>
          <w:p w14:paraId="319E91A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0.10</w:t>
            </w:r>
          </w:p>
        </w:tc>
      </w:tr>
      <w:tr w:rsidR="00765F47" w:rsidRPr="00086601" w14:paraId="2310D711" w14:textId="77777777" w:rsidTr="00765F47">
        <w:trPr>
          <w:trHeight w:val="285"/>
        </w:trPr>
        <w:tc>
          <w:tcPr>
            <w:tcW w:w="605" w:type="dxa"/>
            <w:tcBorders>
              <w:top w:val="nil"/>
              <w:left w:val="nil"/>
              <w:bottom w:val="nil"/>
              <w:right w:val="nil"/>
            </w:tcBorders>
            <w:shd w:val="clear" w:color="000000" w:fill="FFFFFF"/>
            <w:noWrap/>
            <w:vAlign w:val="bottom"/>
            <w:hideMark/>
          </w:tcPr>
          <w:p w14:paraId="4A0EE429"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2003</w:t>
            </w:r>
          </w:p>
        </w:tc>
        <w:tc>
          <w:tcPr>
            <w:tcW w:w="1193" w:type="dxa"/>
            <w:tcBorders>
              <w:top w:val="nil"/>
              <w:left w:val="nil"/>
              <w:bottom w:val="nil"/>
              <w:right w:val="nil"/>
            </w:tcBorders>
            <w:shd w:val="clear" w:color="000000" w:fill="FFFFFF"/>
            <w:noWrap/>
            <w:vAlign w:val="bottom"/>
            <w:hideMark/>
          </w:tcPr>
          <w:p w14:paraId="3853D78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43</w:t>
            </w:r>
          </w:p>
        </w:tc>
        <w:tc>
          <w:tcPr>
            <w:tcW w:w="892" w:type="dxa"/>
            <w:tcBorders>
              <w:top w:val="nil"/>
              <w:left w:val="nil"/>
              <w:bottom w:val="nil"/>
              <w:right w:val="nil"/>
            </w:tcBorders>
            <w:shd w:val="clear" w:color="000000" w:fill="FFFFFF"/>
            <w:noWrap/>
            <w:vAlign w:val="bottom"/>
            <w:hideMark/>
          </w:tcPr>
          <w:p w14:paraId="03803FB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4.09</w:t>
            </w:r>
          </w:p>
        </w:tc>
        <w:tc>
          <w:tcPr>
            <w:tcW w:w="1598" w:type="dxa"/>
            <w:tcBorders>
              <w:top w:val="nil"/>
              <w:left w:val="nil"/>
              <w:bottom w:val="nil"/>
              <w:right w:val="nil"/>
            </w:tcBorders>
            <w:shd w:val="clear" w:color="000000" w:fill="FFFFFF"/>
            <w:noWrap/>
            <w:vAlign w:val="bottom"/>
            <w:hideMark/>
          </w:tcPr>
          <w:p w14:paraId="6A18477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26118.04</w:t>
            </w:r>
          </w:p>
        </w:tc>
        <w:tc>
          <w:tcPr>
            <w:tcW w:w="832" w:type="dxa"/>
            <w:tcBorders>
              <w:top w:val="nil"/>
              <w:left w:val="nil"/>
              <w:bottom w:val="nil"/>
              <w:right w:val="nil"/>
            </w:tcBorders>
            <w:shd w:val="clear" w:color="000000" w:fill="FFFFFF"/>
            <w:noWrap/>
            <w:vAlign w:val="bottom"/>
            <w:hideMark/>
          </w:tcPr>
          <w:p w14:paraId="407B464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0.01</w:t>
            </w:r>
          </w:p>
        </w:tc>
        <w:tc>
          <w:tcPr>
            <w:tcW w:w="1000" w:type="dxa"/>
            <w:tcBorders>
              <w:top w:val="nil"/>
              <w:left w:val="nil"/>
              <w:bottom w:val="nil"/>
              <w:right w:val="nil"/>
            </w:tcBorders>
            <w:shd w:val="clear" w:color="000000" w:fill="FFFFFF"/>
            <w:noWrap/>
            <w:vAlign w:val="bottom"/>
            <w:hideMark/>
          </w:tcPr>
          <w:p w14:paraId="5442D5C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-0.06</w:t>
            </w:r>
          </w:p>
        </w:tc>
      </w:tr>
      <w:tr w:rsidR="00765F47" w:rsidRPr="00086601" w14:paraId="63542AF5" w14:textId="77777777" w:rsidTr="00765F47">
        <w:trPr>
          <w:trHeight w:val="285"/>
        </w:trPr>
        <w:tc>
          <w:tcPr>
            <w:tcW w:w="605" w:type="dxa"/>
            <w:tcBorders>
              <w:top w:val="nil"/>
              <w:left w:val="nil"/>
              <w:bottom w:val="nil"/>
              <w:right w:val="nil"/>
            </w:tcBorders>
            <w:shd w:val="clear" w:color="000000" w:fill="FFFFFF"/>
            <w:noWrap/>
            <w:vAlign w:val="bottom"/>
            <w:hideMark/>
          </w:tcPr>
          <w:p w14:paraId="5817667D"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2004</w:t>
            </w:r>
          </w:p>
        </w:tc>
        <w:tc>
          <w:tcPr>
            <w:tcW w:w="1193" w:type="dxa"/>
            <w:tcBorders>
              <w:top w:val="nil"/>
              <w:left w:val="nil"/>
              <w:bottom w:val="nil"/>
              <w:right w:val="nil"/>
            </w:tcBorders>
            <w:shd w:val="clear" w:color="000000" w:fill="FFFFFF"/>
            <w:noWrap/>
            <w:vAlign w:val="bottom"/>
            <w:hideMark/>
          </w:tcPr>
          <w:p w14:paraId="14C3B5E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43</w:t>
            </w:r>
          </w:p>
        </w:tc>
        <w:tc>
          <w:tcPr>
            <w:tcW w:w="892" w:type="dxa"/>
            <w:tcBorders>
              <w:top w:val="nil"/>
              <w:left w:val="nil"/>
              <w:bottom w:val="nil"/>
              <w:right w:val="nil"/>
            </w:tcBorders>
            <w:shd w:val="clear" w:color="000000" w:fill="FFFFFF"/>
            <w:noWrap/>
            <w:vAlign w:val="bottom"/>
            <w:hideMark/>
          </w:tcPr>
          <w:p w14:paraId="33265FB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4.09</w:t>
            </w:r>
          </w:p>
        </w:tc>
        <w:tc>
          <w:tcPr>
            <w:tcW w:w="1598" w:type="dxa"/>
            <w:tcBorders>
              <w:top w:val="nil"/>
              <w:left w:val="nil"/>
              <w:bottom w:val="nil"/>
              <w:right w:val="nil"/>
            </w:tcBorders>
            <w:shd w:val="clear" w:color="000000" w:fill="FFFFFF"/>
            <w:noWrap/>
            <w:vAlign w:val="bottom"/>
            <w:hideMark/>
          </w:tcPr>
          <w:p w14:paraId="6232F8E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26957.71</w:t>
            </w:r>
          </w:p>
        </w:tc>
        <w:tc>
          <w:tcPr>
            <w:tcW w:w="832" w:type="dxa"/>
            <w:tcBorders>
              <w:top w:val="nil"/>
              <w:left w:val="nil"/>
              <w:bottom w:val="nil"/>
              <w:right w:val="nil"/>
            </w:tcBorders>
            <w:shd w:val="clear" w:color="000000" w:fill="FFFFFF"/>
            <w:noWrap/>
            <w:vAlign w:val="bottom"/>
            <w:hideMark/>
          </w:tcPr>
          <w:p w14:paraId="58836E5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-0.03</w:t>
            </w:r>
          </w:p>
        </w:tc>
        <w:tc>
          <w:tcPr>
            <w:tcW w:w="1000" w:type="dxa"/>
            <w:tcBorders>
              <w:top w:val="nil"/>
              <w:left w:val="nil"/>
              <w:bottom w:val="nil"/>
              <w:right w:val="nil"/>
            </w:tcBorders>
            <w:shd w:val="clear" w:color="000000" w:fill="FFFFFF"/>
            <w:noWrap/>
            <w:vAlign w:val="bottom"/>
            <w:hideMark/>
          </w:tcPr>
          <w:p w14:paraId="452CD0D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-0.18</w:t>
            </w:r>
          </w:p>
        </w:tc>
      </w:tr>
      <w:tr w:rsidR="00765F47" w:rsidRPr="00086601" w14:paraId="3B9E7A5F" w14:textId="77777777" w:rsidTr="00765F47">
        <w:trPr>
          <w:trHeight w:val="285"/>
        </w:trPr>
        <w:tc>
          <w:tcPr>
            <w:tcW w:w="605" w:type="dxa"/>
            <w:tcBorders>
              <w:top w:val="nil"/>
              <w:left w:val="nil"/>
              <w:bottom w:val="nil"/>
              <w:right w:val="nil"/>
            </w:tcBorders>
            <w:shd w:val="clear" w:color="000000" w:fill="FFFFFF"/>
            <w:noWrap/>
            <w:vAlign w:val="bottom"/>
            <w:hideMark/>
          </w:tcPr>
          <w:p w14:paraId="2F00DFF5"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2005</w:t>
            </w:r>
          </w:p>
        </w:tc>
        <w:tc>
          <w:tcPr>
            <w:tcW w:w="1193" w:type="dxa"/>
            <w:tcBorders>
              <w:top w:val="nil"/>
              <w:left w:val="nil"/>
              <w:bottom w:val="nil"/>
              <w:right w:val="nil"/>
            </w:tcBorders>
            <w:shd w:val="clear" w:color="000000" w:fill="FFFFFF"/>
            <w:noWrap/>
            <w:vAlign w:val="bottom"/>
            <w:hideMark/>
          </w:tcPr>
          <w:p w14:paraId="4F9C838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44</w:t>
            </w:r>
          </w:p>
        </w:tc>
        <w:tc>
          <w:tcPr>
            <w:tcW w:w="892" w:type="dxa"/>
            <w:tcBorders>
              <w:top w:val="nil"/>
              <w:left w:val="nil"/>
              <w:bottom w:val="nil"/>
              <w:right w:val="nil"/>
            </w:tcBorders>
            <w:shd w:val="clear" w:color="000000" w:fill="FFFFFF"/>
            <w:noWrap/>
            <w:vAlign w:val="bottom"/>
            <w:hideMark/>
          </w:tcPr>
          <w:p w14:paraId="426DF35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4.19</w:t>
            </w:r>
          </w:p>
        </w:tc>
        <w:tc>
          <w:tcPr>
            <w:tcW w:w="1598" w:type="dxa"/>
            <w:tcBorders>
              <w:top w:val="nil"/>
              <w:left w:val="nil"/>
              <w:bottom w:val="nil"/>
              <w:right w:val="nil"/>
            </w:tcBorders>
            <w:shd w:val="clear" w:color="000000" w:fill="FFFFFF"/>
            <w:noWrap/>
            <w:vAlign w:val="bottom"/>
            <w:hideMark/>
          </w:tcPr>
          <w:p w14:paraId="0F1CED4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27082.41</w:t>
            </w:r>
          </w:p>
        </w:tc>
        <w:tc>
          <w:tcPr>
            <w:tcW w:w="832" w:type="dxa"/>
            <w:tcBorders>
              <w:top w:val="nil"/>
              <w:left w:val="nil"/>
              <w:bottom w:val="nil"/>
              <w:right w:val="nil"/>
            </w:tcBorders>
            <w:shd w:val="clear" w:color="000000" w:fill="FFFFFF"/>
            <w:noWrap/>
            <w:vAlign w:val="bottom"/>
            <w:hideMark/>
          </w:tcPr>
          <w:p w14:paraId="63C8929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-0.01</w:t>
            </w:r>
          </w:p>
        </w:tc>
        <w:tc>
          <w:tcPr>
            <w:tcW w:w="1000" w:type="dxa"/>
            <w:tcBorders>
              <w:top w:val="nil"/>
              <w:left w:val="nil"/>
              <w:bottom w:val="nil"/>
              <w:right w:val="nil"/>
            </w:tcBorders>
            <w:shd w:val="clear" w:color="000000" w:fill="FFFFFF"/>
            <w:noWrap/>
            <w:vAlign w:val="bottom"/>
            <w:hideMark/>
          </w:tcPr>
          <w:p w14:paraId="20AD839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-0.09</w:t>
            </w:r>
          </w:p>
        </w:tc>
      </w:tr>
      <w:tr w:rsidR="00765F47" w:rsidRPr="00086601" w14:paraId="7CE834BB" w14:textId="77777777" w:rsidTr="00765F47">
        <w:trPr>
          <w:trHeight w:val="285"/>
        </w:trPr>
        <w:tc>
          <w:tcPr>
            <w:tcW w:w="605" w:type="dxa"/>
            <w:tcBorders>
              <w:top w:val="nil"/>
              <w:left w:val="nil"/>
              <w:bottom w:val="nil"/>
              <w:right w:val="nil"/>
            </w:tcBorders>
            <w:shd w:val="clear" w:color="000000" w:fill="FFFFFF"/>
            <w:noWrap/>
            <w:vAlign w:val="bottom"/>
            <w:hideMark/>
          </w:tcPr>
          <w:p w14:paraId="49C956AB"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2006</w:t>
            </w:r>
          </w:p>
        </w:tc>
        <w:tc>
          <w:tcPr>
            <w:tcW w:w="1193" w:type="dxa"/>
            <w:tcBorders>
              <w:top w:val="nil"/>
              <w:left w:val="nil"/>
              <w:bottom w:val="nil"/>
              <w:right w:val="nil"/>
            </w:tcBorders>
            <w:shd w:val="clear" w:color="000000" w:fill="FFFFFF"/>
            <w:noWrap/>
            <w:vAlign w:val="bottom"/>
            <w:hideMark/>
          </w:tcPr>
          <w:p w14:paraId="4C0EB4E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49</w:t>
            </w:r>
          </w:p>
        </w:tc>
        <w:tc>
          <w:tcPr>
            <w:tcW w:w="892" w:type="dxa"/>
            <w:tcBorders>
              <w:top w:val="nil"/>
              <w:left w:val="nil"/>
              <w:bottom w:val="nil"/>
              <w:right w:val="nil"/>
            </w:tcBorders>
            <w:shd w:val="clear" w:color="000000" w:fill="FFFFFF"/>
            <w:noWrap/>
            <w:vAlign w:val="bottom"/>
            <w:hideMark/>
          </w:tcPr>
          <w:p w14:paraId="6B3E4F5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4.66</w:t>
            </w:r>
          </w:p>
        </w:tc>
        <w:tc>
          <w:tcPr>
            <w:tcW w:w="1598" w:type="dxa"/>
            <w:tcBorders>
              <w:top w:val="nil"/>
              <w:left w:val="nil"/>
              <w:bottom w:val="nil"/>
              <w:right w:val="nil"/>
            </w:tcBorders>
            <w:shd w:val="clear" w:color="000000" w:fill="FFFFFF"/>
            <w:noWrap/>
            <w:vAlign w:val="bottom"/>
            <w:hideMark/>
          </w:tcPr>
          <w:p w14:paraId="5076A58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29328.25</w:t>
            </w:r>
          </w:p>
        </w:tc>
        <w:tc>
          <w:tcPr>
            <w:tcW w:w="832" w:type="dxa"/>
            <w:tcBorders>
              <w:top w:val="nil"/>
              <w:left w:val="nil"/>
              <w:bottom w:val="nil"/>
              <w:right w:val="nil"/>
            </w:tcBorders>
            <w:shd w:val="clear" w:color="000000" w:fill="FFFFFF"/>
            <w:noWrap/>
            <w:vAlign w:val="bottom"/>
            <w:hideMark/>
          </w:tcPr>
          <w:p w14:paraId="72B82B1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-0.08</w:t>
            </w:r>
          </w:p>
        </w:tc>
        <w:tc>
          <w:tcPr>
            <w:tcW w:w="1000" w:type="dxa"/>
            <w:tcBorders>
              <w:top w:val="nil"/>
              <w:left w:val="nil"/>
              <w:bottom w:val="nil"/>
              <w:right w:val="nil"/>
            </w:tcBorders>
            <w:shd w:val="clear" w:color="000000" w:fill="FFFFFF"/>
            <w:noWrap/>
            <w:vAlign w:val="bottom"/>
            <w:hideMark/>
          </w:tcPr>
          <w:p w14:paraId="1E59FA6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-0.36</w:t>
            </w:r>
          </w:p>
        </w:tc>
      </w:tr>
      <w:tr w:rsidR="00765F47" w:rsidRPr="00086601" w14:paraId="34A2CEDC" w14:textId="77777777" w:rsidTr="00765F47">
        <w:trPr>
          <w:trHeight w:val="285"/>
        </w:trPr>
        <w:tc>
          <w:tcPr>
            <w:tcW w:w="605" w:type="dxa"/>
            <w:tcBorders>
              <w:top w:val="nil"/>
              <w:left w:val="nil"/>
              <w:bottom w:val="nil"/>
              <w:right w:val="nil"/>
            </w:tcBorders>
            <w:shd w:val="clear" w:color="000000" w:fill="FFFFFF"/>
            <w:noWrap/>
            <w:vAlign w:val="bottom"/>
            <w:hideMark/>
          </w:tcPr>
          <w:p w14:paraId="733BD8AD"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2007</w:t>
            </w:r>
          </w:p>
        </w:tc>
        <w:tc>
          <w:tcPr>
            <w:tcW w:w="1193" w:type="dxa"/>
            <w:tcBorders>
              <w:top w:val="nil"/>
              <w:left w:val="nil"/>
              <w:bottom w:val="nil"/>
              <w:right w:val="nil"/>
            </w:tcBorders>
            <w:shd w:val="clear" w:color="000000" w:fill="FFFFFF"/>
            <w:noWrap/>
            <w:vAlign w:val="bottom"/>
            <w:hideMark/>
          </w:tcPr>
          <w:p w14:paraId="59F450A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49</w:t>
            </w:r>
          </w:p>
        </w:tc>
        <w:tc>
          <w:tcPr>
            <w:tcW w:w="892" w:type="dxa"/>
            <w:tcBorders>
              <w:top w:val="nil"/>
              <w:left w:val="nil"/>
              <w:bottom w:val="nil"/>
              <w:right w:val="nil"/>
            </w:tcBorders>
            <w:shd w:val="clear" w:color="000000" w:fill="FFFFFF"/>
            <w:noWrap/>
            <w:vAlign w:val="bottom"/>
            <w:hideMark/>
          </w:tcPr>
          <w:p w14:paraId="0CC798A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4.66</w:t>
            </w:r>
          </w:p>
        </w:tc>
        <w:tc>
          <w:tcPr>
            <w:tcW w:w="1598" w:type="dxa"/>
            <w:tcBorders>
              <w:top w:val="nil"/>
              <w:left w:val="nil"/>
              <w:bottom w:val="nil"/>
              <w:right w:val="nil"/>
            </w:tcBorders>
            <w:shd w:val="clear" w:color="000000" w:fill="FFFFFF"/>
            <w:noWrap/>
            <w:vAlign w:val="bottom"/>
            <w:hideMark/>
          </w:tcPr>
          <w:p w14:paraId="6037DAB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29955.52</w:t>
            </w:r>
          </w:p>
        </w:tc>
        <w:tc>
          <w:tcPr>
            <w:tcW w:w="832" w:type="dxa"/>
            <w:tcBorders>
              <w:top w:val="nil"/>
              <w:left w:val="nil"/>
              <w:bottom w:val="nil"/>
              <w:right w:val="nil"/>
            </w:tcBorders>
            <w:shd w:val="clear" w:color="000000" w:fill="FFFFFF"/>
            <w:noWrap/>
            <w:vAlign w:val="bottom"/>
            <w:hideMark/>
          </w:tcPr>
          <w:p w14:paraId="59CD8F9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0.01</w:t>
            </w:r>
          </w:p>
        </w:tc>
        <w:tc>
          <w:tcPr>
            <w:tcW w:w="1000" w:type="dxa"/>
            <w:tcBorders>
              <w:top w:val="nil"/>
              <w:left w:val="nil"/>
              <w:bottom w:val="nil"/>
              <w:right w:val="nil"/>
            </w:tcBorders>
            <w:shd w:val="clear" w:color="000000" w:fill="FFFFFF"/>
            <w:noWrap/>
            <w:vAlign w:val="bottom"/>
            <w:hideMark/>
          </w:tcPr>
          <w:p w14:paraId="3E0A852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-0.03</w:t>
            </w:r>
          </w:p>
        </w:tc>
      </w:tr>
      <w:tr w:rsidR="00765F47" w:rsidRPr="00086601" w14:paraId="399EE817" w14:textId="77777777" w:rsidTr="00765F47">
        <w:trPr>
          <w:trHeight w:val="285"/>
        </w:trPr>
        <w:tc>
          <w:tcPr>
            <w:tcW w:w="605" w:type="dxa"/>
            <w:tcBorders>
              <w:top w:val="nil"/>
              <w:left w:val="nil"/>
              <w:bottom w:val="nil"/>
              <w:right w:val="nil"/>
            </w:tcBorders>
            <w:shd w:val="clear" w:color="000000" w:fill="FFFFFF"/>
            <w:noWrap/>
            <w:vAlign w:val="bottom"/>
            <w:hideMark/>
          </w:tcPr>
          <w:p w14:paraId="64E68F68"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2008</w:t>
            </w:r>
          </w:p>
        </w:tc>
        <w:tc>
          <w:tcPr>
            <w:tcW w:w="1193" w:type="dxa"/>
            <w:tcBorders>
              <w:top w:val="nil"/>
              <w:left w:val="nil"/>
              <w:bottom w:val="nil"/>
              <w:right w:val="nil"/>
            </w:tcBorders>
            <w:shd w:val="clear" w:color="000000" w:fill="FFFFFF"/>
            <w:noWrap/>
            <w:vAlign w:val="bottom"/>
            <w:hideMark/>
          </w:tcPr>
          <w:p w14:paraId="7C187F8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49</w:t>
            </w:r>
          </w:p>
        </w:tc>
        <w:tc>
          <w:tcPr>
            <w:tcW w:w="892" w:type="dxa"/>
            <w:tcBorders>
              <w:top w:val="nil"/>
              <w:left w:val="nil"/>
              <w:bottom w:val="nil"/>
              <w:right w:val="nil"/>
            </w:tcBorders>
            <w:shd w:val="clear" w:color="000000" w:fill="FFFFFF"/>
            <w:noWrap/>
            <w:vAlign w:val="bottom"/>
            <w:hideMark/>
          </w:tcPr>
          <w:p w14:paraId="52E1CD8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4.66</w:t>
            </w:r>
          </w:p>
        </w:tc>
        <w:tc>
          <w:tcPr>
            <w:tcW w:w="1598" w:type="dxa"/>
            <w:tcBorders>
              <w:top w:val="nil"/>
              <w:left w:val="nil"/>
              <w:bottom w:val="nil"/>
              <w:right w:val="nil"/>
            </w:tcBorders>
            <w:shd w:val="clear" w:color="000000" w:fill="FFFFFF"/>
            <w:noWrap/>
            <w:vAlign w:val="bottom"/>
            <w:hideMark/>
          </w:tcPr>
          <w:p w14:paraId="3B96088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29796.15</w:t>
            </w:r>
          </w:p>
        </w:tc>
        <w:tc>
          <w:tcPr>
            <w:tcW w:w="832" w:type="dxa"/>
            <w:tcBorders>
              <w:top w:val="nil"/>
              <w:left w:val="nil"/>
              <w:bottom w:val="nil"/>
              <w:right w:val="nil"/>
            </w:tcBorders>
            <w:shd w:val="clear" w:color="000000" w:fill="FFFFFF"/>
            <w:noWrap/>
            <w:vAlign w:val="bottom"/>
            <w:hideMark/>
          </w:tcPr>
          <w:p w14:paraId="05D14EF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0.09</w:t>
            </w:r>
          </w:p>
        </w:tc>
        <w:tc>
          <w:tcPr>
            <w:tcW w:w="1000" w:type="dxa"/>
            <w:tcBorders>
              <w:top w:val="nil"/>
              <w:left w:val="nil"/>
              <w:bottom w:val="nil"/>
              <w:right w:val="nil"/>
            </w:tcBorders>
            <w:shd w:val="clear" w:color="000000" w:fill="FFFFFF"/>
            <w:noWrap/>
            <w:vAlign w:val="bottom"/>
            <w:hideMark/>
          </w:tcPr>
          <w:p w14:paraId="49CF87F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0.32</w:t>
            </w:r>
          </w:p>
        </w:tc>
      </w:tr>
      <w:tr w:rsidR="00765F47" w:rsidRPr="00086601" w14:paraId="2FB0DFC7" w14:textId="77777777" w:rsidTr="00765F47">
        <w:trPr>
          <w:trHeight w:val="285"/>
        </w:trPr>
        <w:tc>
          <w:tcPr>
            <w:tcW w:w="605" w:type="dxa"/>
            <w:tcBorders>
              <w:top w:val="nil"/>
              <w:left w:val="nil"/>
              <w:bottom w:val="nil"/>
              <w:right w:val="nil"/>
            </w:tcBorders>
            <w:shd w:val="clear" w:color="000000" w:fill="FFFFFF"/>
            <w:noWrap/>
            <w:vAlign w:val="bottom"/>
            <w:hideMark/>
          </w:tcPr>
          <w:p w14:paraId="203A9565"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2009</w:t>
            </w:r>
          </w:p>
        </w:tc>
        <w:tc>
          <w:tcPr>
            <w:tcW w:w="1193" w:type="dxa"/>
            <w:tcBorders>
              <w:top w:val="nil"/>
              <w:left w:val="nil"/>
              <w:bottom w:val="nil"/>
              <w:right w:val="nil"/>
            </w:tcBorders>
            <w:shd w:val="clear" w:color="000000" w:fill="FFFFFF"/>
            <w:noWrap/>
            <w:vAlign w:val="bottom"/>
            <w:hideMark/>
          </w:tcPr>
          <w:p w14:paraId="028211C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58</w:t>
            </w:r>
          </w:p>
        </w:tc>
        <w:tc>
          <w:tcPr>
            <w:tcW w:w="892" w:type="dxa"/>
            <w:tcBorders>
              <w:top w:val="nil"/>
              <w:left w:val="nil"/>
              <w:bottom w:val="nil"/>
              <w:right w:val="nil"/>
            </w:tcBorders>
            <w:shd w:val="clear" w:color="000000" w:fill="FFFFFF"/>
            <w:noWrap/>
            <w:vAlign w:val="bottom"/>
            <w:hideMark/>
          </w:tcPr>
          <w:p w14:paraId="52F0706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5.52</w:t>
            </w:r>
          </w:p>
        </w:tc>
        <w:tc>
          <w:tcPr>
            <w:tcW w:w="1598" w:type="dxa"/>
            <w:tcBorders>
              <w:top w:val="nil"/>
              <w:left w:val="nil"/>
              <w:bottom w:val="nil"/>
              <w:right w:val="nil"/>
            </w:tcBorders>
            <w:shd w:val="clear" w:color="000000" w:fill="FFFFFF"/>
            <w:noWrap/>
            <w:vAlign w:val="bottom"/>
            <w:hideMark/>
          </w:tcPr>
          <w:p w14:paraId="6D1433D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25352.93</w:t>
            </w:r>
          </w:p>
        </w:tc>
        <w:tc>
          <w:tcPr>
            <w:tcW w:w="832" w:type="dxa"/>
            <w:tcBorders>
              <w:top w:val="nil"/>
              <w:left w:val="nil"/>
              <w:bottom w:val="nil"/>
              <w:right w:val="nil"/>
            </w:tcBorders>
            <w:shd w:val="clear" w:color="000000" w:fill="FFFFFF"/>
            <w:noWrap/>
            <w:vAlign w:val="bottom"/>
            <w:hideMark/>
          </w:tcPr>
          <w:p w14:paraId="3B14F66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-0.05</w:t>
            </w:r>
          </w:p>
        </w:tc>
        <w:tc>
          <w:tcPr>
            <w:tcW w:w="1000" w:type="dxa"/>
            <w:tcBorders>
              <w:top w:val="nil"/>
              <w:left w:val="nil"/>
              <w:bottom w:val="nil"/>
              <w:right w:val="nil"/>
            </w:tcBorders>
            <w:shd w:val="clear" w:color="000000" w:fill="FFFFFF"/>
            <w:noWrap/>
            <w:vAlign w:val="bottom"/>
            <w:hideMark/>
          </w:tcPr>
          <w:p w14:paraId="2E3E863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-0.12</w:t>
            </w:r>
          </w:p>
        </w:tc>
      </w:tr>
      <w:tr w:rsidR="00765F47" w:rsidRPr="00086601" w14:paraId="405EDF0D" w14:textId="77777777" w:rsidTr="00765F47">
        <w:trPr>
          <w:trHeight w:val="285"/>
        </w:trPr>
        <w:tc>
          <w:tcPr>
            <w:tcW w:w="605" w:type="dxa"/>
            <w:tcBorders>
              <w:top w:val="nil"/>
              <w:left w:val="nil"/>
              <w:bottom w:val="nil"/>
              <w:right w:val="nil"/>
            </w:tcBorders>
            <w:shd w:val="clear" w:color="000000" w:fill="FFFFFF"/>
            <w:noWrap/>
            <w:vAlign w:val="bottom"/>
            <w:hideMark/>
          </w:tcPr>
          <w:p w14:paraId="2F85944F"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2010</w:t>
            </w:r>
          </w:p>
        </w:tc>
        <w:tc>
          <w:tcPr>
            <w:tcW w:w="1193" w:type="dxa"/>
            <w:tcBorders>
              <w:top w:val="nil"/>
              <w:left w:val="nil"/>
              <w:bottom w:val="nil"/>
              <w:right w:val="nil"/>
            </w:tcBorders>
            <w:shd w:val="clear" w:color="000000" w:fill="FFFFFF"/>
            <w:noWrap/>
            <w:vAlign w:val="bottom"/>
            <w:hideMark/>
          </w:tcPr>
          <w:p w14:paraId="32976B5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58</w:t>
            </w:r>
          </w:p>
        </w:tc>
        <w:tc>
          <w:tcPr>
            <w:tcW w:w="892" w:type="dxa"/>
            <w:tcBorders>
              <w:top w:val="nil"/>
              <w:left w:val="nil"/>
              <w:bottom w:val="nil"/>
              <w:right w:val="nil"/>
            </w:tcBorders>
            <w:shd w:val="clear" w:color="000000" w:fill="FFFFFF"/>
            <w:noWrap/>
            <w:vAlign w:val="bottom"/>
            <w:hideMark/>
          </w:tcPr>
          <w:p w14:paraId="75FD13B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5.52</w:t>
            </w:r>
          </w:p>
        </w:tc>
        <w:tc>
          <w:tcPr>
            <w:tcW w:w="1598" w:type="dxa"/>
            <w:tcBorders>
              <w:top w:val="nil"/>
              <w:left w:val="nil"/>
              <w:bottom w:val="nil"/>
              <w:right w:val="nil"/>
            </w:tcBorders>
            <w:shd w:val="clear" w:color="000000" w:fill="FFFFFF"/>
            <w:noWrap/>
            <w:vAlign w:val="bottom"/>
            <w:hideMark/>
          </w:tcPr>
          <w:p w14:paraId="08EA0EA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25845.74</w:t>
            </w:r>
          </w:p>
        </w:tc>
        <w:tc>
          <w:tcPr>
            <w:tcW w:w="832" w:type="dxa"/>
            <w:tcBorders>
              <w:top w:val="nil"/>
              <w:left w:val="nil"/>
              <w:bottom w:val="nil"/>
              <w:right w:val="nil"/>
            </w:tcBorders>
            <w:shd w:val="clear" w:color="000000" w:fill="FFFFFF"/>
            <w:noWrap/>
            <w:vAlign w:val="bottom"/>
            <w:hideMark/>
          </w:tcPr>
          <w:p w14:paraId="1641C98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-0.02</w:t>
            </w:r>
          </w:p>
        </w:tc>
        <w:tc>
          <w:tcPr>
            <w:tcW w:w="1000" w:type="dxa"/>
            <w:tcBorders>
              <w:top w:val="nil"/>
              <w:left w:val="nil"/>
              <w:bottom w:val="nil"/>
              <w:right w:val="nil"/>
            </w:tcBorders>
            <w:shd w:val="clear" w:color="000000" w:fill="FFFFFF"/>
            <w:noWrap/>
            <w:vAlign w:val="bottom"/>
            <w:hideMark/>
          </w:tcPr>
          <w:p w14:paraId="74DC3EB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0.02</w:t>
            </w:r>
          </w:p>
        </w:tc>
      </w:tr>
      <w:tr w:rsidR="00765F47" w:rsidRPr="00086601" w14:paraId="7627DD0F" w14:textId="77777777" w:rsidTr="00765F47">
        <w:trPr>
          <w:trHeight w:val="285"/>
        </w:trPr>
        <w:tc>
          <w:tcPr>
            <w:tcW w:w="605" w:type="dxa"/>
            <w:tcBorders>
              <w:top w:val="nil"/>
              <w:left w:val="nil"/>
              <w:bottom w:val="nil"/>
              <w:right w:val="nil"/>
            </w:tcBorders>
            <w:shd w:val="clear" w:color="000000" w:fill="FFFFFF"/>
            <w:noWrap/>
            <w:vAlign w:val="bottom"/>
            <w:hideMark/>
          </w:tcPr>
          <w:p w14:paraId="129FD735"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2011</w:t>
            </w:r>
          </w:p>
        </w:tc>
        <w:tc>
          <w:tcPr>
            <w:tcW w:w="1193" w:type="dxa"/>
            <w:tcBorders>
              <w:top w:val="nil"/>
              <w:left w:val="nil"/>
              <w:bottom w:val="nil"/>
              <w:right w:val="nil"/>
            </w:tcBorders>
            <w:shd w:val="clear" w:color="000000" w:fill="FFFFFF"/>
            <w:noWrap/>
            <w:vAlign w:val="bottom"/>
            <w:hideMark/>
          </w:tcPr>
          <w:p w14:paraId="190FCBC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59</w:t>
            </w:r>
          </w:p>
        </w:tc>
        <w:tc>
          <w:tcPr>
            <w:tcW w:w="892" w:type="dxa"/>
            <w:tcBorders>
              <w:top w:val="nil"/>
              <w:left w:val="nil"/>
              <w:bottom w:val="nil"/>
              <w:right w:val="nil"/>
            </w:tcBorders>
            <w:shd w:val="clear" w:color="000000" w:fill="FFFFFF"/>
            <w:noWrap/>
            <w:vAlign w:val="bottom"/>
            <w:hideMark/>
          </w:tcPr>
          <w:p w14:paraId="0E0A05C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5.61</w:t>
            </w:r>
          </w:p>
        </w:tc>
        <w:tc>
          <w:tcPr>
            <w:tcW w:w="1598" w:type="dxa"/>
            <w:tcBorders>
              <w:top w:val="nil"/>
              <w:left w:val="nil"/>
              <w:bottom w:val="nil"/>
              <w:right w:val="nil"/>
            </w:tcBorders>
            <w:shd w:val="clear" w:color="000000" w:fill="FFFFFF"/>
            <w:noWrap/>
            <w:vAlign w:val="bottom"/>
            <w:hideMark/>
          </w:tcPr>
          <w:p w14:paraId="318CBE1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25929.99</w:t>
            </w:r>
          </w:p>
        </w:tc>
        <w:tc>
          <w:tcPr>
            <w:tcW w:w="832" w:type="dxa"/>
            <w:tcBorders>
              <w:top w:val="nil"/>
              <w:left w:val="nil"/>
              <w:bottom w:val="nil"/>
              <w:right w:val="nil"/>
            </w:tcBorders>
            <w:shd w:val="clear" w:color="000000" w:fill="FFFFFF"/>
            <w:noWrap/>
            <w:vAlign w:val="bottom"/>
            <w:hideMark/>
          </w:tcPr>
          <w:p w14:paraId="7F6582E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0.06</w:t>
            </w:r>
          </w:p>
        </w:tc>
        <w:tc>
          <w:tcPr>
            <w:tcW w:w="1000" w:type="dxa"/>
            <w:tcBorders>
              <w:top w:val="nil"/>
              <w:left w:val="nil"/>
              <w:bottom w:val="nil"/>
              <w:right w:val="nil"/>
            </w:tcBorders>
            <w:shd w:val="clear" w:color="000000" w:fill="FFFFFF"/>
            <w:noWrap/>
            <w:vAlign w:val="bottom"/>
            <w:hideMark/>
          </w:tcPr>
          <w:p w14:paraId="745B85C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0.24</w:t>
            </w:r>
          </w:p>
        </w:tc>
      </w:tr>
      <w:tr w:rsidR="00765F47" w:rsidRPr="00086601" w14:paraId="313F0E69" w14:textId="77777777" w:rsidTr="00765F47">
        <w:trPr>
          <w:trHeight w:val="285"/>
        </w:trPr>
        <w:tc>
          <w:tcPr>
            <w:tcW w:w="605" w:type="dxa"/>
            <w:tcBorders>
              <w:top w:val="nil"/>
              <w:left w:val="nil"/>
              <w:bottom w:val="nil"/>
              <w:right w:val="nil"/>
            </w:tcBorders>
            <w:shd w:val="clear" w:color="000000" w:fill="FFFFFF"/>
            <w:noWrap/>
            <w:vAlign w:val="bottom"/>
            <w:hideMark/>
          </w:tcPr>
          <w:p w14:paraId="72588A72"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2012</w:t>
            </w:r>
          </w:p>
        </w:tc>
        <w:tc>
          <w:tcPr>
            <w:tcW w:w="1193" w:type="dxa"/>
            <w:tcBorders>
              <w:top w:val="nil"/>
              <w:left w:val="nil"/>
              <w:bottom w:val="nil"/>
              <w:right w:val="nil"/>
            </w:tcBorders>
            <w:shd w:val="clear" w:color="000000" w:fill="FFFFFF"/>
            <w:noWrap/>
            <w:vAlign w:val="bottom"/>
            <w:hideMark/>
          </w:tcPr>
          <w:p w14:paraId="49C43D5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60</w:t>
            </w:r>
          </w:p>
        </w:tc>
        <w:tc>
          <w:tcPr>
            <w:tcW w:w="892" w:type="dxa"/>
            <w:tcBorders>
              <w:top w:val="nil"/>
              <w:left w:val="nil"/>
              <w:bottom w:val="nil"/>
              <w:right w:val="nil"/>
            </w:tcBorders>
            <w:shd w:val="clear" w:color="000000" w:fill="FFFFFF"/>
            <w:noWrap/>
            <w:vAlign w:val="bottom"/>
            <w:hideMark/>
          </w:tcPr>
          <w:p w14:paraId="0870F05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5.71</w:t>
            </w:r>
          </w:p>
        </w:tc>
        <w:tc>
          <w:tcPr>
            <w:tcW w:w="1598" w:type="dxa"/>
            <w:tcBorders>
              <w:top w:val="nil"/>
              <w:left w:val="nil"/>
              <w:bottom w:val="nil"/>
              <w:right w:val="nil"/>
            </w:tcBorders>
            <w:shd w:val="clear" w:color="000000" w:fill="FFFFFF"/>
            <w:noWrap/>
            <w:vAlign w:val="bottom"/>
            <w:hideMark/>
          </w:tcPr>
          <w:p w14:paraId="6FC02D7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25717.62</w:t>
            </w:r>
          </w:p>
        </w:tc>
        <w:tc>
          <w:tcPr>
            <w:tcW w:w="832" w:type="dxa"/>
            <w:tcBorders>
              <w:top w:val="nil"/>
              <w:left w:val="nil"/>
              <w:bottom w:val="nil"/>
              <w:right w:val="nil"/>
            </w:tcBorders>
            <w:shd w:val="clear" w:color="000000" w:fill="FFFFFF"/>
            <w:noWrap/>
            <w:vAlign w:val="bottom"/>
            <w:hideMark/>
          </w:tcPr>
          <w:p w14:paraId="3A9DFAF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-0.01</w:t>
            </w:r>
          </w:p>
        </w:tc>
        <w:tc>
          <w:tcPr>
            <w:tcW w:w="1000" w:type="dxa"/>
            <w:tcBorders>
              <w:top w:val="nil"/>
              <w:left w:val="nil"/>
              <w:bottom w:val="nil"/>
              <w:right w:val="nil"/>
            </w:tcBorders>
            <w:shd w:val="clear" w:color="000000" w:fill="FFFFFF"/>
            <w:noWrap/>
            <w:vAlign w:val="bottom"/>
            <w:hideMark/>
          </w:tcPr>
          <w:p w14:paraId="59B2890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-0.02</w:t>
            </w:r>
          </w:p>
        </w:tc>
      </w:tr>
      <w:tr w:rsidR="00765F47" w:rsidRPr="00086601" w14:paraId="27C46F8C" w14:textId="77777777" w:rsidTr="00765F47">
        <w:trPr>
          <w:trHeight w:val="285"/>
        </w:trPr>
        <w:tc>
          <w:tcPr>
            <w:tcW w:w="605" w:type="dxa"/>
            <w:tcBorders>
              <w:top w:val="nil"/>
              <w:left w:val="nil"/>
              <w:bottom w:val="nil"/>
              <w:right w:val="nil"/>
            </w:tcBorders>
            <w:shd w:val="clear" w:color="000000" w:fill="FFFFFF"/>
            <w:noWrap/>
            <w:vAlign w:val="bottom"/>
            <w:hideMark/>
          </w:tcPr>
          <w:p w14:paraId="5B188F36"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2013</w:t>
            </w:r>
          </w:p>
        </w:tc>
        <w:tc>
          <w:tcPr>
            <w:tcW w:w="1193" w:type="dxa"/>
            <w:tcBorders>
              <w:top w:val="nil"/>
              <w:left w:val="nil"/>
              <w:bottom w:val="nil"/>
              <w:right w:val="nil"/>
            </w:tcBorders>
            <w:shd w:val="clear" w:color="000000" w:fill="FFFFFF"/>
            <w:noWrap/>
            <w:vAlign w:val="bottom"/>
            <w:hideMark/>
          </w:tcPr>
          <w:p w14:paraId="583AE5E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61</w:t>
            </w:r>
          </w:p>
        </w:tc>
        <w:tc>
          <w:tcPr>
            <w:tcW w:w="892" w:type="dxa"/>
            <w:tcBorders>
              <w:top w:val="nil"/>
              <w:left w:val="nil"/>
              <w:bottom w:val="nil"/>
              <w:right w:val="nil"/>
            </w:tcBorders>
            <w:shd w:val="clear" w:color="000000" w:fill="FFFFFF"/>
            <w:noWrap/>
            <w:vAlign w:val="bottom"/>
            <w:hideMark/>
          </w:tcPr>
          <w:p w14:paraId="6691CBB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5.8</w:t>
            </w:r>
          </w:p>
        </w:tc>
        <w:tc>
          <w:tcPr>
            <w:tcW w:w="1598" w:type="dxa"/>
            <w:tcBorders>
              <w:top w:val="nil"/>
              <w:left w:val="nil"/>
              <w:bottom w:val="nil"/>
              <w:right w:val="nil"/>
            </w:tcBorders>
            <w:shd w:val="clear" w:color="000000" w:fill="FFFFFF"/>
            <w:noWrap/>
            <w:vAlign w:val="bottom"/>
            <w:hideMark/>
          </w:tcPr>
          <w:p w14:paraId="024129A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25494.34</w:t>
            </w:r>
          </w:p>
        </w:tc>
        <w:tc>
          <w:tcPr>
            <w:tcW w:w="832" w:type="dxa"/>
            <w:tcBorders>
              <w:top w:val="nil"/>
              <w:left w:val="nil"/>
              <w:bottom w:val="nil"/>
              <w:right w:val="nil"/>
            </w:tcBorders>
            <w:shd w:val="clear" w:color="000000" w:fill="FFFFFF"/>
            <w:noWrap/>
            <w:vAlign w:val="bottom"/>
            <w:hideMark/>
          </w:tcPr>
          <w:p w14:paraId="18E80DB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0.10</w:t>
            </w:r>
          </w:p>
        </w:tc>
        <w:tc>
          <w:tcPr>
            <w:tcW w:w="1000" w:type="dxa"/>
            <w:tcBorders>
              <w:top w:val="nil"/>
              <w:left w:val="nil"/>
              <w:bottom w:val="nil"/>
              <w:right w:val="nil"/>
            </w:tcBorders>
            <w:shd w:val="clear" w:color="000000" w:fill="FFFFFF"/>
            <w:noWrap/>
            <w:vAlign w:val="bottom"/>
            <w:hideMark/>
          </w:tcPr>
          <w:p w14:paraId="1963E13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0.41</w:t>
            </w:r>
          </w:p>
        </w:tc>
      </w:tr>
      <w:tr w:rsidR="00765F47" w:rsidRPr="00086601" w14:paraId="101F4EFE" w14:textId="77777777" w:rsidTr="00765F47">
        <w:trPr>
          <w:trHeight w:val="285"/>
        </w:trPr>
        <w:tc>
          <w:tcPr>
            <w:tcW w:w="605" w:type="dxa"/>
            <w:tcBorders>
              <w:top w:val="nil"/>
              <w:left w:val="nil"/>
              <w:bottom w:val="nil"/>
              <w:right w:val="nil"/>
            </w:tcBorders>
            <w:shd w:val="clear" w:color="000000" w:fill="FFFFFF"/>
            <w:noWrap/>
            <w:vAlign w:val="bottom"/>
            <w:hideMark/>
          </w:tcPr>
          <w:p w14:paraId="35F822E7"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2014</w:t>
            </w:r>
          </w:p>
        </w:tc>
        <w:tc>
          <w:tcPr>
            <w:tcW w:w="1193" w:type="dxa"/>
            <w:tcBorders>
              <w:top w:val="nil"/>
              <w:left w:val="nil"/>
              <w:bottom w:val="nil"/>
              <w:right w:val="nil"/>
            </w:tcBorders>
            <w:shd w:val="clear" w:color="000000" w:fill="FFFFFF"/>
            <w:noWrap/>
            <w:vAlign w:val="bottom"/>
            <w:hideMark/>
          </w:tcPr>
          <w:p w14:paraId="0B5FD7F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61</w:t>
            </w:r>
          </w:p>
        </w:tc>
        <w:tc>
          <w:tcPr>
            <w:tcW w:w="892" w:type="dxa"/>
            <w:tcBorders>
              <w:top w:val="nil"/>
              <w:left w:val="nil"/>
              <w:bottom w:val="nil"/>
              <w:right w:val="nil"/>
            </w:tcBorders>
            <w:shd w:val="clear" w:color="000000" w:fill="FFFFFF"/>
            <w:noWrap/>
            <w:vAlign w:val="bottom"/>
            <w:hideMark/>
          </w:tcPr>
          <w:p w14:paraId="76ED666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5.8</w:t>
            </w:r>
          </w:p>
        </w:tc>
        <w:tc>
          <w:tcPr>
            <w:tcW w:w="1598" w:type="dxa"/>
            <w:tcBorders>
              <w:top w:val="nil"/>
              <w:left w:val="nil"/>
              <w:bottom w:val="nil"/>
              <w:right w:val="nil"/>
            </w:tcBorders>
            <w:shd w:val="clear" w:color="000000" w:fill="FFFFFF"/>
            <w:noWrap/>
            <w:vAlign w:val="bottom"/>
            <w:hideMark/>
          </w:tcPr>
          <w:p w14:paraId="0C7ECD1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25831.00</w:t>
            </w:r>
          </w:p>
        </w:tc>
        <w:tc>
          <w:tcPr>
            <w:tcW w:w="832" w:type="dxa"/>
            <w:tcBorders>
              <w:top w:val="nil"/>
              <w:left w:val="nil"/>
              <w:bottom w:val="nil"/>
              <w:right w:val="nil"/>
            </w:tcBorders>
            <w:shd w:val="clear" w:color="000000" w:fill="FFFFFF"/>
            <w:noWrap/>
            <w:vAlign w:val="bottom"/>
            <w:hideMark/>
          </w:tcPr>
          <w:p w14:paraId="778FE53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0.08</w:t>
            </w:r>
          </w:p>
        </w:tc>
        <w:tc>
          <w:tcPr>
            <w:tcW w:w="1000" w:type="dxa"/>
            <w:tcBorders>
              <w:top w:val="nil"/>
              <w:left w:val="nil"/>
              <w:bottom w:val="nil"/>
              <w:right w:val="nil"/>
            </w:tcBorders>
            <w:shd w:val="clear" w:color="000000" w:fill="FFFFFF"/>
            <w:noWrap/>
            <w:vAlign w:val="bottom"/>
            <w:hideMark/>
          </w:tcPr>
          <w:p w14:paraId="66596FB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0.43</w:t>
            </w:r>
          </w:p>
        </w:tc>
      </w:tr>
      <w:tr w:rsidR="00765F47" w:rsidRPr="00086601" w14:paraId="0FE96680" w14:textId="77777777" w:rsidTr="00765F47">
        <w:trPr>
          <w:trHeight w:val="285"/>
        </w:trPr>
        <w:tc>
          <w:tcPr>
            <w:tcW w:w="605" w:type="dxa"/>
            <w:tcBorders>
              <w:top w:val="nil"/>
              <w:left w:val="nil"/>
              <w:bottom w:val="nil"/>
              <w:right w:val="nil"/>
            </w:tcBorders>
            <w:shd w:val="clear" w:color="000000" w:fill="FFFFFF"/>
            <w:noWrap/>
            <w:vAlign w:val="bottom"/>
            <w:hideMark/>
          </w:tcPr>
          <w:p w14:paraId="1C2630C1"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2015</w:t>
            </w:r>
          </w:p>
        </w:tc>
        <w:tc>
          <w:tcPr>
            <w:tcW w:w="1193" w:type="dxa"/>
            <w:tcBorders>
              <w:top w:val="nil"/>
              <w:left w:val="nil"/>
              <w:bottom w:val="nil"/>
              <w:right w:val="nil"/>
            </w:tcBorders>
            <w:shd w:val="clear" w:color="000000" w:fill="FFFFFF"/>
            <w:noWrap/>
            <w:vAlign w:val="bottom"/>
            <w:hideMark/>
          </w:tcPr>
          <w:p w14:paraId="002924B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72</w:t>
            </w:r>
          </w:p>
        </w:tc>
        <w:tc>
          <w:tcPr>
            <w:tcW w:w="892" w:type="dxa"/>
            <w:tcBorders>
              <w:top w:val="nil"/>
              <w:left w:val="nil"/>
              <w:bottom w:val="nil"/>
              <w:right w:val="nil"/>
            </w:tcBorders>
            <w:shd w:val="clear" w:color="000000" w:fill="FFFFFF"/>
            <w:noWrap/>
            <w:vAlign w:val="bottom"/>
            <w:hideMark/>
          </w:tcPr>
          <w:p w14:paraId="4572810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6.85</w:t>
            </w:r>
          </w:p>
        </w:tc>
        <w:tc>
          <w:tcPr>
            <w:tcW w:w="1598" w:type="dxa"/>
            <w:tcBorders>
              <w:top w:val="nil"/>
              <w:left w:val="nil"/>
              <w:bottom w:val="nil"/>
              <w:right w:val="nil"/>
            </w:tcBorders>
            <w:shd w:val="clear" w:color="000000" w:fill="FFFFFF"/>
            <w:noWrap/>
            <w:vAlign w:val="bottom"/>
            <w:hideMark/>
          </w:tcPr>
          <w:p w14:paraId="54CDEA9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23336.38</w:t>
            </w:r>
          </w:p>
        </w:tc>
        <w:tc>
          <w:tcPr>
            <w:tcW w:w="832" w:type="dxa"/>
            <w:tcBorders>
              <w:top w:val="nil"/>
              <w:left w:val="nil"/>
              <w:bottom w:val="nil"/>
              <w:right w:val="nil"/>
            </w:tcBorders>
            <w:shd w:val="clear" w:color="000000" w:fill="FFFFFF"/>
            <w:noWrap/>
            <w:vAlign w:val="bottom"/>
            <w:hideMark/>
          </w:tcPr>
          <w:p w14:paraId="7AADE91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-0.03</w:t>
            </w:r>
          </w:p>
        </w:tc>
        <w:tc>
          <w:tcPr>
            <w:tcW w:w="1000" w:type="dxa"/>
            <w:tcBorders>
              <w:top w:val="nil"/>
              <w:left w:val="nil"/>
              <w:bottom w:val="nil"/>
              <w:right w:val="nil"/>
            </w:tcBorders>
            <w:shd w:val="clear" w:color="000000" w:fill="FFFFFF"/>
            <w:noWrap/>
            <w:vAlign w:val="bottom"/>
            <w:hideMark/>
          </w:tcPr>
          <w:p w14:paraId="7CD4EF3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-0.02</w:t>
            </w:r>
          </w:p>
        </w:tc>
      </w:tr>
      <w:tr w:rsidR="00765F47" w:rsidRPr="00086601" w14:paraId="6C18CC3C" w14:textId="77777777" w:rsidTr="00765F47">
        <w:trPr>
          <w:trHeight w:val="285"/>
        </w:trPr>
        <w:tc>
          <w:tcPr>
            <w:tcW w:w="605" w:type="dxa"/>
            <w:tcBorders>
              <w:top w:val="nil"/>
              <w:left w:val="nil"/>
              <w:bottom w:val="nil"/>
              <w:right w:val="nil"/>
            </w:tcBorders>
            <w:shd w:val="clear" w:color="000000" w:fill="FFFFFF"/>
            <w:noWrap/>
            <w:vAlign w:val="bottom"/>
            <w:hideMark/>
          </w:tcPr>
          <w:p w14:paraId="080DF06E"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2016</w:t>
            </w:r>
          </w:p>
        </w:tc>
        <w:tc>
          <w:tcPr>
            <w:tcW w:w="1193" w:type="dxa"/>
            <w:tcBorders>
              <w:top w:val="nil"/>
              <w:left w:val="nil"/>
              <w:bottom w:val="nil"/>
              <w:right w:val="nil"/>
            </w:tcBorders>
            <w:shd w:val="clear" w:color="000000" w:fill="FFFFFF"/>
            <w:noWrap/>
            <w:vAlign w:val="bottom"/>
            <w:hideMark/>
          </w:tcPr>
          <w:p w14:paraId="19CD5AB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72</w:t>
            </w:r>
          </w:p>
        </w:tc>
        <w:tc>
          <w:tcPr>
            <w:tcW w:w="892" w:type="dxa"/>
            <w:tcBorders>
              <w:top w:val="nil"/>
              <w:left w:val="nil"/>
              <w:bottom w:val="nil"/>
              <w:right w:val="nil"/>
            </w:tcBorders>
            <w:shd w:val="clear" w:color="000000" w:fill="FFFFFF"/>
            <w:noWrap/>
            <w:vAlign w:val="bottom"/>
            <w:hideMark/>
          </w:tcPr>
          <w:p w14:paraId="761E058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6.85</w:t>
            </w:r>
          </w:p>
        </w:tc>
        <w:tc>
          <w:tcPr>
            <w:tcW w:w="1598" w:type="dxa"/>
            <w:tcBorders>
              <w:top w:val="nil"/>
              <w:left w:val="nil"/>
              <w:bottom w:val="nil"/>
              <w:right w:val="nil"/>
            </w:tcBorders>
            <w:shd w:val="clear" w:color="000000" w:fill="FFFFFF"/>
            <w:noWrap/>
            <w:vAlign w:val="bottom"/>
            <w:hideMark/>
          </w:tcPr>
          <w:p w14:paraId="78C61CB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23641.17</w:t>
            </w:r>
          </w:p>
        </w:tc>
        <w:tc>
          <w:tcPr>
            <w:tcW w:w="832" w:type="dxa"/>
            <w:tcBorders>
              <w:top w:val="nil"/>
              <w:left w:val="nil"/>
              <w:bottom w:val="nil"/>
              <w:right w:val="nil"/>
            </w:tcBorders>
            <w:shd w:val="clear" w:color="000000" w:fill="FFFFFF"/>
            <w:noWrap/>
            <w:vAlign w:val="bottom"/>
            <w:hideMark/>
          </w:tcPr>
          <w:p w14:paraId="6347DC2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-0.01</w:t>
            </w:r>
          </w:p>
        </w:tc>
        <w:tc>
          <w:tcPr>
            <w:tcW w:w="1000" w:type="dxa"/>
            <w:tcBorders>
              <w:top w:val="nil"/>
              <w:left w:val="nil"/>
              <w:bottom w:val="nil"/>
              <w:right w:val="nil"/>
            </w:tcBorders>
            <w:shd w:val="clear" w:color="000000" w:fill="FFFFFF"/>
            <w:noWrap/>
            <w:vAlign w:val="bottom"/>
            <w:hideMark/>
          </w:tcPr>
          <w:p w14:paraId="56D608B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0.13</w:t>
            </w:r>
          </w:p>
        </w:tc>
      </w:tr>
      <w:tr w:rsidR="00765F47" w:rsidRPr="00086601" w14:paraId="418B56B2" w14:textId="77777777" w:rsidTr="00765F47">
        <w:trPr>
          <w:trHeight w:val="285"/>
        </w:trPr>
        <w:tc>
          <w:tcPr>
            <w:tcW w:w="605" w:type="dxa"/>
            <w:tcBorders>
              <w:top w:val="nil"/>
              <w:left w:val="nil"/>
              <w:bottom w:val="nil"/>
              <w:right w:val="nil"/>
            </w:tcBorders>
            <w:shd w:val="clear" w:color="000000" w:fill="FFFFFF"/>
            <w:noWrap/>
            <w:vAlign w:val="bottom"/>
            <w:hideMark/>
          </w:tcPr>
          <w:p w14:paraId="0E601AC0"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2017</w:t>
            </w:r>
          </w:p>
        </w:tc>
        <w:tc>
          <w:tcPr>
            <w:tcW w:w="1193" w:type="dxa"/>
            <w:tcBorders>
              <w:top w:val="nil"/>
              <w:left w:val="nil"/>
              <w:bottom w:val="nil"/>
              <w:right w:val="nil"/>
            </w:tcBorders>
            <w:shd w:val="clear" w:color="000000" w:fill="FFFFFF"/>
            <w:noWrap/>
            <w:vAlign w:val="bottom"/>
            <w:hideMark/>
          </w:tcPr>
          <w:p w14:paraId="17EF027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72</w:t>
            </w:r>
          </w:p>
        </w:tc>
        <w:tc>
          <w:tcPr>
            <w:tcW w:w="892" w:type="dxa"/>
            <w:tcBorders>
              <w:top w:val="nil"/>
              <w:left w:val="nil"/>
              <w:bottom w:val="nil"/>
              <w:right w:val="nil"/>
            </w:tcBorders>
            <w:shd w:val="clear" w:color="000000" w:fill="FFFFFF"/>
            <w:noWrap/>
            <w:vAlign w:val="bottom"/>
            <w:hideMark/>
          </w:tcPr>
          <w:p w14:paraId="473DF9A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6.85</w:t>
            </w:r>
          </w:p>
        </w:tc>
        <w:tc>
          <w:tcPr>
            <w:tcW w:w="1598" w:type="dxa"/>
            <w:tcBorders>
              <w:top w:val="nil"/>
              <w:left w:val="nil"/>
              <w:bottom w:val="nil"/>
              <w:right w:val="nil"/>
            </w:tcBorders>
            <w:shd w:val="clear" w:color="000000" w:fill="FFFFFF"/>
            <w:noWrap/>
            <w:vAlign w:val="bottom"/>
            <w:hideMark/>
          </w:tcPr>
          <w:p w14:paraId="2F9F498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24089.43</w:t>
            </w:r>
          </w:p>
        </w:tc>
        <w:tc>
          <w:tcPr>
            <w:tcW w:w="832" w:type="dxa"/>
            <w:tcBorders>
              <w:top w:val="nil"/>
              <w:left w:val="nil"/>
              <w:bottom w:val="nil"/>
              <w:right w:val="nil"/>
            </w:tcBorders>
            <w:shd w:val="clear" w:color="000000" w:fill="FFFFFF"/>
            <w:noWrap/>
            <w:vAlign w:val="bottom"/>
            <w:hideMark/>
          </w:tcPr>
          <w:p w14:paraId="0CD4429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-0.06</w:t>
            </w:r>
          </w:p>
        </w:tc>
        <w:tc>
          <w:tcPr>
            <w:tcW w:w="1000" w:type="dxa"/>
            <w:tcBorders>
              <w:top w:val="nil"/>
              <w:left w:val="nil"/>
              <w:bottom w:val="nil"/>
              <w:right w:val="nil"/>
            </w:tcBorders>
            <w:shd w:val="clear" w:color="000000" w:fill="FFFFFF"/>
            <w:noWrap/>
            <w:vAlign w:val="bottom"/>
            <w:hideMark/>
          </w:tcPr>
          <w:p w14:paraId="460B7B7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-0.20</w:t>
            </w:r>
          </w:p>
        </w:tc>
      </w:tr>
      <w:tr w:rsidR="00765F47" w:rsidRPr="00086601" w14:paraId="5640222C" w14:textId="77777777" w:rsidTr="00765F47">
        <w:trPr>
          <w:trHeight w:val="285"/>
        </w:trPr>
        <w:tc>
          <w:tcPr>
            <w:tcW w:w="605" w:type="dxa"/>
            <w:tcBorders>
              <w:top w:val="nil"/>
              <w:left w:val="nil"/>
              <w:bottom w:val="nil"/>
              <w:right w:val="nil"/>
            </w:tcBorders>
            <w:shd w:val="clear" w:color="000000" w:fill="FFFFFF"/>
            <w:noWrap/>
            <w:vAlign w:val="bottom"/>
            <w:hideMark/>
          </w:tcPr>
          <w:p w14:paraId="1989D0CB"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2018</w:t>
            </w:r>
          </w:p>
        </w:tc>
        <w:tc>
          <w:tcPr>
            <w:tcW w:w="1193" w:type="dxa"/>
            <w:tcBorders>
              <w:top w:val="nil"/>
              <w:left w:val="nil"/>
              <w:bottom w:val="nil"/>
              <w:right w:val="nil"/>
            </w:tcBorders>
            <w:shd w:val="clear" w:color="000000" w:fill="FFFFFF"/>
            <w:noWrap/>
            <w:vAlign w:val="bottom"/>
            <w:hideMark/>
          </w:tcPr>
          <w:p w14:paraId="571BC55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72</w:t>
            </w:r>
          </w:p>
        </w:tc>
        <w:tc>
          <w:tcPr>
            <w:tcW w:w="892" w:type="dxa"/>
            <w:tcBorders>
              <w:top w:val="nil"/>
              <w:left w:val="nil"/>
              <w:bottom w:val="nil"/>
              <w:right w:val="nil"/>
            </w:tcBorders>
            <w:shd w:val="clear" w:color="000000" w:fill="FFFFFF"/>
            <w:noWrap/>
            <w:vAlign w:val="bottom"/>
            <w:hideMark/>
          </w:tcPr>
          <w:p w14:paraId="5F6DE93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6.85</w:t>
            </w:r>
          </w:p>
        </w:tc>
        <w:tc>
          <w:tcPr>
            <w:tcW w:w="1598" w:type="dxa"/>
            <w:tcBorders>
              <w:top w:val="nil"/>
              <w:left w:val="nil"/>
              <w:bottom w:val="nil"/>
              <w:right w:val="nil"/>
            </w:tcBorders>
            <w:shd w:val="clear" w:color="000000" w:fill="FFFFFF"/>
            <w:noWrap/>
            <w:vAlign w:val="bottom"/>
            <w:hideMark/>
          </w:tcPr>
          <w:p w14:paraId="16993B6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24526.79</w:t>
            </w:r>
          </w:p>
        </w:tc>
        <w:tc>
          <w:tcPr>
            <w:tcW w:w="832" w:type="dxa"/>
            <w:tcBorders>
              <w:top w:val="nil"/>
              <w:left w:val="nil"/>
              <w:bottom w:val="nil"/>
              <w:right w:val="nil"/>
            </w:tcBorders>
            <w:shd w:val="clear" w:color="000000" w:fill="FFFFFF"/>
            <w:noWrap/>
            <w:vAlign w:val="bottom"/>
            <w:hideMark/>
          </w:tcPr>
          <w:p w14:paraId="0F879B8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0.00</w:t>
            </w:r>
          </w:p>
        </w:tc>
        <w:tc>
          <w:tcPr>
            <w:tcW w:w="1000" w:type="dxa"/>
            <w:tcBorders>
              <w:top w:val="nil"/>
              <w:left w:val="nil"/>
              <w:bottom w:val="nil"/>
              <w:right w:val="nil"/>
            </w:tcBorders>
            <w:shd w:val="clear" w:color="000000" w:fill="FFFFFF"/>
            <w:noWrap/>
            <w:vAlign w:val="bottom"/>
            <w:hideMark/>
          </w:tcPr>
          <w:p w14:paraId="6066791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0.08</w:t>
            </w:r>
          </w:p>
        </w:tc>
      </w:tr>
      <w:tr w:rsidR="00765F47" w:rsidRPr="00086601" w14:paraId="5C27F97E" w14:textId="77777777" w:rsidTr="00765F47">
        <w:trPr>
          <w:trHeight w:val="285"/>
        </w:trPr>
        <w:tc>
          <w:tcPr>
            <w:tcW w:w="605" w:type="dxa"/>
            <w:tcBorders>
              <w:top w:val="single" w:sz="4" w:space="0" w:color="auto"/>
              <w:left w:val="nil"/>
              <w:bottom w:val="single" w:sz="4" w:space="0" w:color="auto"/>
              <w:right w:val="nil"/>
            </w:tcBorders>
            <w:shd w:val="clear" w:color="000000" w:fill="FFFFFF"/>
            <w:noWrap/>
            <w:vAlign w:val="bottom"/>
            <w:hideMark/>
          </w:tcPr>
          <w:p w14:paraId="756BE260" w14:textId="77777777" w:rsidR="00765F47" w:rsidRPr="00086601" w:rsidRDefault="00765F47" w:rsidP="00765F47">
            <w:pPr>
              <w:spacing w:after="0" w:line="240" w:lineRule="auto"/>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Total</w:t>
            </w:r>
          </w:p>
        </w:tc>
        <w:tc>
          <w:tcPr>
            <w:tcW w:w="1193" w:type="dxa"/>
            <w:tcBorders>
              <w:top w:val="single" w:sz="4" w:space="0" w:color="auto"/>
              <w:left w:val="nil"/>
              <w:bottom w:val="single" w:sz="4" w:space="0" w:color="auto"/>
              <w:right w:val="nil"/>
            </w:tcBorders>
            <w:shd w:val="clear" w:color="000000" w:fill="FFFFFF"/>
            <w:noWrap/>
            <w:vAlign w:val="bottom"/>
            <w:hideMark/>
          </w:tcPr>
          <w:p w14:paraId="46D86866" w14:textId="77777777" w:rsidR="00765F47" w:rsidRPr="00086601" w:rsidRDefault="00765F47" w:rsidP="00765F47">
            <w:pPr>
              <w:spacing w:after="0" w:line="240" w:lineRule="auto"/>
              <w:jc w:val="right"/>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1051</w:t>
            </w:r>
          </w:p>
        </w:tc>
        <w:tc>
          <w:tcPr>
            <w:tcW w:w="892" w:type="dxa"/>
            <w:tcBorders>
              <w:top w:val="single" w:sz="4" w:space="0" w:color="auto"/>
              <w:left w:val="nil"/>
              <w:bottom w:val="single" w:sz="4" w:space="0" w:color="auto"/>
              <w:right w:val="nil"/>
            </w:tcBorders>
            <w:shd w:val="clear" w:color="000000" w:fill="FFFFFF"/>
            <w:noWrap/>
            <w:vAlign w:val="bottom"/>
            <w:hideMark/>
          </w:tcPr>
          <w:p w14:paraId="7729DDB4" w14:textId="77777777" w:rsidR="00765F47" w:rsidRPr="00086601" w:rsidRDefault="00765F47" w:rsidP="00765F47">
            <w:pPr>
              <w:spacing w:after="0" w:line="240" w:lineRule="auto"/>
              <w:jc w:val="right"/>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99.98</w:t>
            </w:r>
          </w:p>
        </w:tc>
        <w:tc>
          <w:tcPr>
            <w:tcW w:w="1598" w:type="dxa"/>
            <w:tcBorders>
              <w:top w:val="single" w:sz="4" w:space="0" w:color="auto"/>
              <w:left w:val="nil"/>
              <w:bottom w:val="single" w:sz="4" w:space="0" w:color="auto"/>
              <w:right w:val="nil"/>
            </w:tcBorders>
            <w:shd w:val="clear" w:color="000000" w:fill="FFFFFF"/>
            <w:noWrap/>
            <w:vAlign w:val="bottom"/>
            <w:hideMark/>
          </w:tcPr>
          <w:p w14:paraId="1C2B3BA1" w14:textId="77777777" w:rsidR="00765F47" w:rsidRPr="00086601" w:rsidRDefault="00765F47" w:rsidP="00765F47">
            <w:pPr>
              <w:spacing w:after="0" w:line="240" w:lineRule="auto"/>
              <w:jc w:val="right"/>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26068.88</w:t>
            </w:r>
          </w:p>
        </w:tc>
        <w:tc>
          <w:tcPr>
            <w:tcW w:w="832" w:type="dxa"/>
            <w:tcBorders>
              <w:top w:val="single" w:sz="4" w:space="0" w:color="auto"/>
              <w:left w:val="nil"/>
              <w:bottom w:val="single" w:sz="4" w:space="0" w:color="auto"/>
              <w:right w:val="nil"/>
            </w:tcBorders>
            <w:shd w:val="clear" w:color="000000" w:fill="FFFFFF"/>
            <w:noWrap/>
            <w:vAlign w:val="bottom"/>
            <w:hideMark/>
          </w:tcPr>
          <w:p w14:paraId="419B3F11" w14:textId="77777777" w:rsidR="00765F47" w:rsidRPr="00086601" w:rsidRDefault="00765F47" w:rsidP="00765F47">
            <w:pPr>
              <w:spacing w:after="0" w:line="240" w:lineRule="auto"/>
              <w:jc w:val="right"/>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0.01</w:t>
            </w:r>
          </w:p>
        </w:tc>
        <w:tc>
          <w:tcPr>
            <w:tcW w:w="1000" w:type="dxa"/>
            <w:tcBorders>
              <w:top w:val="single" w:sz="4" w:space="0" w:color="auto"/>
              <w:left w:val="nil"/>
              <w:bottom w:val="single" w:sz="4" w:space="0" w:color="auto"/>
              <w:right w:val="nil"/>
            </w:tcBorders>
            <w:shd w:val="clear" w:color="000000" w:fill="FFFFFF"/>
            <w:noWrap/>
            <w:vAlign w:val="bottom"/>
            <w:hideMark/>
          </w:tcPr>
          <w:p w14:paraId="7BCF5620" w14:textId="77777777" w:rsidR="00765F47" w:rsidRPr="00086601" w:rsidRDefault="00765F47" w:rsidP="00765F47">
            <w:pPr>
              <w:spacing w:after="0" w:line="240" w:lineRule="auto"/>
              <w:jc w:val="right"/>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0.08</w:t>
            </w:r>
          </w:p>
        </w:tc>
      </w:tr>
    </w:tbl>
    <w:p w14:paraId="5BCD8A89" w14:textId="33A36326" w:rsidR="00765F47" w:rsidRPr="00086601" w:rsidRDefault="00765F47" w:rsidP="00765F47">
      <w:pPr>
        <w:spacing w:line="480" w:lineRule="auto"/>
        <w:jc w:val="both"/>
        <w:rPr>
          <w:rFonts w:ascii="Garamond" w:eastAsiaTheme="minorEastAsia" w:hAnsi="Garamond"/>
          <w:b/>
          <w:bCs/>
          <w:sz w:val="24"/>
          <w:szCs w:val="24"/>
        </w:rPr>
      </w:pPr>
    </w:p>
    <w:p w14:paraId="1E1F8917" w14:textId="3EC6B44A" w:rsidR="002672DA" w:rsidRPr="00086601" w:rsidRDefault="002672DA" w:rsidP="00765F47">
      <w:pPr>
        <w:spacing w:line="480" w:lineRule="auto"/>
        <w:jc w:val="both"/>
        <w:rPr>
          <w:rFonts w:ascii="Garamond" w:eastAsiaTheme="minorEastAsia" w:hAnsi="Garamond"/>
          <w:b/>
          <w:bCs/>
          <w:sz w:val="24"/>
          <w:szCs w:val="24"/>
        </w:rPr>
      </w:pPr>
      <w:r w:rsidRPr="00086601">
        <w:rPr>
          <w:rFonts w:ascii="Garamond" w:eastAsiaTheme="minorEastAsia" w:hAnsi="Garamond"/>
          <w:sz w:val="24"/>
          <w:szCs w:val="24"/>
        </w:rPr>
        <w:t>The following table shows the results from the regression model stated in the hypothesis. The table includes the coefficient and p values for the model when DUVOL or NCSKEW were used as the target value. For each respective target used in the model, the R^2 and number of observations are listed.</w:t>
      </w:r>
    </w:p>
    <w:tbl>
      <w:tblPr>
        <w:tblW w:w="5100" w:type="dxa"/>
        <w:tblLook w:val="04A0" w:firstRow="1" w:lastRow="0" w:firstColumn="1" w:lastColumn="0" w:noHBand="0" w:noVBand="1"/>
      </w:tblPr>
      <w:tblGrid>
        <w:gridCol w:w="1724"/>
        <w:gridCol w:w="803"/>
        <w:gridCol w:w="930"/>
        <w:gridCol w:w="719"/>
        <w:gridCol w:w="930"/>
      </w:tblGrid>
      <w:tr w:rsidR="00765F47" w:rsidRPr="00086601" w14:paraId="1E120520" w14:textId="77777777" w:rsidTr="00765F47">
        <w:trPr>
          <w:trHeight w:val="285"/>
        </w:trPr>
        <w:tc>
          <w:tcPr>
            <w:tcW w:w="5100" w:type="dxa"/>
            <w:gridSpan w:val="5"/>
            <w:tcBorders>
              <w:top w:val="nil"/>
              <w:left w:val="nil"/>
              <w:bottom w:val="single" w:sz="4" w:space="0" w:color="auto"/>
              <w:right w:val="nil"/>
            </w:tcBorders>
            <w:shd w:val="clear" w:color="000000" w:fill="FFFFFF"/>
            <w:noWrap/>
            <w:vAlign w:val="bottom"/>
            <w:hideMark/>
          </w:tcPr>
          <w:p w14:paraId="10EE391F" w14:textId="77777777" w:rsidR="00765F47" w:rsidRPr="00086601" w:rsidRDefault="00765F47" w:rsidP="00765F47">
            <w:pPr>
              <w:spacing w:after="0" w:line="240" w:lineRule="auto"/>
              <w:jc w:val="center"/>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Hypothesis 2</w:t>
            </w:r>
          </w:p>
        </w:tc>
      </w:tr>
      <w:tr w:rsidR="00765F47" w:rsidRPr="00086601" w14:paraId="3AC220F9" w14:textId="77777777" w:rsidTr="00765F47">
        <w:trPr>
          <w:trHeight w:val="285"/>
        </w:trPr>
        <w:tc>
          <w:tcPr>
            <w:tcW w:w="1724" w:type="dxa"/>
            <w:tcBorders>
              <w:top w:val="nil"/>
              <w:left w:val="nil"/>
              <w:bottom w:val="nil"/>
              <w:right w:val="nil"/>
            </w:tcBorders>
            <w:shd w:val="clear" w:color="000000" w:fill="FFFFFF"/>
            <w:noWrap/>
            <w:vAlign w:val="bottom"/>
            <w:hideMark/>
          </w:tcPr>
          <w:p w14:paraId="345B4C35"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 </w:t>
            </w:r>
          </w:p>
        </w:tc>
        <w:tc>
          <w:tcPr>
            <w:tcW w:w="3376" w:type="dxa"/>
            <w:gridSpan w:val="4"/>
            <w:tcBorders>
              <w:top w:val="nil"/>
              <w:left w:val="nil"/>
              <w:bottom w:val="single" w:sz="4" w:space="0" w:color="auto"/>
              <w:right w:val="nil"/>
            </w:tcBorders>
            <w:shd w:val="clear" w:color="000000" w:fill="FFFFFF"/>
            <w:noWrap/>
            <w:vAlign w:val="bottom"/>
            <w:hideMark/>
          </w:tcPr>
          <w:p w14:paraId="2D874DD8"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Crash Risk Measure</w:t>
            </w:r>
          </w:p>
        </w:tc>
      </w:tr>
      <w:tr w:rsidR="00765F47" w:rsidRPr="00086601" w14:paraId="4F1DF2C1" w14:textId="77777777" w:rsidTr="00765F47">
        <w:trPr>
          <w:trHeight w:val="285"/>
        </w:trPr>
        <w:tc>
          <w:tcPr>
            <w:tcW w:w="1724" w:type="dxa"/>
            <w:tcBorders>
              <w:top w:val="nil"/>
              <w:left w:val="nil"/>
              <w:bottom w:val="nil"/>
              <w:right w:val="nil"/>
            </w:tcBorders>
            <w:shd w:val="clear" w:color="000000" w:fill="FFFFFF"/>
            <w:noWrap/>
            <w:vAlign w:val="bottom"/>
            <w:hideMark/>
          </w:tcPr>
          <w:p w14:paraId="4477D190"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 </w:t>
            </w:r>
          </w:p>
        </w:tc>
        <w:tc>
          <w:tcPr>
            <w:tcW w:w="1733" w:type="dxa"/>
            <w:gridSpan w:val="2"/>
            <w:tcBorders>
              <w:top w:val="nil"/>
              <w:left w:val="nil"/>
              <w:bottom w:val="nil"/>
              <w:right w:val="nil"/>
            </w:tcBorders>
            <w:shd w:val="clear" w:color="000000" w:fill="FFFFFF"/>
            <w:noWrap/>
            <w:vAlign w:val="bottom"/>
            <w:hideMark/>
          </w:tcPr>
          <w:p w14:paraId="43AF6ABD"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DUVOL</w:t>
            </w:r>
          </w:p>
        </w:tc>
        <w:tc>
          <w:tcPr>
            <w:tcW w:w="1643" w:type="dxa"/>
            <w:gridSpan w:val="2"/>
            <w:tcBorders>
              <w:top w:val="nil"/>
              <w:left w:val="nil"/>
              <w:bottom w:val="nil"/>
              <w:right w:val="nil"/>
            </w:tcBorders>
            <w:shd w:val="clear" w:color="000000" w:fill="FFFFFF"/>
            <w:noWrap/>
            <w:vAlign w:val="bottom"/>
            <w:hideMark/>
          </w:tcPr>
          <w:p w14:paraId="3B9E9DF1"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NCSKEW</w:t>
            </w:r>
          </w:p>
        </w:tc>
      </w:tr>
      <w:tr w:rsidR="00765F47" w:rsidRPr="00086601" w14:paraId="05D5698E" w14:textId="77777777" w:rsidTr="00765F47">
        <w:trPr>
          <w:trHeight w:val="285"/>
        </w:trPr>
        <w:tc>
          <w:tcPr>
            <w:tcW w:w="1724" w:type="dxa"/>
            <w:tcBorders>
              <w:top w:val="single" w:sz="4" w:space="0" w:color="auto"/>
              <w:left w:val="nil"/>
              <w:bottom w:val="single" w:sz="4" w:space="0" w:color="auto"/>
              <w:right w:val="nil"/>
            </w:tcBorders>
            <w:shd w:val="clear" w:color="000000" w:fill="FFFFFF"/>
            <w:noWrap/>
            <w:vAlign w:val="bottom"/>
            <w:hideMark/>
          </w:tcPr>
          <w:p w14:paraId="4AF6A589" w14:textId="77777777" w:rsidR="00765F47" w:rsidRPr="00086601" w:rsidRDefault="00765F47" w:rsidP="00765F47">
            <w:pPr>
              <w:spacing w:after="0" w:line="240" w:lineRule="auto"/>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Model</w:t>
            </w:r>
          </w:p>
        </w:tc>
        <w:tc>
          <w:tcPr>
            <w:tcW w:w="803" w:type="dxa"/>
            <w:tcBorders>
              <w:top w:val="single" w:sz="4" w:space="0" w:color="auto"/>
              <w:left w:val="nil"/>
              <w:bottom w:val="single" w:sz="4" w:space="0" w:color="auto"/>
              <w:right w:val="nil"/>
            </w:tcBorders>
            <w:shd w:val="clear" w:color="000000" w:fill="FFFFFF"/>
            <w:noWrap/>
            <w:vAlign w:val="bottom"/>
            <w:hideMark/>
          </w:tcPr>
          <w:p w14:paraId="73396749"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proofErr w:type="spellStart"/>
            <w:r w:rsidRPr="00086601">
              <w:rPr>
                <w:rFonts w:ascii="Garamond" w:eastAsia="Times New Roman" w:hAnsi="Garamond" w:cs="Calibri"/>
                <w:b/>
                <w:bCs/>
                <w:color w:val="000000"/>
                <w:sz w:val="24"/>
                <w:szCs w:val="24"/>
              </w:rPr>
              <w:t>Coef</w:t>
            </w:r>
            <w:proofErr w:type="spellEnd"/>
          </w:p>
        </w:tc>
        <w:tc>
          <w:tcPr>
            <w:tcW w:w="930" w:type="dxa"/>
            <w:tcBorders>
              <w:top w:val="single" w:sz="4" w:space="0" w:color="auto"/>
              <w:left w:val="nil"/>
              <w:bottom w:val="single" w:sz="4" w:space="0" w:color="auto"/>
              <w:right w:val="nil"/>
            </w:tcBorders>
            <w:shd w:val="clear" w:color="000000" w:fill="FFFFFF"/>
            <w:noWrap/>
            <w:vAlign w:val="bottom"/>
            <w:hideMark/>
          </w:tcPr>
          <w:p w14:paraId="7C3C58A5"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p value</w:t>
            </w:r>
          </w:p>
        </w:tc>
        <w:tc>
          <w:tcPr>
            <w:tcW w:w="713" w:type="dxa"/>
            <w:tcBorders>
              <w:top w:val="single" w:sz="4" w:space="0" w:color="auto"/>
              <w:left w:val="nil"/>
              <w:bottom w:val="single" w:sz="4" w:space="0" w:color="auto"/>
              <w:right w:val="nil"/>
            </w:tcBorders>
            <w:shd w:val="clear" w:color="000000" w:fill="FFFFFF"/>
            <w:noWrap/>
            <w:vAlign w:val="bottom"/>
            <w:hideMark/>
          </w:tcPr>
          <w:p w14:paraId="3221BF55"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proofErr w:type="spellStart"/>
            <w:r w:rsidRPr="00086601">
              <w:rPr>
                <w:rFonts w:ascii="Garamond" w:eastAsia="Times New Roman" w:hAnsi="Garamond" w:cs="Calibri"/>
                <w:b/>
                <w:bCs/>
                <w:color w:val="000000"/>
                <w:sz w:val="24"/>
                <w:szCs w:val="24"/>
              </w:rPr>
              <w:t>Coef</w:t>
            </w:r>
            <w:proofErr w:type="spellEnd"/>
          </w:p>
        </w:tc>
        <w:tc>
          <w:tcPr>
            <w:tcW w:w="930" w:type="dxa"/>
            <w:tcBorders>
              <w:top w:val="single" w:sz="4" w:space="0" w:color="auto"/>
              <w:left w:val="nil"/>
              <w:bottom w:val="single" w:sz="4" w:space="0" w:color="auto"/>
              <w:right w:val="nil"/>
            </w:tcBorders>
            <w:shd w:val="clear" w:color="000000" w:fill="FFFFFF"/>
            <w:noWrap/>
            <w:vAlign w:val="bottom"/>
            <w:hideMark/>
          </w:tcPr>
          <w:p w14:paraId="53B5F06D"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p value</w:t>
            </w:r>
          </w:p>
        </w:tc>
      </w:tr>
      <w:tr w:rsidR="00765F47" w:rsidRPr="00086601" w14:paraId="469C18ED" w14:textId="77777777" w:rsidTr="00765F47">
        <w:trPr>
          <w:trHeight w:val="285"/>
        </w:trPr>
        <w:tc>
          <w:tcPr>
            <w:tcW w:w="1724" w:type="dxa"/>
            <w:tcBorders>
              <w:top w:val="nil"/>
              <w:left w:val="nil"/>
              <w:bottom w:val="nil"/>
              <w:right w:val="nil"/>
            </w:tcBorders>
            <w:shd w:val="clear" w:color="000000" w:fill="FFFFFF"/>
            <w:noWrap/>
            <w:vAlign w:val="bottom"/>
            <w:hideMark/>
          </w:tcPr>
          <w:p w14:paraId="673F2BE6"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const</w:t>
            </w:r>
          </w:p>
        </w:tc>
        <w:tc>
          <w:tcPr>
            <w:tcW w:w="803" w:type="dxa"/>
            <w:tcBorders>
              <w:top w:val="nil"/>
              <w:left w:val="nil"/>
              <w:bottom w:val="nil"/>
              <w:right w:val="nil"/>
            </w:tcBorders>
            <w:shd w:val="clear" w:color="000000" w:fill="FFFFFF"/>
            <w:noWrap/>
            <w:vAlign w:val="bottom"/>
            <w:hideMark/>
          </w:tcPr>
          <w:p w14:paraId="7D84030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-0.004</w:t>
            </w:r>
          </w:p>
        </w:tc>
        <w:tc>
          <w:tcPr>
            <w:tcW w:w="930" w:type="dxa"/>
            <w:tcBorders>
              <w:top w:val="nil"/>
              <w:left w:val="nil"/>
              <w:bottom w:val="nil"/>
              <w:right w:val="nil"/>
            </w:tcBorders>
            <w:shd w:val="clear" w:color="000000" w:fill="FFFFFF"/>
            <w:noWrap/>
            <w:vAlign w:val="bottom"/>
            <w:hideMark/>
          </w:tcPr>
          <w:p w14:paraId="4C75E42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0.748</w:t>
            </w:r>
          </w:p>
        </w:tc>
        <w:tc>
          <w:tcPr>
            <w:tcW w:w="713" w:type="dxa"/>
            <w:tcBorders>
              <w:top w:val="nil"/>
              <w:left w:val="nil"/>
              <w:bottom w:val="nil"/>
              <w:right w:val="nil"/>
            </w:tcBorders>
            <w:shd w:val="clear" w:color="000000" w:fill="FFFFFF"/>
            <w:noWrap/>
            <w:vAlign w:val="bottom"/>
            <w:hideMark/>
          </w:tcPr>
          <w:p w14:paraId="61BEDC0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0.035</w:t>
            </w:r>
          </w:p>
        </w:tc>
        <w:tc>
          <w:tcPr>
            <w:tcW w:w="930" w:type="dxa"/>
            <w:tcBorders>
              <w:top w:val="nil"/>
              <w:left w:val="nil"/>
              <w:bottom w:val="nil"/>
              <w:right w:val="nil"/>
            </w:tcBorders>
            <w:shd w:val="clear" w:color="000000" w:fill="FFFFFF"/>
            <w:noWrap/>
            <w:vAlign w:val="bottom"/>
            <w:hideMark/>
          </w:tcPr>
          <w:p w14:paraId="720BB7E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0.102</w:t>
            </w:r>
          </w:p>
        </w:tc>
      </w:tr>
      <w:tr w:rsidR="00765F47" w:rsidRPr="00086601" w14:paraId="05A33E3E" w14:textId="77777777" w:rsidTr="00765F47">
        <w:trPr>
          <w:trHeight w:val="285"/>
        </w:trPr>
        <w:tc>
          <w:tcPr>
            <w:tcW w:w="1724" w:type="dxa"/>
            <w:tcBorders>
              <w:top w:val="nil"/>
              <w:left w:val="nil"/>
              <w:bottom w:val="nil"/>
              <w:right w:val="nil"/>
            </w:tcBorders>
            <w:shd w:val="clear" w:color="000000" w:fill="FFFFFF"/>
            <w:noWrap/>
            <w:vAlign w:val="bottom"/>
            <w:hideMark/>
          </w:tcPr>
          <w:p w14:paraId="6D75127D" w14:textId="77777777" w:rsidR="00765F47" w:rsidRPr="00086601" w:rsidRDefault="00765F47" w:rsidP="00765F47">
            <w:pPr>
              <w:spacing w:after="0" w:line="240" w:lineRule="auto"/>
              <w:rPr>
                <w:rFonts w:ascii="Garamond" w:eastAsia="Times New Roman" w:hAnsi="Garamond" w:cs="Calibri"/>
                <w:color w:val="000000"/>
                <w:sz w:val="24"/>
                <w:szCs w:val="24"/>
              </w:rPr>
            </w:pPr>
            <w:proofErr w:type="spellStart"/>
            <w:r w:rsidRPr="00086601">
              <w:rPr>
                <w:rFonts w:ascii="Garamond" w:eastAsia="Times New Roman" w:hAnsi="Garamond" w:cs="Calibri"/>
                <w:color w:val="000000"/>
                <w:sz w:val="24"/>
                <w:szCs w:val="24"/>
              </w:rPr>
              <w:t>GDPPerCapita</w:t>
            </w:r>
            <w:proofErr w:type="spellEnd"/>
          </w:p>
        </w:tc>
        <w:tc>
          <w:tcPr>
            <w:tcW w:w="803" w:type="dxa"/>
            <w:tcBorders>
              <w:top w:val="nil"/>
              <w:left w:val="nil"/>
              <w:bottom w:val="nil"/>
              <w:right w:val="nil"/>
            </w:tcBorders>
            <w:shd w:val="clear" w:color="000000" w:fill="FFFFFF"/>
            <w:noWrap/>
            <w:vAlign w:val="bottom"/>
            <w:hideMark/>
          </w:tcPr>
          <w:p w14:paraId="3F532FC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0.000</w:t>
            </w:r>
          </w:p>
        </w:tc>
        <w:tc>
          <w:tcPr>
            <w:tcW w:w="930" w:type="dxa"/>
            <w:tcBorders>
              <w:top w:val="nil"/>
              <w:left w:val="nil"/>
              <w:bottom w:val="nil"/>
              <w:right w:val="nil"/>
            </w:tcBorders>
            <w:shd w:val="clear" w:color="000000" w:fill="FFFFFF"/>
            <w:noWrap/>
            <w:vAlign w:val="bottom"/>
            <w:hideMark/>
          </w:tcPr>
          <w:p w14:paraId="755DEF5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0.106</w:t>
            </w:r>
          </w:p>
        </w:tc>
        <w:tc>
          <w:tcPr>
            <w:tcW w:w="713" w:type="dxa"/>
            <w:tcBorders>
              <w:top w:val="nil"/>
              <w:left w:val="nil"/>
              <w:bottom w:val="nil"/>
              <w:right w:val="nil"/>
            </w:tcBorders>
            <w:shd w:val="clear" w:color="000000" w:fill="FFFFFF"/>
            <w:noWrap/>
            <w:vAlign w:val="bottom"/>
            <w:hideMark/>
          </w:tcPr>
          <w:p w14:paraId="2FB3BFF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0.000</w:t>
            </w:r>
          </w:p>
        </w:tc>
        <w:tc>
          <w:tcPr>
            <w:tcW w:w="930" w:type="dxa"/>
            <w:tcBorders>
              <w:top w:val="nil"/>
              <w:left w:val="nil"/>
              <w:bottom w:val="nil"/>
              <w:right w:val="nil"/>
            </w:tcBorders>
            <w:shd w:val="clear" w:color="000000" w:fill="FFFFFF"/>
            <w:noWrap/>
            <w:vAlign w:val="bottom"/>
            <w:hideMark/>
          </w:tcPr>
          <w:p w14:paraId="1DD814D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0.237</w:t>
            </w:r>
          </w:p>
        </w:tc>
      </w:tr>
      <w:tr w:rsidR="00765F47" w:rsidRPr="00086601" w14:paraId="77DDCC07" w14:textId="77777777" w:rsidTr="00765F47">
        <w:trPr>
          <w:trHeight w:val="285"/>
        </w:trPr>
        <w:tc>
          <w:tcPr>
            <w:tcW w:w="1724" w:type="dxa"/>
            <w:tcBorders>
              <w:top w:val="nil"/>
              <w:left w:val="nil"/>
              <w:bottom w:val="nil"/>
              <w:right w:val="nil"/>
            </w:tcBorders>
            <w:shd w:val="clear" w:color="000000" w:fill="FFFFFF"/>
            <w:noWrap/>
            <w:vAlign w:val="bottom"/>
            <w:hideMark/>
          </w:tcPr>
          <w:p w14:paraId="6297795C" w14:textId="77777777" w:rsidR="00765F47" w:rsidRPr="00086601" w:rsidRDefault="00765F47" w:rsidP="00765F47">
            <w:pPr>
              <w:spacing w:after="0" w:line="240" w:lineRule="auto"/>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R^2</w:t>
            </w:r>
          </w:p>
        </w:tc>
        <w:tc>
          <w:tcPr>
            <w:tcW w:w="803" w:type="dxa"/>
            <w:tcBorders>
              <w:top w:val="nil"/>
              <w:left w:val="nil"/>
              <w:bottom w:val="nil"/>
              <w:right w:val="nil"/>
            </w:tcBorders>
            <w:shd w:val="clear" w:color="000000" w:fill="FFFFFF"/>
            <w:noWrap/>
            <w:vAlign w:val="bottom"/>
            <w:hideMark/>
          </w:tcPr>
          <w:p w14:paraId="68179809" w14:textId="77777777" w:rsidR="00765F47" w:rsidRPr="00086601" w:rsidRDefault="00765F47" w:rsidP="00765F47">
            <w:pPr>
              <w:spacing w:after="0" w:line="240" w:lineRule="auto"/>
              <w:jc w:val="right"/>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0.002</w:t>
            </w:r>
          </w:p>
        </w:tc>
        <w:tc>
          <w:tcPr>
            <w:tcW w:w="930" w:type="dxa"/>
            <w:tcBorders>
              <w:top w:val="nil"/>
              <w:left w:val="nil"/>
              <w:bottom w:val="nil"/>
              <w:right w:val="nil"/>
            </w:tcBorders>
            <w:shd w:val="clear" w:color="000000" w:fill="FFFFFF"/>
            <w:noWrap/>
            <w:vAlign w:val="bottom"/>
            <w:hideMark/>
          </w:tcPr>
          <w:p w14:paraId="6C307466" w14:textId="77777777" w:rsidR="00765F47" w:rsidRPr="00086601" w:rsidRDefault="00765F47" w:rsidP="00765F47">
            <w:pPr>
              <w:spacing w:after="0" w:line="240" w:lineRule="auto"/>
              <w:jc w:val="right"/>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 </w:t>
            </w:r>
          </w:p>
        </w:tc>
        <w:tc>
          <w:tcPr>
            <w:tcW w:w="713" w:type="dxa"/>
            <w:tcBorders>
              <w:top w:val="nil"/>
              <w:left w:val="nil"/>
              <w:bottom w:val="nil"/>
              <w:right w:val="nil"/>
            </w:tcBorders>
            <w:shd w:val="clear" w:color="000000" w:fill="FFFFFF"/>
            <w:noWrap/>
            <w:vAlign w:val="bottom"/>
            <w:hideMark/>
          </w:tcPr>
          <w:p w14:paraId="19EE52CF" w14:textId="77777777" w:rsidR="00765F47" w:rsidRPr="00086601" w:rsidRDefault="00765F47" w:rsidP="00765F47">
            <w:pPr>
              <w:spacing w:after="0" w:line="240" w:lineRule="auto"/>
              <w:jc w:val="right"/>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0.001</w:t>
            </w:r>
          </w:p>
        </w:tc>
        <w:tc>
          <w:tcPr>
            <w:tcW w:w="930" w:type="dxa"/>
            <w:tcBorders>
              <w:top w:val="nil"/>
              <w:left w:val="nil"/>
              <w:bottom w:val="nil"/>
              <w:right w:val="nil"/>
            </w:tcBorders>
            <w:shd w:val="clear" w:color="000000" w:fill="FFFFFF"/>
            <w:noWrap/>
            <w:vAlign w:val="bottom"/>
            <w:hideMark/>
          </w:tcPr>
          <w:p w14:paraId="66EB9C73" w14:textId="77777777" w:rsidR="00765F47" w:rsidRPr="00086601" w:rsidRDefault="00765F47" w:rsidP="00765F47">
            <w:pPr>
              <w:spacing w:after="0" w:line="240" w:lineRule="auto"/>
              <w:jc w:val="right"/>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 </w:t>
            </w:r>
          </w:p>
        </w:tc>
      </w:tr>
      <w:tr w:rsidR="00765F47" w:rsidRPr="00086601" w14:paraId="67C67D83" w14:textId="77777777" w:rsidTr="00765F47">
        <w:trPr>
          <w:trHeight w:val="285"/>
        </w:trPr>
        <w:tc>
          <w:tcPr>
            <w:tcW w:w="1724" w:type="dxa"/>
            <w:tcBorders>
              <w:top w:val="nil"/>
              <w:left w:val="nil"/>
              <w:bottom w:val="single" w:sz="4" w:space="0" w:color="auto"/>
              <w:right w:val="nil"/>
            </w:tcBorders>
            <w:shd w:val="clear" w:color="000000" w:fill="FFFFFF"/>
            <w:noWrap/>
            <w:vAlign w:val="bottom"/>
            <w:hideMark/>
          </w:tcPr>
          <w:p w14:paraId="12E92A19" w14:textId="77777777" w:rsidR="00765F47" w:rsidRPr="00086601" w:rsidRDefault="00765F47" w:rsidP="00765F47">
            <w:pPr>
              <w:spacing w:after="0" w:line="240" w:lineRule="auto"/>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n</w:t>
            </w:r>
          </w:p>
        </w:tc>
        <w:tc>
          <w:tcPr>
            <w:tcW w:w="803" w:type="dxa"/>
            <w:tcBorders>
              <w:top w:val="nil"/>
              <w:left w:val="nil"/>
              <w:bottom w:val="single" w:sz="4" w:space="0" w:color="auto"/>
              <w:right w:val="nil"/>
            </w:tcBorders>
            <w:shd w:val="clear" w:color="000000" w:fill="FFFFFF"/>
            <w:noWrap/>
            <w:vAlign w:val="bottom"/>
            <w:hideMark/>
          </w:tcPr>
          <w:p w14:paraId="1600B6CF" w14:textId="77777777" w:rsidR="00765F47" w:rsidRPr="00086601" w:rsidRDefault="00765F47" w:rsidP="00765F47">
            <w:pPr>
              <w:spacing w:after="0" w:line="240" w:lineRule="auto"/>
              <w:jc w:val="right"/>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1051</w:t>
            </w:r>
          </w:p>
        </w:tc>
        <w:tc>
          <w:tcPr>
            <w:tcW w:w="930" w:type="dxa"/>
            <w:tcBorders>
              <w:top w:val="nil"/>
              <w:left w:val="nil"/>
              <w:bottom w:val="single" w:sz="4" w:space="0" w:color="auto"/>
              <w:right w:val="nil"/>
            </w:tcBorders>
            <w:shd w:val="clear" w:color="000000" w:fill="FFFFFF"/>
            <w:noWrap/>
            <w:vAlign w:val="bottom"/>
            <w:hideMark/>
          </w:tcPr>
          <w:p w14:paraId="3471DFBE" w14:textId="77777777" w:rsidR="00765F47" w:rsidRPr="00086601" w:rsidRDefault="00765F47" w:rsidP="00765F47">
            <w:pPr>
              <w:spacing w:after="0" w:line="240" w:lineRule="auto"/>
              <w:jc w:val="right"/>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 </w:t>
            </w:r>
          </w:p>
        </w:tc>
        <w:tc>
          <w:tcPr>
            <w:tcW w:w="713" w:type="dxa"/>
            <w:tcBorders>
              <w:top w:val="nil"/>
              <w:left w:val="nil"/>
              <w:bottom w:val="single" w:sz="4" w:space="0" w:color="auto"/>
              <w:right w:val="nil"/>
            </w:tcBorders>
            <w:shd w:val="clear" w:color="000000" w:fill="FFFFFF"/>
            <w:noWrap/>
            <w:vAlign w:val="bottom"/>
            <w:hideMark/>
          </w:tcPr>
          <w:p w14:paraId="0FA14CE0" w14:textId="77777777" w:rsidR="00765F47" w:rsidRPr="00086601" w:rsidRDefault="00765F47" w:rsidP="00765F47">
            <w:pPr>
              <w:spacing w:after="0" w:line="240" w:lineRule="auto"/>
              <w:jc w:val="right"/>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1051</w:t>
            </w:r>
          </w:p>
        </w:tc>
        <w:tc>
          <w:tcPr>
            <w:tcW w:w="930" w:type="dxa"/>
            <w:tcBorders>
              <w:top w:val="nil"/>
              <w:left w:val="nil"/>
              <w:bottom w:val="single" w:sz="4" w:space="0" w:color="auto"/>
              <w:right w:val="nil"/>
            </w:tcBorders>
            <w:shd w:val="clear" w:color="000000" w:fill="FFFFFF"/>
            <w:noWrap/>
            <w:vAlign w:val="bottom"/>
            <w:hideMark/>
          </w:tcPr>
          <w:p w14:paraId="3A0EE07A" w14:textId="77777777" w:rsidR="00765F47" w:rsidRPr="00086601" w:rsidRDefault="00765F47" w:rsidP="00765F47">
            <w:pPr>
              <w:spacing w:after="0" w:line="240" w:lineRule="auto"/>
              <w:jc w:val="right"/>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 </w:t>
            </w:r>
          </w:p>
        </w:tc>
      </w:tr>
    </w:tbl>
    <w:p w14:paraId="4E6EE84B" w14:textId="484B3B6C" w:rsidR="00765F47" w:rsidRPr="00086601" w:rsidRDefault="00765F47" w:rsidP="00765F47">
      <w:pPr>
        <w:spacing w:line="480" w:lineRule="auto"/>
        <w:jc w:val="both"/>
        <w:rPr>
          <w:rFonts w:ascii="Garamond" w:eastAsiaTheme="minorEastAsia" w:hAnsi="Garamond"/>
          <w:b/>
          <w:bCs/>
          <w:sz w:val="24"/>
          <w:szCs w:val="24"/>
        </w:rPr>
      </w:pPr>
    </w:p>
    <w:p w14:paraId="18EB078C" w14:textId="63A2E594" w:rsidR="002672DA" w:rsidRPr="00086601" w:rsidRDefault="002672DA" w:rsidP="002672DA">
      <w:pPr>
        <w:spacing w:line="480" w:lineRule="auto"/>
        <w:jc w:val="both"/>
        <w:rPr>
          <w:rFonts w:ascii="Garamond" w:eastAsiaTheme="minorEastAsia" w:hAnsi="Garamond"/>
          <w:sz w:val="24"/>
          <w:szCs w:val="24"/>
        </w:rPr>
      </w:pPr>
      <w:r w:rsidRPr="00086601">
        <w:rPr>
          <w:rFonts w:ascii="Garamond" w:eastAsiaTheme="minorEastAsia" w:hAnsi="Garamond"/>
          <w:sz w:val="24"/>
          <w:szCs w:val="24"/>
        </w:rPr>
        <w:lastRenderedPageBreak/>
        <w:t xml:space="preserve">The table above indicates insignificance for both coefficients at a 95% confidence level, the constant and the independent variable </w:t>
      </w:r>
      <w:proofErr w:type="spellStart"/>
      <w:r w:rsidRPr="00086601">
        <w:rPr>
          <w:rFonts w:ascii="Garamond" w:eastAsiaTheme="minorEastAsia" w:hAnsi="Garamond"/>
          <w:sz w:val="24"/>
          <w:szCs w:val="24"/>
        </w:rPr>
        <w:t>GDPPerCapita</w:t>
      </w:r>
      <w:proofErr w:type="spellEnd"/>
      <w:r w:rsidRPr="00086601">
        <w:rPr>
          <w:rFonts w:ascii="Garamond" w:eastAsiaTheme="minorEastAsia" w:hAnsi="Garamond"/>
          <w:sz w:val="24"/>
          <w:szCs w:val="24"/>
        </w:rPr>
        <w:t xml:space="preserve">, in the NCSKEW model and the DUVOL model. In conclusion, </w:t>
      </w:r>
      <w:proofErr w:type="spellStart"/>
      <w:r w:rsidRPr="00086601">
        <w:rPr>
          <w:rFonts w:ascii="Garamond" w:eastAsiaTheme="minorEastAsia" w:hAnsi="Garamond"/>
          <w:sz w:val="24"/>
          <w:szCs w:val="24"/>
        </w:rPr>
        <w:t>GDPPerCapita</w:t>
      </w:r>
      <w:proofErr w:type="spellEnd"/>
      <w:r w:rsidRPr="00086601">
        <w:rPr>
          <w:rFonts w:ascii="Garamond" w:eastAsiaTheme="minorEastAsia" w:hAnsi="Garamond"/>
          <w:sz w:val="24"/>
          <w:szCs w:val="24"/>
        </w:rPr>
        <w:t xml:space="preserve"> does not have a significant relationship with either forms of crash risk at the 95% confidence level.</w:t>
      </w:r>
    </w:p>
    <w:p w14:paraId="78AF0129" w14:textId="08808D5E" w:rsidR="002672DA" w:rsidRPr="001F758F" w:rsidRDefault="002672DA" w:rsidP="001F758F">
      <w:pPr>
        <w:pStyle w:val="Heading3"/>
        <w:spacing w:after="240"/>
        <w:rPr>
          <w:rFonts w:ascii="Garamond" w:eastAsiaTheme="minorEastAsia" w:hAnsi="Garamond"/>
          <w:b/>
          <w:bCs/>
          <w:color w:val="000000" w:themeColor="text1"/>
        </w:rPr>
      </w:pPr>
      <w:r w:rsidRPr="001F758F">
        <w:rPr>
          <w:rFonts w:ascii="Garamond" w:eastAsiaTheme="minorEastAsia" w:hAnsi="Garamond"/>
          <w:b/>
          <w:bCs/>
          <w:color w:val="000000" w:themeColor="text1"/>
        </w:rPr>
        <w:t xml:space="preserve">Hypothesis 3: The effects of </w:t>
      </w:r>
      <w:r w:rsidR="00B43A09" w:rsidRPr="001F758F">
        <w:rPr>
          <w:rFonts w:ascii="Garamond" w:eastAsiaTheme="minorEastAsia" w:hAnsi="Garamond"/>
          <w:b/>
          <w:bCs/>
          <w:color w:val="000000" w:themeColor="text1"/>
        </w:rPr>
        <w:t>country governance</w:t>
      </w:r>
      <w:r w:rsidRPr="001F758F">
        <w:rPr>
          <w:rFonts w:ascii="Garamond" w:eastAsiaTheme="minorEastAsia" w:hAnsi="Garamond"/>
          <w:b/>
          <w:bCs/>
          <w:color w:val="000000" w:themeColor="text1"/>
        </w:rPr>
        <w:t xml:space="preserve"> and crash risk</w:t>
      </w:r>
    </w:p>
    <w:p w14:paraId="093387BD" w14:textId="1BB623CC" w:rsidR="002672DA" w:rsidRDefault="00B43A09" w:rsidP="00C25559">
      <w:pPr>
        <w:spacing w:line="480" w:lineRule="auto"/>
        <w:rPr>
          <w:rFonts w:ascii="Garamond" w:hAnsi="Garamond"/>
          <w:sz w:val="24"/>
          <w:szCs w:val="24"/>
        </w:rPr>
      </w:pPr>
      <w:r w:rsidRPr="00086601">
        <w:rPr>
          <w:rFonts w:ascii="Garamond" w:hAnsi="Garamond"/>
          <w:sz w:val="24"/>
          <w:szCs w:val="24"/>
        </w:rPr>
        <w:t xml:space="preserve">The hypothesis was analyzed at the aggregate level of every country’s crash risk and </w:t>
      </w:r>
      <w:r w:rsidR="00CA73AA" w:rsidRPr="00086601">
        <w:rPr>
          <w:rFonts w:ascii="Garamond" w:hAnsi="Garamond"/>
          <w:sz w:val="24"/>
          <w:szCs w:val="24"/>
        </w:rPr>
        <w:t xml:space="preserve">indices for country governance </w:t>
      </w:r>
      <w:r w:rsidRPr="00086601">
        <w:rPr>
          <w:rFonts w:ascii="Garamond" w:hAnsi="Garamond"/>
          <w:sz w:val="24"/>
          <w:szCs w:val="24"/>
        </w:rPr>
        <w:t>for years available in the period 2000 to 201</w:t>
      </w:r>
      <w:r w:rsidR="00C25559" w:rsidRPr="00086601">
        <w:rPr>
          <w:rFonts w:ascii="Garamond" w:hAnsi="Garamond"/>
          <w:sz w:val="24"/>
          <w:szCs w:val="24"/>
        </w:rPr>
        <w:t>9</w:t>
      </w:r>
      <w:r w:rsidRPr="00086601">
        <w:rPr>
          <w:rFonts w:ascii="Garamond" w:hAnsi="Garamond"/>
          <w:sz w:val="24"/>
          <w:szCs w:val="24"/>
        </w:rPr>
        <w:t xml:space="preserve">. </w:t>
      </w:r>
      <w:r w:rsidR="00CA73AA" w:rsidRPr="00086601">
        <w:rPr>
          <w:rFonts w:ascii="Garamond" w:hAnsi="Garamond"/>
          <w:sz w:val="24"/>
          <w:szCs w:val="24"/>
        </w:rPr>
        <w:t xml:space="preserve">These indices include measures for corruption, government effectiveness, political stability, regulatory quality, rule of law, and voice and accountability. </w:t>
      </w:r>
      <w:r w:rsidRPr="00086601">
        <w:rPr>
          <w:rFonts w:ascii="Garamond" w:hAnsi="Garamond"/>
          <w:sz w:val="24"/>
          <w:szCs w:val="24"/>
        </w:rPr>
        <w:t>The table below shows the sample of data distributed over the time period. The table also shows the number of observations in each year, the weight that the observations of each year have over the entire period, and average annual values for</w:t>
      </w:r>
      <w:r w:rsidR="00C25559" w:rsidRPr="00086601">
        <w:rPr>
          <w:rFonts w:ascii="Garamond" w:hAnsi="Garamond"/>
          <w:sz w:val="24"/>
          <w:szCs w:val="24"/>
        </w:rPr>
        <w:t xml:space="preserve"> COC</w:t>
      </w:r>
      <w:r w:rsidRPr="00086601">
        <w:rPr>
          <w:rFonts w:ascii="Garamond" w:hAnsi="Garamond"/>
          <w:sz w:val="24"/>
          <w:szCs w:val="24"/>
        </w:rPr>
        <w:t xml:space="preserve">, </w:t>
      </w:r>
      <w:r w:rsidR="00C25559" w:rsidRPr="00086601">
        <w:rPr>
          <w:rFonts w:ascii="Garamond" w:hAnsi="Garamond"/>
          <w:sz w:val="24"/>
          <w:szCs w:val="24"/>
        </w:rPr>
        <w:t xml:space="preserve">GE, PS, RQ, ROL, VA, </w:t>
      </w:r>
      <w:r w:rsidRPr="00086601">
        <w:rPr>
          <w:rFonts w:ascii="Garamond" w:hAnsi="Garamond"/>
          <w:sz w:val="24"/>
          <w:szCs w:val="24"/>
        </w:rPr>
        <w:t>DUVOL, and NCSKEW.</w:t>
      </w:r>
    </w:p>
    <w:p w14:paraId="35881C6E" w14:textId="41B78133" w:rsidR="00342DDE" w:rsidRDefault="00342DDE" w:rsidP="00C25559">
      <w:pPr>
        <w:spacing w:line="480" w:lineRule="auto"/>
        <w:rPr>
          <w:rFonts w:ascii="Garamond" w:hAnsi="Garamond"/>
          <w:sz w:val="24"/>
          <w:szCs w:val="24"/>
        </w:rPr>
      </w:pPr>
    </w:p>
    <w:p w14:paraId="37E4682E" w14:textId="507D80B4" w:rsidR="00342DDE" w:rsidRDefault="00342DDE" w:rsidP="00C25559">
      <w:pPr>
        <w:spacing w:line="480" w:lineRule="auto"/>
        <w:rPr>
          <w:rFonts w:ascii="Garamond" w:hAnsi="Garamond"/>
          <w:sz w:val="24"/>
          <w:szCs w:val="24"/>
        </w:rPr>
      </w:pPr>
    </w:p>
    <w:p w14:paraId="79BF6AFB" w14:textId="3F78071C" w:rsidR="00342DDE" w:rsidRDefault="00342DDE" w:rsidP="00C25559">
      <w:pPr>
        <w:spacing w:line="480" w:lineRule="auto"/>
        <w:rPr>
          <w:rFonts w:ascii="Garamond" w:hAnsi="Garamond"/>
          <w:sz w:val="24"/>
          <w:szCs w:val="24"/>
        </w:rPr>
      </w:pPr>
    </w:p>
    <w:p w14:paraId="7AB5949C" w14:textId="231323E7" w:rsidR="00342DDE" w:rsidRDefault="00342DDE" w:rsidP="00C25559">
      <w:pPr>
        <w:spacing w:line="480" w:lineRule="auto"/>
        <w:rPr>
          <w:rFonts w:ascii="Garamond" w:hAnsi="Garamond"/>
          <w:sz w:val="24"/>
          <w:szCs w:val="24"/>
        </w:rPr>
      </w:pPr>
    </w:p>
    <w:p w14:paraId="305518E1" w14:textId="4BA83FE9" w:rsidR="00342DDE" w:rsidRDefault="00342DDE" w:rsidP="00C25559">
      <w:pPr>
        <w:spacing w:line="480" w:lineRule="auto"/>
        <w:rPr>
          <w:rFonts w:ascii="Garamond" w:hAnsi="Garamond"/>
          <w:sz w:val="24"/>
          <w:szCs w:val="24"/>
        </w:rPr>
      </w:pPr>
    </w:p>
    <w:p w14:paraId="10A8B520" w14:textId="33393A2F" w:rsidR="00342DDE" w:rsidRDefault="00342DDE" w:rsidP="00C25559">
      <w:pPr>
        <w:spacing w:line="480" w:lineRule="auto"/>
        <w:rPr>
          <w:rFonts w:ascii="Garamond" w:hAnsi="Garamond"/>
          <w:sz w:val="24"/>
          <w:szCs w:val="24"/>
        </w:rPr>
      </w:pPr>
    </w:p>
    <w:p w14:paraId="3579E156" w14:textId="1FC665EE" w:rsidR="00342DDE" w:rsidRDefault="00342DDE" w:rsidP="00C25559">
      <w:pPr>
        <w:spacing w:line="480" w:lineRule="auto"/>
        <w:rPr>
          <w:rFonts w:ascii="Garamond" w:hAnsi="Garamond"/>
          <w:sz w:val="24"/>
          <w:szCs w:val="24"/>
        </w:rPr>
      </w:pPr>
    </w:p>
    <w:p w14:paraId="19410C18" w14:textId="6F79A3C5" w:rsidR="00342DDE" w:rsidRDefault="00342DDE" w:rsidP="00C25559">
      <w:pPr>
        <w:spacing w:line="480" w:lineRule="auto"/>
        <w:rPr>
          <w:rFonts w:ascii="Garamond" w:hAnsi="Garamond"/>
          <w:sz w:val="24"/>
          <w:szCs w:val="24"/>
        </w:rPr>
      </w:pPr>
    </w:p>
    <w:p w14:paraId="288CBF78" w14:textId="77777777" w:rsidR="00342DDE" w:rsidRPr="00086601" w:rsidRDefault="00342DDE" w:rsidP="00C25559">
      <w:pPr>
        <w:spacing w:line="480" w:lineRule="auto"/>
        <w:rPr>
          <w:rFonts w:ascii="Garamond" w:hAnsi="Garamond"/>
          <w:sz w:val="24"/>
          <w:szCs w:val="24"/>
        </w:rPr>
      </w:pPr>
    </w:p>
    <w:tbl>
      <w:tblPr>
        <w:tblW w:w="9423" w:type="dxa"/>
        <w:tblLook w:val="04A0" w:firstRow="1" w:lastRow="0" w:firstColumn="1" w:lastColumn="0" w:noHBand="0" w:noVBand="1"/>
      </w:tblPr>
      <w:tblGrid>
        <w:gridCol w:w="759"/>
        <w:gridCol w:w="1477"/>
        <w:gridCol w:w="1104"/>
        <w:gridCol w:w="732"/>
        <w:gridCol w:w="638"/>
        <w:gridCol w:w="638"/>
        <w:gridCol w:w="638"/>
        <w:gridCol w:w="726"/>
        <w:gridCol w:w="638"/>
        <w:gridCol w:w="1089"/>
        <w:gridCol w:w="1252"/>
      </w:tblGrid>
      <w:tr w:rsidR="00765F47" w:rsidRPr="00086601" w14:paraId="0176CB87" w14:textId="77777777" w:rsidTr="00765F47">
        <w:trPr>
          <w:trHeight w:val="285"/>
        </w:trPr>
        <w:tc>
          <w:tcPr>
            <w:tcW w:w="9423" w:type="dxa"/>
            <w:gridSpan w:val="11"/>
            <w:tcBorders>
              <w:top w:val="nil"/>
              <w:left w:val="nil"/>
              <w:bottom w:val="single" w:sz="4" w:space="0" w:color="auto"/>
              <w:right w:val="nil"/>
            </w:tcBorders>
            <w:shd w:val="clear" w:color="auto" w:fill="auto"/>
            <w:noWrap/>
            <w:vAlign w:val="bottom"/>
            <w:hideMark/>
          </w:tcPr>
          <w:p w14:paraId="40EDE4FE" w14:textId="77777777" w:rsidR="00765F47" w:rsidRPr="00086601" w:rsidRDefault="00765F47" w:rsidP="00765F47">
            <w:pPr>
              <w:spacing w:after="0" w:line="240" w:lineRule="auto"/>
              <w:jc w:val="center"/>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lastRenderedPageBreak/>
              <w:t>Hypothesis 3</w:t>
            </w:r>
          </w:p>
        </w:tc>
      </w:tr>
      <w:tr w:rsidR="00765F47" w:rsidRPr="00086601" w14:paraId="71652CFB" w14:textId="77777777" w:rsidTr="00765F47">
        <w:trPr>
          <w:trHeight w:val="285"/>
        </w:trPr>
        <w:tc>
          <w:tcPr>
            <w:tcW w:w="747" w:type="dxa"/>
            <w:tcBorders>
              <w:top w:val="nil"/>
              <w:left w:val="nil"/>
              <w:bottom w:val="single" w:sz="4" w:space="0" w:color="auto"/>
              <w:right w:val="nil"/>
            </w:tcBorders>
            <w:shd w:val="clear" w:color="000000" w:fill="FFFFFF"/>
            <w:noWrap/>
            <w:vAlign w:val="bottom"/>
            <w:hideMark/>
          </w:tcPr>
          <w:p w14:paraId="456AB90F" w14:textId="77777777" w:rsidR="00765F47" w:rsidRPr="00086601" w:rsidRDefault="00765F47" w:rsidP="00765F47">
            <w:pPr>
              <w:spacing w:after="0" w:line="240" w:lineRule="auto"/>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Year</w:t>
            </w:r>
          </w:p>
        </w:tc>
        <w:tc>
          <w:tcPr>
            <w:tcW w:w="1477" w:type="dxa"/>
            <w:tcBorders>
              <w:top w:val="nil"/>
              <w:left w:val="nil"/>
              <w:bottom w:val="single" w:sz="4" w:space="0" w:color="auto"/>
              <w:right w:val="nil"/>
            </w:tcBorders>
            <w:shd w:val="clear" w:color="000000" w:fill="FFFFFF"/>
            <w:noWrap/>
            <w:vAlign w:val="bottom"/>
            <w:hideMark/>
          </w:tcPr>
          <w:p w14:paraId="2A4A4513"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Frequency</w:t>
            </w:r>
          </w:p>
        </w:tc>
        <w:tc>
          <w:tcPr>
            <w:tcW w:w="1104" w:type="dxa"/>
            <w:tcBorders>
              <w:top w:val="nil"/>
              <w:left w:val="nil"/>
              <w:bottom w:val="single" w:sz="4" w:space="0" w:color="auto"/>
              <w:right w:val="nil"/>
            </w:tcBorders>
            <w:shd w:val="clear" w:color="000000" w:fill="FFFFFF"/>
            <w:noWrap/>
            <w:vAlign w:val="bottom"/>
            <w:hideMark/>
          </w:tcPr>
          <w:p w14:paraId="7E48B9EC"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Percent</w:t>
            </w:r>
          </w:p>
        </w:tc>
        <w:tc>
          <w:tcPr>
            <w:tcW w:w="638" w:type="dxa"/>
            <w:tcBorders>
              <w:top w:val="nil"/>
              <w:left w:val="nil"/>
              <w:bottom w:val="single" w:sz="4" w:space="0" w:color="auto"/>
              <w:right w:val="nil"/>
            </w:tcBorders>
            <w:shd w:val="clear" w:color="000000" w:fill="FFFFFF"/>
            <w:noWrap/>
            <w:vAlign w:val="bottom"/>
            <w:hideMark/>
          </w:tcPr>
          <w:p w14:paraId="471192A3"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COC</w:t>
            </w:r>
          </w:p>
        </w:tc>
        <w:tc>
          <w:tcPr>
            <w:tcW w:w="638" w:type="dxa"/>
            <w:tcBorders>
              <w:top w:val="nil"/>
              <w:left w:val="nil"/>
              <w:bottom w:val="single" w:sz="4" w:space="0" w:color="auto"/>
              <w:right w:val="nil"/>
            </w:tcBorders>
            <w:shd w:val="clear" w:color="000000" w:fill="FFFFFF"/>
            <w:noWrap/>
            <w:vAlign w:val="bottom"/>
            <w:hideMark/>
          </w:tcPr>
          <w:p w14:paraId="08335375"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GE</w:t>
            </w:r>
          </w:p>
        </w:tc>
        <w:tc>
          <w:tcPr>
            <w:tcW w:w="638" w:type="dxa"/>
            <w:tcBorders>
              <w:top w:val="nil"/>
              <w:left w:val="nil"/>
              <w:bottom w:val="single" w:sz="4" w:space="0" w:color="auto"/>
              <w:right w:val="nil"/>
            </w:tcBorders>
            <w:shd w:val="clear" w:color="000000" w:fill="FFFFFF"/>
            <w:noWrap/>
            <w:vAlign w:val="bottom"/>
            <w:hideMark/>
          </w:tcPr>
          <w:p w14:paraId="3415539F"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PS</w:t>
            </w:r>
          </w:p>
        </w:tc>
        <w:tc>
          <w:tcPr>
            <w:tcW w:w="638" w:type="dxa"/>
            <w:tcBorders>
              <w:top w:val="nil"/>
              <w:left w:val="nil"/>
              <w:bottom w:val="single" w:sz="4" w:space="0" w:color="auto"/>
              <w:right w:val="nil"/>
            </w:tcBorders>
            <w:shd w:val="clear" w:color="000000" w:fill="FFFFFF"/>
            <w:noWrap/>
            <w:vAlign w:val="bottom"/>
            <w:hideMark/>
          </w:tcPr>
          <w:p w14:paraId="3135C35E"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RQ</w:t>
            </w:r>
          </w:p>
        </w:tc>
        <w:tc>
          <w:tcPr>
            <w:tcW w:w="638" w:type="dxa"/>
            <w:tcBorders>
              <w:top w:val="nil"/>
              <w:left w:val="nil"/>
              <w:bottom w:val="single" w:sz="4" w:space="0" w:color="auto"/>
              <w:right w:val="nil"/>
            </w:tcBorders>
            <w:shd w:val="clear" w:color="000000" w:fill="FFFFFF"/>
            <w:noWrap/>
            <w:vAlign w:val="bottom"/>
            <w:hideMark/>
          </w:tcPr>
          <w:p w14:paraId="7694C75C"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ROL</w:t>
            </w:r>
          </w:p>
        </w:tc>
        <w:tc>
          <w:tcPr>
            <w:tcW w:w="638" w:type="dxa"/>
            <w:tcBorders>
              <w:top w:val="nil"/>
              <w:left w:val="nil"/>
              <w:bottom w:val="single" w:sz="4" w:space="0" w:color="auto"/>
              <w:right w:val="nil"/>
            </w:tcBorders>
            <w:shd w:val="clear" w:color="000000" w:fill="FFFFFF"/>
            <w:noWrap/>
            <w:vAlign w:val="bottom"/>
            <w:hideMark/>
          </w:tcPr>
          <w:p w14:paraId="44B108EF"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VA</w:t>
            </w:r>
          </w:p>
        </w:tc>
        <w:tc>
          <w:tcPr>
            <w:tcW w:w="1030" w:type="dxa"/>
            <w:tcBorders>
              <w:top w:val="nil"/>
              <w:left w:val="nil"/>
              <w:bottom w:val="single" w:sz="4" w:space="0" w:color="auto"/>
              <w:right w:val="nil"/>
            </w:tcBorders>
            <w:shd w:val="clear" w:color="000000" w:fill="FFFFFF"/>
            <w:noWrap/>
            <w:vAlign w:val="bottom"/>
            <w:hideMark/>
          </w:tcPr>
          <w:p w14:paraId="56B0A40C"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DUVOL</w:t>
            </w:r>
          </w:p>
        </w:tc>
        <w:tc>
          <w:tcPr>
            <w:tcW w:w="1237" w:type="dxa"/>
            <w:tcBorders>
              <w:top w:val="nil"/>
              <w:left w:val="nil"/>
              <w:bottom w:val="single" w:sz="4" w:space="0" w:color="auto"/>
              <w:right w:val="nil"/>
            </w:tcBorders>
            <w:shd w:val="clear" w:color="000000" w:fill="FFFFFF"/>
            <w:noWrap/>
            <w:vAlign w:val="bottom"/>
            <w:hideMark/>
          </w:tcPr>
          <w:p w14:paraId="5192376D"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NCSKEW</w:t>
            </w:r>
          </w:p>
        </w:tc>
      </w:tr>
      <w:tr w:rsidR="00765F47" w:rsidRPr="00086601" w14:paraId="70D4AED5" w14:textId="77777777" w:rsidTr="00765F47">
        <w:trPr>
          <w:trHeight w:val="285"/>
        </w:trPr>
        <w:tc>
          <w:tcPr>
            <w:tcW w:w="747" w:type="dxa"/>
            <w:tcBorders>
              <w:top w:val="nil"/>
              <w:left w:val="nil"/>
              <w:bottom w:val="nil"/>
              <w:right w:val="nil"/>
            </w:tcBorders>
            <w:shd w:val="clear" w:color="000000" w:fill="FFFFFF"/>
            <w:noWrap/>
            <w:vAlign w:val="bottom"/>
            <w:hideMark/>
          </w:tcPr>
          <w:p w14:paraId="517B97F6"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2000</w:t>
            </w:r>
          </w:p>
        </w:tc>
        <w:tc>
          <w:tcPr>
            <w:tcW w:w="1477" w:type="dxa"/>
            <w:tcBorders>
              <w:top w:val="nil"/>
              <w:left w:val="nil"/>
              <w:bottom w:val="nil"/>
              <w:right w:val="nil"/>
            </w:tcBorders>
            <w:shd w:val="clear" w:color="000000" w:fill="FFFFFF"/>
            <w:noWrap/>
            <w:vAlign w:val="bottom"/>
            <w:hideMark/>
          </w:tcPr>
          <w:p w14:paraId="0D819F1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42</w:t>
            </w:r>
          </w:p>
        </w:tc>
        <w:tc>
          <w:tcPr>
            <w:tcW w:w="1104" w:type="dxa"/>
            <w:tcBorders>
              <w:top w:val="nil"/>
              <w:left w:val="nil"/>
              <w:bottom w:val="nil"/>
              <w:right w:val="nil"/>
            </w:tcBorders>
            <w:shd w:val="clear" w:color="000000" w:fill="FFFFFF"/>
            <w:noWrap/>
            <w:vAlign w:val="bottom"/>
            <w:hideMark/>
          </w:tcPr>
          <w:p w14:paraId="40C136A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3.81</w:t>
            </w:r>
          </w:p>
        </w:tc>
        <w:tc>
          <w:tcPr>
            <w:tcW w:w="638" w:type="dxa"/>
            <w:tcBorders>
              <w:top w:val="nil"/>
              <w:left w:val="nil"/>
              <w:bottom w:val="nil"/>
              <w:right w:val="nil"/>
            </w:tcBorders>
            <w:shd w:val="clear" w:color="000000" w:fill="FFFFFF"/>
            <w:noWrap/>
            <w:vAlign w:val="bottom"/>
            <w:hideMark/>
          </w:tcPr>
          <w:p w14:paraId="4F5B9EA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0.98</w:t>
            </w:r>
          </w:p>
        </w:tc>
        <w:tc>
          <w:tcPr>
            <w:tcW w:w="638" w:type="dxa"/>
            <w:tcBorders>
              <w:top w:val="nil"/>
              <w:left w:val="nil"/>
              <w:bottom w:val="nil"/>
              <w:right w:val="nil"/>
            </w:tcBorders>
            <w:shd w:val="clear" w:color="000000" w:fill="FFFFFF"/>
            <w:noWrap/>
            <w:vAlign w:val="bottom"/>
            <w:hideMark/>
          </w:tcPr>
          <w:p w14:paraId="08E3618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1.03</w:t>
            </w:r>
          </w:p>
        </w:tc>
        <w:tc>
          <w:tcPr>
            <w:tcW w:w="638" w:type="dxa"/>
            <w:tcBorders>
              <w:top w:val="nil"/>
              <w:left w:val="nil"/>
              <w:bottom w:val="nil"/>
              <w:right w:val="nil"/>
            </w:tcBorders>
            <w:shd w:val="clear" w:color="000000" w:fill="FFFFFF"/>
            <w:noWrap/>
            <w:vAlign w:val="bottom"/>
            <w:hideMark/>
          </w:tcPr>
          <w:p w14:paraId="1620B27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0.47</w:t>
            </w:r>
          </w:p>
        </w:tc>
        <w:tc>
          <w:tcPr>
            <w:tcW w:w="638" w:type="dxa"/>
            <w:tcBorders>
              <w:top w:val="nil"/>
              <w:left w:val="nil"/>
              <w:bottom w:val="nil"/>
              <w:right w:val="nil"/>
            </w:tcBorders>
            <w:shd w:val="clear" w:color="000000" w:fill="FFFFFF"/>
            <w:noWrap/>
            <w:vAlign w:val="bottom"/>
            <w:hideMark/>
          </w:tcPr>
          <w:p w14:paraId="7F6A2FF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0.98</w:t>
            </w:r>
          </w:p>
        </w:tc>
        <w:tc>
          <w:tcPr>
            <w:tcW w:w="638" w:type="dxa"/>
            <w:tcBorders>
              <w:top w:val="nil"/>
              <w:left w:val="nil"/>
              <w:bottom w:val="nil"/>
              <w:right w:val="nil"/>
            </w:tcBorders>
            <w:shd w:val="clear" w:color="000000" w:fill="FFFFFF"/>
            <w:noWrap/>
            <w:vAlign w:val="bottom"/>
            <w:hideMark/>
          </w:tcPr>
          <w:p w14:paraId="27BF79F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0.90</w:t>
            </w:r>
          </w:p>
        </w:tc>
        <w:tc>
          <w:tcPr>
            <w:tcW w:w="638" w:type="dxa"/>
            <w:tcBorders>
              <w:top w:val="nil"/>
              <w:left w:val="nil"/>
              <w:bottom w:val="nil"/>
              <w:right w:val="nil"/>
            </w:tcBorders>
            <w:shd w:val="clear" w:color="000000" w:fill="FFFFFF"/>
            <w:noWrap/>
            <w:vAlign w:val="bottom"/>
            <w:hideMark/>
          </w:tcPr>
          <w:p w14:paraId="77B7B59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0.73</w:t>
            </w:r>
          </w:p>
        </w:tc>
        <w:tc>
          <w:tcPr>
            <w:tcW w:w="1030" w:type="dxa"/>
            <w:tcBorders>
              <w:top w:val="nil"/>
              <w:left w:val="nil"/>
              <w:bottom w:val="nil"/>
              <w:right w:val="nil"/>
            </w:tcBorders>
            <w:shd w:val="clear" w:color="000000" w:fill="FFFFFF"/>
            <w:noWrap/>
            <w:vAlign w:val="bottom"/>
            <w:hideMark/>
          </w:tcPr>
          <w:p w14:paraId="5DBEB4D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-0.05</w:t>
            </w:r>
          </w:p>
        </w:tc>
        <w:tc>
          <w:tcPr>
            <w:tcW w:w="1237" w:type="dxa"/>
            <w:tcBorders>
              <w:top w:val="nil"/>
              <w:left w:val="nil"/>
              <w:bottom w:val="nil"/>
              <w:right w:val="nil"/>
            </w:tcBorders>
            <w:shd w:val="clear" w:color="000000" w:fill="FFFFFF"/>
            <w:noWrap/>
            <w:vAlign w:val="bottom"/>
            <w:hideMark/>
          </w:tcPr>
          <w:p w14:paraId="782CFC3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-0.14</w:t>
            </w:r>
          </w:p>
        </w:tc>
      </w:tr>
      <w:tr w:rsidR="00765F47" w:rsidRPr="00086601" w14:paraId="757E2F66" w14:textId="77777777" w:rsidTr="00765F47">
        <w:trPr>
          <w:trHeight w:val="285"/>
        </w:trPr>
        <w:tc>
          <w:tcPr>
            <w:tcW w:w="747" w:type="dxa"/>
            <w:tcBorders>
              <w:top w:val="nil"/>
              <w:left w:val="nil"/>
              <w:bottom w:val="nil"/>
              <w:right w:val="nil"/>
            </w:tcBorders>
            <w:shd w:val="clear" w:color="000000" w:fill="FFFFFF"/>
            <w:noWrap/>
            <w:vAlign w:val="bottom"/>
            <w:hideMark/>
          </w:tcPr>
          <w:p w14:paraId="2A440E1A"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2001</w:t>
            </w:r>
          </w:p>
        </w:tc>
        <w:tc>
          <w:tcPr>
            <w:tcW w:w="1477" w:type="dxa"/>
            <w:tcBorders>
              <w:top w:val="nil"/>
              <w:left w:val="nil"/>
              <w:bottom w:val="nil"/>
              <w:right w:val="nil"/>
            </w:tcBorders>
            <w:shd w:val="clear" w:color="000000" w:fill="FFFFFF"/>
            <w:noWrap/>
            <w:vAlign w:val="bottom"/>
            <w:hideMark/>
          </w:tcPr>
          <w:p w14:paraId="0FDDC48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42</w:t>
            </w:r>
          </w:p>
        </w:tc>
        <w:tc>
          <w:tcPr>
            <w:tcW w:w="1104" w:type="dxa"/>
            <w:tcBorders>
              <w:top w:val="nil"/>
              <w:left w:val="nil"/>
              <w:bottom w:val="nil"/>
              <w:right w:val="nil"/>
            </w:tcBorders>
            <w:shd w:val="clear" w:color="000000" w:fill="FFFFFF"/>
            <w:noWrap/>
            <w:vAlign w:val="bottom"/>
            <w:hideMark/>
          </w:tcPr>
          <w:p w14:paraId="49C8402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3.81</w:t>
            </w:r>
          </w:p>
        </w:tc>
        <w:tc>
          <w:tcPr>
            <w:tcW w:w="638" w:type="dxa"/>
            <w:tcBorders>
              <w:top w:val="nil"/>
              <w:left w:val="nil"/>
              <w:bottom w:val="nil"/>
              <w:right w:val="nil"/>
            </w:tcBorders>
            <w:shd w:val="clear" w:color="000000" w:fill="FFFFFF"/>
            <w:noWrap/>
            <w:vAlign w:val="bottom"/>
            <w:hideMark/>
          </w:tcPr>
          <w:p w14:paraId="225240A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0.98</w:t>
            </w:r>
          </w:p>
        </w:tc>
        <w:tc>
          <w:tcPr>
            <w:tcW w:w="638" w:type="dxa"/>
            <w:tcBorders>
              <w:top w:val="nil"/>
              <w:left w:val="nil"/>
              <w:bottom w:val="nil"/>
              <w:right w:val="nil"/>
            </w:tcBorders>
            <w:shd w:val="clear" w:color="000000" w:fill="FFFFFF"/>
            <w:noWrap/>
            <w:vAlign w:val="bottom"/>
            <w:hideMark/>
          </w:tcPr>
          <w:p w14:paraId="4888409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1.03</w:t>
            </w:r>
          </w:p>
        </w:tc>
        <w:tc>
          <w:tcPr>
            <w:tcW w:w="638" w:type="dxa"/>
            <w:tcBorders>
              <w:top w:val="nil"/>
              <w:left w:val="nil"/>
              <w:bottom w:val="nil"/>
              <w:right w:val="nil"/>
            </w:tcBorders>
            <w:shd w:val="clear" w:color="000000" w:fill="FFFFFF"/>
            <w:noWrap/>
            <w:vAlign w:val="bottom"/>
            <w:hideMark/>
          </w:tcPr>
          <w:p w14:paraId="2E235BA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0.47</w:t>
            </w:r>
          </w:p>
        </w:tc>
        <w:tc>
          <w:tcPr>
            <w:tcW w:w="638" w:type="dxa"/>
            <w:tcBorders>
              <w:top w:val="nil"/>
              <w:left w:val="nil"/>
              <w:bottom w:val="nil"/>
              <w:right w:val="nil"/>
            </w:tcBorders>
            <w:shd w:val="clear" w:color="000000" w:fill="FFFFFF"/>
            <w:noWrap/>
            <w:vAlign w:val="bottom"/>
            <w:hideMark/>
          </w:tcPr>
          <w:p w14:paraId="1D7F7A8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0.98</w:t>
            </w:r>
          </w:p>
        </w:tc>
        <w:tc>
          <w:tcPr>
            <w:tcW w:w="638" w:type="dxa"/>
            <w:tcBorders>
              <w:top w:val="nil"/>
              <w:left w:val="nil"/>
              <w:bottom w:val="nil"/>
              <w:right w:val="nil"/>
            </w:tcBorders>
            <w:shd w:val="clear" w:color="000000" w:fill="FFFFFF"/>
            <w:noWrap/>
            <w:vAlign w:val="bottom"/>
            <w:hideMark/>
          </w:tcPr>
          <w:p w14:paraId="3E8D09C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0.90</w:t>
            </w:r>
          </w:p>
        </w:tc>
        <w:tc>
          <w:tcPr>
            <w:tcW w:w="638" w:type="dxa"/>
            <w:tcBorders>
              <w:top w:val="nil"/>
              <w:left w:val="nil"/>
              <w:bottom w:val="nil"/>
              <w:right w:val="nil"/>
            </w:tcBorders>
            <w:shd w:val="clear" w:color="000000" w:fill="FFFFFF"/>
            <w:noWrap/>
            <w:vAlign w:val="bottom"/>
            <w:hideMark/>
          </w:tcPr>
          <w:p w14:paraId="43BCE49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0.73</w:t>
            </w:r>
          </w:p>
        </w:tc>
        <w:tc>
          <w:tcPr>
            <w:tcW w:w="1030" w:type="dxa"/>
            <w:tcBorders>
              <w:top w:val="nil"/>
              <w:left w:val="nil"/>
              <w:bottom w:val="nil"/>
              <w:right w:val="nil"/>
            </w:tcBorders>
            <w:shd w:val="clear" w:color="000000" w:fill="FFFFFF"/>
            <w:noWrap/>
            <w:vAlign w:val="bottom"/>
            <w:hideMark/>
          </w:tcPr>
          <w:p w14:paraId="409B6C9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0.17</w:t>
            </w:r>
          </w:p>
        </w:tc>
        <w:tc>
          <w:tcPr>
            <w:tcW w:w="1237" w:type="dxa"/>
            <w:tcBorders>
              <w:top w:val="nil"/>
              <w:left w:val="nil"/>
              <w:bottom w:val="nil"/>
              <w:right w:val="nil"/>
            </w:tcBorders>
            <w:shd w:val="clear" w:color="000000" w:fill="FFFFFF"/>
            <w:noWrap/>
            <w:vAlign w:val="bottom"/>
            <w:hideMark/>
          </w:tcPr>
          <w:p w14:paraId="25A2E6D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0.91</w:t>
            </w:r>
          </w:p>
        </w:tc>
      </w:tr>
      <w:tr w:rsidR="00765F47" w:rsidRPr="00086601" w14:paraId="0170DD52" w14:textId="77777777" w:rsidTr="00765F47">
        <w:trPr>
          <w:trHeight w:val="285"/>
        </w:trPr>
        <w:tc>
          <w:tcPr>
            <w:tcW w:w="747" w:type="dxa"/>
            <w:tcBorders>
              <w:top w:val="nil"/>
              <w:left w:val="nil"/>
              <w:bottom w:val="nil"/>
              <w:right w:val="nil"/>
            </w:tcBorders>
            <w:shd w:val="clear" w:color="000000" w:fill="FFFFFF"/>
            <w:noWrap/>
            <w:vAlign w:val="bottom"/>
            <w:hideMark/>
          </w:tcPr>
          <w:p w14:paraId="04ED5AD6"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2002</w:t>
            </w:r>
          </w:p>
        </w:tc>
        <w:tc>
          <w:tcPr>
            <w:tcW w:w="1477" w:type="dxa"/>
            <w:tcBorders>
              <w:top w:val="nil"/>
              <w:left w:val="nil"/>
              <w:bottom w:val="nil"/>
              <w:right w:val="nil"/>
            </w:tcBorders>
            <w:shd w:val="clear" w:color="000000" w:fill="FFFFFF"/>
            <w:noWrap/>
            <w:vAlign w:val="bottom"/>
            <w:hideMark/>
          </w:tcPr>
          <w:p w14:paraId="20C2841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42</w:t>
            </w:r>
          </w:p>
        </w:tc>
        <w:tc>
          <w:tcPr>
            <w:tcW w:w="1104" w:type="dxa"/>
            <w:tcBorders>
              <w:top w:val="nil"/>
              <w:left w:val="nil"/>
              <w:bottom w:val="nil"/>
              <w:right w:val="nil"/>
            </w:tcBorders>
            <w:shd w:val="clear" w:color="000000" w:fill="FFFFFF"/>
            <w:noWrap/>
            <w:vAlign w:val="bottom"/>
            <w:hideMark/>
          </w:tcPr>
          <w:p w14:paraId="6152DAC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3.81</w:t>
            </w:r>
          </w:p>
        </w:tc>
        <w:tc>
          <w:tcPr>
            <w:tcW w:w="638" w:type="dxa"/>
            <w:tcBorders>
              <w:top w:val="nil"/>
              <w:left w:val="nil"/>
              <w:bottom w:val="nil"/>
              <w:right w:val="nil"/>
            </w:tcBorders>
            <w:shd w:val="clear" w:color="000000" w:fill="FFFFFF"/>
            <w:noWrap/>
            <w:vAlign w:val="bottom"/>
            <w:hideMark/>
          </w:tcPr>
          <w:p w14:paraId="429FA50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0.96</w:t>
            </w:r>
          </w:p>
        </w:tc>
        <w:tc>
          <w:tcPr>
            <w:tcW w:w="638" w:type="dxa"/>
            <w:tcBorders>
              <w:top w:val="nil"/>
              <w:left w:val="nil"/>
              <w:bottom w:val="nil"/>
              <w:right w:val="nil"/>
            </w:tcBorders>
            <w:shd w:val="clear" w:color="000000" w:fill="FFFFFF"/>
            <w:noWrap/>
            <w:vAlign w:val="bottom"/>
            <w:hideMark/>
          </w:tcPr>
          <w:p w14:paraId="018B329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1.06</w:t>
            </w:r>
          </w:p>
        </w:tc>
        <w:tc>
          <w:tcPr>
            <w:tcW w:w="638" w:type="dxa"/>
            <w:tcBorders>
              <w:top w:val="nil"/>
              <w:left w:val="nil"/>
              <w:bottom w:val="nil"/>
              <w:right w:val="nil"/>
            </w:tcBorders>
            <w:shd w:val="clear" w:color="000000" w:fill="FFFFFF"/>
            <w:noWrap/>
            <w:vAlign w:val="bottom"/>
            <w:hideMark/>
          </w:tcPr>
          <w:p w14:paraId="541FDEE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0.51</w:t>
            </w:r>
          </w:p>
        </w:tc>
        <w:tc>
          <w:tcPr>
            <w:tcW w:w="638" w:type="dxa"/>
            <w:tcBorders>
              <w:top w:val="nil"/>
              <w:left w:val="nil"/>
              <w:bottom w:val="nil"/>
              <w:right w:val="nil"/>
            </w:tcBorders>
            <w:shd w:val="clear" w:color="000000" w:fill="FFFFFF"/>
            <w:noWrap/>
            <w:vAlign w:val="bottom"/>
            <w:hideMark/>
          </w:tcPr>
          <w:p w14:paraId="65B667C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0.96</w:t>
            </w:r>
          </w:p>
        </w:tc>
        <w:tc>
          <w:tcPr>
            <w:tcW w:w="638" w:type="dxa"/>
            <w:tcBorders>
              <w:top w:val="nil"/>
              <w:left w:val="nil"/>
              <w:bottom w:val="nil"/>
              <w:right w:val="nil"/>
            </w:tcBorders>
            <w:shd w:val="clear" w:color="000000" w:fill="FFFFFF"/>
            <w:noWrap/>
            <w:vAlign w:val="bottom"/>
            <w:hideMark/>
          </w:tcPr>
          <w:p w14:paraId="21B752B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0.93</w:t>
            </w:r>
          </w:p>
        </w:tc>
        <w:tc>
          <w:tcPr>
            <w:tcW w:w="638" w:type="dxa"/>
            <w:tcBorders>
              <w:top w:val="nil"/>
              <w:left w:val="nil"/>
              <w:bottom w:val="nil"/>
              <w:right w:val="nil"/>
            </w:tcBorders>
            <w:shd w:val="clear" w:color="000000" w:fill="FFFFFF"/>
            <w:noWrap/>
            <w:vAlign w:val="bottom"/>
            <w:hideMark/>
          </w:tcPr>
          <w:p w14:paraId="10EE37F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0.73</w:t>
            </w:r>
          </w:p>
        </w:tc>
        <w:tc>
          <w:tcPr>
            <w:tcW w:w="1030" w:type="dxa"/>
            <w:tcBorders>
              <w:top w:val="nil"/>
              <w:left w:val="nil"/>
              <w:bottom w:val="nil"/>
              <w:right w:val="nil"/>
            </w:tcBorders>
            <w:shd w:val="clear" w:color="000000" w:fill="FFFFFF"/>
            <w:noWrap/>
            <w:vAlign w:val="bottom"/>
            <w:hideMark/>
          </w:tcPr>
          <w:p w14:paraId="1DE6AD2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0.05</w:t>
            </w:r>
          </w:p>
        </w:tc>
        <w:tc>
          <w:tcPr>
            <w:tcW w:w="1237" w:type="dxa"/>
            <w:tcBorders>
              <w:top w:val="nil"/>
              <w:left w:val="nil"/>
              <w:bottom w:val="nil"/>
              <w:right w:val="nil"/>
            </w:tcBorders>
            <w:shd w:val="clear" w:color="000000" w:fill="FFFFFF"/>
            <w:noWrap/>
            <w:vAlign w:val="bottom"/>
            <w:hideMark/>
          </w:tcPr>
          <w:p w14:paraId="358D1BD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0.12</w:t>
            </w:r>
          </w:p>
        </w:tc>
      </w:tr>
      <w:tr w:rsidR="00765F47" w:rsidRPr="00086601" w14:paraId="7B774AAA" w14:textId="77777777" w:rsidTr="00765F47">
        <w:trPr>
          <w:trHeight w:val="285"/>
        </w:trPr>
        <w:tc>
          <w:tcPr>
            <w:tcW w:w="747" w:type="dxa"/>
            <w:tcBorders>
              <w:top w:val="nil"/>
              <w:left w:val="nil"/>
              <w:bottom w:val="nil"/>
              <w:right w:val="nil"/>
            </w:tcBorders>
            <w:shd w:val="clear" w:color="000000" w:fill="FFFFFF"/>
            <w:noWrap/>
            <w:vAlign w:val="bottom"/>
            <w:hideMark/>
          </w:tcPr>
          <w:p w14:paraId="61E755B3"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2003</w:t>
            </w:r>
          </w:p>
        </w:tc>
        <w:tc>
          <w:tcPr>
            <w:tcW w:w="1477" w:type="dxa"/>
            <w:tcBorders>
              <w:top w:val="nil"/>
              <w:left w:val="nil"/>
              <w:bottom w:val="nil"/>
              <w:right w:val="nil"/>
            </w:tcBorders>
            <w:shd w:val="clear" w:color="000000" w:fill="FFFFFF"/>
            <w:noWrap/>
            <w:vAlign w:val="bottom"/>
            <w:hideMark/>
          </w:tcPr>
          <w:p w14:paraId="02CF95B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42</w:t>
            </w:r>
          </w:p>
        </w:tc>
        <w:tc>
          <w:tcPr>
            <w:tcW w:w="1104" w:type="dxa"/>
            <w:tcBorders>
              <w:top w:val="nil"/>
              <w:left w:val="nil"/>
              <w:bottom w:val="nil"/>
              <w:right w:val="nil"/>
            </w:tcBorders>
            <w:shd w:val="clear" w:color="000000" w:fill="FFFFFF"/>
            <w:noWrap/>
            <w:vAlign w:val="bottom"/>
            <w:hideMark/>
          </w:tcPr>
          <w:p w14:paraId="70B02D3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3.81</w:t>
            </w:r>
          </w:p>
        </w:tc>
        <w:tc>
          <w:tcPr>
            <w:tcW w:w="638" w:type="dxa"/>
            <w:tcBorders>
              <w:top w:val="nil"/>
              <w:left w:val="nil"/>
              <w:bottom w:val="nil"/>
              <w:right w:val="nil"/>
            </w:tcBorders>
            <w:shd w:val="clear" w:color="000000" w:fill="FFFFFF"/>
            <w:noWrap/>
            <w:vAlign w:val="bottom"/>
            <w:hideMark/>
          </w:tcPr>
          <w:p w14:paraId="31C310E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1.00</w:t>
            </w:r>
          </w:p>
        </w:tc>
        <w:tc>
          <w:tcPr>
            <w:tcW w:w="638" w:type="dxa"/>
            <w:tcBorders>
              <w:top w:val="nil"/>
              <w:left w:val="nil"/>
              <w:bottom w:val="nil"/>
              <w:right w:val="nil"/>
            </w:tcBorders>
            <w:shd w:val="clear" w:color="000000" w:fill="FFFFFF"/>
            <w:noWrap/>
            <w:vAlign w:val="bottom"/>
            <w:hideMark/>
          </w:tcPr>
          <w:p w14:paraId="236CB68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1.08</w:t>
            </w:r>
          </w:p>
        </w:tc>
        <w:tc>
          <w:tcPr>
            <w:tcW w:w="638" w:type="dxa"/>
            <w:tcBorders>
              <w:top w:val="nil"/>
              <w:left w:val="nil"/>
              <w:bottom w:val="nil"/>
              <w:right w:val="nil"/>
            </w:tcBorders>
            <w:shd w:val="clear" w:color="000000" w:fill="FFFFFF"/>
            <w:noWrap/>
            <w:vAlign w:val="bottom"/>
            <w:hideMark/>
          </w:tcPr>
          <w:p w14:paraId="1CA2300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0.26</w:t>
            </w:r>
          </w:p>
        </w:tc>
        <w:tc>
          <w:tcPr>
            <w:tcW w:w="638" w:type="dxa"/>
            <w:tcBorders>
              <w:top w:val="nil"/>
              <w:left w:val="nil"/>
              <w:bottom w:val="nil"/>
              <w:right w:val="nil"/>
            </w:tcBorders>
            <w:shd w:val="clear" w:color="000000" w:fill="FFFFFF"/>
            <w:noWrap/>
            <w:vAlign w:val="bottom"/>
            <w:hideMark/>
          </w:tcPr>
          <w:p w14:paraId="1518789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0.99</w:t>
            </w:r>
          </w:p>
        </w:tc>
        <w:tc>
          <w:tcPr>
            <w:tcW w:w="638" w:type="dxa"/>
            <w:tcBorders>
              <w:top w:val="nil"/>
              <w:left w:val="nil"/>
              <w:bottom w:val="nil"/>
              <w:right w:val="nil"/>
            </w:tcBorders>
            <w:shd w:val="clear" w:color="000000" w:fill="FFFFFF"/>
            <w:noWrap/>
            <w:vAlign w:val="bottom"/>
            <w:hideMark/>
          </w:tcPr>
          <w:p w14:paraId="66D73E1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0.94</w:t>
            </w:r>
          </w:p>
        </w:tc>
        <w:tc>
          <w:tcPr>
            <w:tcW w:w="638" w:type="dxa"/>
            <w:tcBorders>
              <w:top w:val="nil"/>
              <w:left w:val="nil"/>
              <w:bottom w:val="nil"/>
              <w:right w:val="nil"/>
            </w:tcBorders>
            <w:shd w:val="clear" w:color="000000" w:fill="FFFFFF"/>
            <w:noWrap/>
            <w:vAlign w:val="bottom"/>
            <w:hideMark/>
          </w:tcPr>
          <w:p w14:paraId="6A755D7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0.75</w:t>
            </w:r>
          </w:p>
        </w:tc>
        <w:tc>
          <w:tcPr>
            <w:tcW w:w="1030" w:type="dxa"/>
            <w:tcBorders>
              <w:top w:val="nil"/>
              <w:left w:val="nil"/>
              <w:bottom w:val="nil"/>
              <w:right w:val="nil"/>
            </w:tcBorders>
            <w:shd w:val="clear" w:color="000000" w:fill="FFFFFF"/>
            <w:noWrap/>
            <w:vAlign w:val="bottom"/>
            <w:hideMark/>
          </w:tcPr>
          <w:p w14:paraId="338F235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0.00</w:t>
            </w:r>
          </w:p>
        </w:tc>
        <w:tc>
          <w:tcPr>
            <w:tcW w:w="1237" w:type="dxa"/>
            <w:tcBorders>
              <w:top w:val="nil"/>
              <w:left w:val="nil"/>
              <w:bottom w:val="nil"/>
              <w:right w:val="nil"/>
            </w:tcBorders>
            <w:shd w:val="clear" w:color="000000" w:fill="FFFFFF"/>
            <w:noWrap/>
            <w:vAlign w:val="bottom"/>
            <w:hideMark/>
          </w:tcPr>
          <w:p w14:paraId="154B0E7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-0.08</w:t>
            </w:r>
          </w:p>
        </w:tc>
      </w:tr>
      <w:tr w:rsidR="00765F47" w:rsidRPr="00086601" w14:paraId="16244E71" w14:textId="77777777" w:rsidTr="00765F47">
        <w:trPr>
          <w:trHeight w:val="285"/>
        </w:trPr>
        <w:tc>
          <w:tcPr>
            <w:tcW w:w="747" w:type="dxa"/>
            <w:tcBorders>
              <w:top w:val="nil"/>
              <w:left w:val="nil"/>
              <w:bottom w:val="nil"/>
              <w:right w:val="nil"/>
            </w:tcBorders>
            <w:shd w:val="clear" w:color="000000" w:fill="FFFFFF"/>
            <w:noWrap/>
            <w:vAlign w:val="bottom"/>
            <w:hideMark/>
          </w:tcPr>
          <w:p w14:paraId="2A784EA0"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2004</w:t>
            </w:r>
          </w:p>
        </w:tc>
        <w:tc>
          <w:tcPr>
            <w:tcW w:w="1477" w:type="dxa"/>
            <w:tcBorders>
              <w:top w:val="nil"/>
              <w:left w:val="nil"/>
              <w:bottom w:val="nil"/>
              <w:right w:val="nil"/>
            </w:tcBorders>
            <w:shd w:val="clear" w:color="000000" w:fill="FFFFFF"/>
            <w:noWrap/>
            <w:vAlign w:val="bottom"/>
            <w:hideMark/>
          </w:tcPr>
          <w:p w14:paraId="646D152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42</w:t>
            </w:r>
          </w:p>
        </w:tc>
        <w:tc>
          <w:tcPr>
            <w:tcW w:w="1104" w:type="dxa"/>
            <w:tcBorders>
              <w:top w:val="nil"/>
              <w:left w:val="nil"/>
              <w:bottom w:val="nil"/>
              <w:right w:val="nil"/>
            </w:tcBorders>
            <w:shd w:val="clear" w:color="000000" w:fill="FFFFFF"/>
            <w:noWrap/>
            <w:vAlign w:val="bottom"/>
            <w:hideMark/>
          </w:tcPr>
          <w:p w14:paraId="47D09E5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3.81</w:t>
            </w:r>
          </w:p>
        </w:tc>
        <w:tc>
          <w:tcPr>
            <w:tcW w:w="638" w:type="dxa"/>
            <w:tcBorders>
              <w:top w:val="nil"/>
              <w:left w:val="nil"/>
              <w:bottom w:val="nil"/>
              <w:right w:val="nil"/>
            </w:tcBorders>
            <w:shd w:val="clear" w:color="000000" w:fill="FFFFFF"/>
            <w:noWrap/>
            <w:vAlign w:val="bottom"/>
            <w:hideMark/>
          </w:tcPr>
          <w:p w14:paraId="2957DD3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0.95</w:t>
            </w:r>
          </w:p>
        </w:tc>
        <w:tc>
          <w:tcPr>
            <w:tcW w:w="638" w:type="dxa"/>
            <w:tcBorders>
              <w:top w:val="nil"/>
              <w:left w:val="nil"/>
              <w:bottom w:val="nil"/>
              <w:right w:val="nil"/>
            </w:tcBorders>
            <w:shd w:val="clear" w:color="000000" w:fill="FFFFFF"/>
            <w:noWrap/>
            <w:vAlign w:val="bottom"/>
            <w:hideMark/>
          </w:tcPr>
          <w:p w14:paraId="2ACDED0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1.06</w:t>
            </w:r>
          </w:p>
        </w:tc>
        <w:tc>
          <w:tcPr>
            <w:tcW w:w="638" w:type="dxa"/>
            <w:tcBorders>
              <w:top w:val="nil"/>
              <w:left w:val="nil"/>
              <w:bottom w:val="nil"/>
              <w:right w:val="nil"/>
            </w:tcBorders>
            <w:shd w:val="clear" w:color="000000" w:fill="FFFFFF"/>
            <w:noWrap/>
            <w:vAlign w:val="bottom"/>
            <w:hideMark/>
          </w:tcPr>
          <w:p w14:paraId="390C11C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0.20</w:t>
            </w:r>
          </w:p>
        </w:tc>
        <w:tc>
          <w:tcPr>
            <w:tcW w:w="638" w:type="dxa"/>
            <w:tcBorders>
              <w:top w:val="nil"/>
              <w:left w:val="nil"/>
              <w:bottom w:val="nil"/>
              <w:right w:val="nil"/>
            </w:tcBorders>
            <w:shd w:val="clear" w:color="000000" w:fill="FFFFFF"/>
            <w:noWrap/>
            <w:vAlign w:val="bottom"/>
            <w:hideMark/>
          </w:tcPr>
          <w:p w14:paraId="1F128AA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0.96</w:t>
            </w:r>
          </w:p>
        </w:tc>
        <w:tc>
          <w:tcPr>
            <w:tcW w:w="638" w:type="dxa"/>
            <w:tcBorders>
              <w:top w:val="nil"/>
              <w:left w:val="nil"/>
              <w:bottom w:val="nil"/>
              <w:right w:val="nil"/>
            </w:tcBorders>
            <w:shd w:val="clear" w:color="000000" w:fill="FFFFFF"/>
            <w:noWrap/>
            <w:vAlign w:val="bottom"/>
            <w:hideMark/>
          </w:tcPr>
          <w:p w14:paraId="255F266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0.91</w:t>
            </w:r>
          </w:p>
        </w:tc>
        <w:tc>
          <w:tcPr>
            <w:tcW w:w="638" w:type="dxa"/>
            <w:tcBorders>
              <w:top w:val="nil"/>
              <w:left w:val="nil"/>
              <w:bottom w:val="nil"/>
              <w:right w:val="nil"/>
            </w:tcBorders>
            <w:shd w:val="clear" w:color="000000" w:fill="FFFFFF"/>
            <w:noWrap/>
            <w:vAlign w:val="bottom"/>
            <w:hideMark/>
          </w:tcPr>
          <w:p w14:paraId="4E520F0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0.82</w:t>
            </w:r>
          </w:p>
        </w:tc>
        <w:tc>
          <w:tcPr>
            <w:tcW w:w="1030" w:type="dxa"/>
            <w:tcBorders>
              <w:top w:val="nil"/>
              <w:left w:val="nil"/>
              <w:bottom w:val="nil"/>
              <w:right w:val="nil"/>
            </w:tcBorders>
            <w:shd w:val="clear" w:color="000000" w:fill="FFFFFF"/>
            <w:noWrap/>
            <w:vAlign w:val="bottom"/>
            <w:hideMark/>
          </w:tcPr>
          <w:p w14:paraId="3D1804F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-0.02</w:t>
            </w:r>
          </w:p>
        </w:tc>
        <w:tc>
          <w:tcPr>
            <w:tcW w:w="1237" w:type="dxa"/>
            <w:tcBorders>
              <w:top w:val="nil"/>
              <w:left w:val="nil"/>
              <w:bottom w:val="nil"/>
              <w:right w:val="nil"/>
            </w:tcBorders>
            <w:shd w:val="clear" w:color="000000" w:fill="FFFFFF"/>
            <w:noWrap/>
            <w:vAlign w:val="bottom"/>
            <w:hideMark/>
          </w:tcPr>
          <w:p w14:paraId="5D836E1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-0.16</w:t>
            </w:r>
          </w:p>
        </w:tc>
      </w:tr>
      <w:tr w:rsidR="00765F47" w:rsidRPr="00086601" w14:paraId="69C003B3" w14:textId="77777777" w:rsidTr="00765F47">
        <w:trPr>
          <w:trHeight w:val="285"/>
        </w:trPr>
        <w:tc>
          <w:tcPr>
            <w:tcW w:w="747" w:type="dxa"/>
            <w:tcBorders>
              <w:top w:val="nil"/>
              <w:left w:val="nil"/>
              <w:bottom w:val="nil"/>
              <w:right w:val="nil"/>
            </w:tcBorders>
            <w:shd w:val="clear" w:color="000000" w:fill="FFFFFF"/>
            <w:noWrap/>
            <w:vAlign w:val="bottom"/>
            <w:hideMark/>
          </w:tcPr>
          <w:p w14:paraId="09E1FADA"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2005</w:t>
            </w:r>
          </w:p>
        </w:tc>
        <w:tc>
          <w:tcPr>
            <w:tcW w:w="1477" w:type="dxa"/>
            <w:tcBorders>
              <w:top w:val="nil"/>
              <w:left w:val="nil"/>
              <w:bottom w:val="nil"/>
              <w:right w:val="nil"/>
            </w:tcBorders>
            <w:shd w:val="clear" w:color="000000" w:fill="FFFFFF"/>
            <w:noWrap/>
            <w:vAlign w:val="bottom"/>
            <w:hideMark/>
          </w:tcPr>
          <w:p w14:paraId="3D6140B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43</w:t>
            </w:r>
          </w:p>
        </w:tc>
        <w:tc>
          <w:tcPr>
            <w:tcW w:w="1104" w:type="dxa"/>
            <w:tcBorders>
              <w:top w:val="nil"/>
              <w:left w:val="nil"/>
              <w:bottom w:val="nil"/>
              <w:right w:val="nil"/>
            </w:tcBorders>
            <w:shd w:val="clear" w:color="000000" w:fill="FFFFFF"/>
            <w:noWrap/>
            <w:vAlign w:val="bottom"/>
            <w:hideMark/>
          </w:tcPr>
          <w:p w14:paraId="56FC2C7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3.9</w:t>
            </w:r>
          </w:p>
        </w:tc>
        <w:tc>
          <w:tcPr>
            <w:tcW w:w="638" w:type="dxa"/>
            <w:tcBorders>
              <w:top w:val="nil"/>
              <w:left w:val="nil"/>
              <w:bottom w:val="nil"/>
              <w:right w:val="nil"/>
            </w:tcBorders>
            <w:shd w:val="clear" w:color="000000" w:fill="FFFFFF"/>
            <w:noWrap/>
            <w:vAlign w:val="bottom"/>
            <w:hideMark/>
          </w:tcPr>
          <w:p w14:paraId="2343448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0.90</w:t>
            </w:r>
          </w:p>
        </w:tc>
        <w:tc>
          <w:tcPr>
            <w:tcW w:w="638" w:type="dxa"/>
            <w:tcBorders>
              <w:top w:val="nil"/>
              <w:left w:val="nil"/>
              <w:bottom w:val="nil"/>
              <w:right w:val="nil"/>
            </w:tcBorders>
            <w:shd w:val="clear" w:color="000000" w:fill="FFFFFF"/>
            <w:noWrap/>
            <w:vAlign w:val="bottom"/>
            <w:hideMark/>
          </w:tcPr>
          <w:p w14:paraId="66A89A5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0.99</w:t>
            </w:r>
          </w:p>
        </w:tc>
        <w:tc>
          <w:tcPr>
            <w:tcW w:w="638" w:type="dxa"/>
            <w:tcBorders>
              <w:top w:val="nil"/>
              <w:left w:val="nil"/>
              <w:bottom w:val="nil"/>
              <w:right w:val="nil"/>
            </w:tcBorders>
            <w:shd w:val="clear" w:color="000000" w:fill="FFFFFF"/>
            <w:noWrap/>
            <w:vAlign w:val="bottom"/>
            <w:hideMark/>
          </w:tcPr>
          <w:p w14:paraId="6D36481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0.28</w:t>
            </w:r>
          </w:p>
        </w:tc>
        <w:tc>
          <w:tcPr>
            <w:tcW w:w="638" w:type="dxa"/>
            <w:tcBorders>
              <w:top w:val="nil"/>
              <w:left w:val="nil"/>
              <w:bottom w:val="nil"/>
              <w:right w:val="nil"/>
            </w:tcBorders>
            <w:shd w:val="clear" w:color="000000" w:fill="FFFFFF"/>
            <w:noWrap/>
            <w:vAlign w:val="bottom"/>
            <w:hideMark/>
          </w:tcPr>
          <w:p w14:paraId="5678423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0.92</w:t>
            </w:r>
          </w:p>
        </w:tc>
        <w:tc>
          <w:tcPr>
            <w:tcW w:w="638" w:type="dxa"/>
            <w:tcBorders>
              <w:top w:val="nil"/>
              <w:left w:val="nil"/>
              <w:bottom w:val="nil"/>
              <w:right w:val="nil"/>
            </w:tcBorders>
            <w:shd w:val="clear" w:color="000000" w:fill="FFFFFF"/>
            <w:noWrap/>
            <w:vAlign w:val="bottom"/>
            <w:hideMark/>
          </w:tcPr>
          <w:p w14:paraId="5E912A1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0.88</w:t>
            </w:r>
          </w:p>
        </w:tc>
        <w:tc>
          <w:tcPr>
            <w:tcW w:w="638" w:type="dxa"/>
            <w:tcBorders>
              <w:top w:val="nil"/>
              <w:left w:val="nil"/>
              <w:bottom w:val="nil"/>
              <w:right w:val="nil"/>
            </w:tcBorders>
            <w:shd w:val="clear" w:color="000000" w:fill="FFFFFF"/>
            <w:noWrap/>
            <w:vAlign w:val="bottom"/>
            <w:hideMark/>
          </w:tcPr>
          <w:p w14:paraId="0208CD1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0.75</w:t>
            </w:r>
          </w:p>
        </w:tc>
        <w:tc>
          <w:tcPr>
            <w:tcW w:w="1030" w:type="dxa"/>
            <w:tcBorders>
              <w:top w:val="nil"/>
              <w:left w:val="nil"/>
              <w:bottom w:val="nil"/>
              <w:right w:val="nil"/>
            </w:tcBorders>
            <w:shd w:val="clear" w:color="000000" w:fill="FFFFFF"/>
            <w:noWrap/>
            <w:vAlign w:val="bottom"/>
            <w:hideMark/>
          </w:tcPr>
          <w:p w14:paraId="26AF995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0.00</w:t>
            </w:r>
          </w:p>
        </w:tc>
        <w:tc>
          <w:tcPr>
            <w:tcW w:w="1237" w:type="dxa"/>
            <w:tcBorders>
              <w:top w:val="nil"/>
              <w:left w:val="nil"/>
              <w:bottom w:val="nil"/>
              <w:right w:val="nil"/>
            </w:tcBorders>
            <w:shd w:val="clear" w:color="000000" w:fill="FFFFFF"/>
            <w:noWrap/>
            <w:vAlign w:val="bottom"/>
            <w:hideMark/>
          </w:tcPr>
          <w:p w14:paraId="399A266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-0.08</w:t>
            </w:r>
          </w:p>
        </w:tc>
      </w:tr>
      <w:tr w:rsidR="00765F47" w:rsidRPr="00086601" w14:paraId="05C73C23" w14:textId="77777777" w:rsidTr="00765F47">
        <w:trPr>
          <w:trHeight w:val="285"/>
        </w:trPr>
        <w:tc>
          <w:tcPr>
            <w:tcW w:w="747" w:type="dxa"/>
            <w:tcBorders>
              <w:top w:val="nil"/>
              <w:left w:val="nil"/>
              <w:bottom w:val="nil"/>
              <w:right w:val="nil"/>
            </w:tcBorders>
            <w:shd w:val="clear" w:color="000000" w:fill="FFFFFF"/>
            <w:noWrap/>
            <w:vAlign w:val="bottom"/>
            <w:hideMark/>
          </w:tcPr>
          <w:p w14:paraId="065AD268"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2006</w:t>
            </w:r>
          </w:p>
        </w:tc>
        <w:tc>
          <w:tcPr>
            <w:tcW w:w="1477" w:type="dxa"/>
            <w:tcBorders>
              <w:top w:val="nil"/>
              <w:left w:val="nil"/>
              <w:bottom w:val="nil"/>
              <w:right w:val="nil"/>
            </w:tcBorders>
            <w:shd w:val="clear" w:color="000000" w:fill="FFFFFF"/>
            <w:noWrap/>
            <w:vAlign w:val="bottom"/>
            <w:hideMark/>
          </w:tcPr>
          <w:p w14:paraId="6546943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48</w:t>
            </w:r>
          </w:p>
        </w:tc>
        <w:tc>
          <w:tcPr>
            <w:tcW w:w="1104" w:type="dxa"/>
            <w:tcBorders>
              <w:top w:val="nil"/>
              <w:left w:val="nil"/>
              <w:bottom w:val="nil"/>
              <w:right w:val="nil"/>
            </w:tcBorders>
            <w:shd w:val="clear" w:color="000000" w:fill="FFFFFF"/>
            <w:noWrap/>
            <w:vAlign w:val="bottom"/>
            <w:hideMark/>
          </w:tcPr>
          <w:p w14:paraId="5FB17AF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4.35</w:t>
            </w:r>
          </w:p>
        </w:tc>
        <w:tc>
          <w:tcPr>
            <w:tcW w:w="638" w:type="dxa"/>
            <w:tcBorders>
              <w:top w:val="nil"/>
              <w:left w:val="nil"/>
              <w:bottom w:val="nil"/>
              <w:right w:val="nil"/>
            </w:tcBorders>
            <w:shd w:val="clear" w:color="000000" w:fill="FFFFFF"/>
            <w:noWrap/>
            <w:vAlign w:val="bottom"/>
            <w:hideMark/>
          </w:tcPr>
          <w:p w14:paraId="36C7464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0.88</w:t>
            </w:r>
          </w:p>
        </w:tc>
        <w:tc>
          <w:tcPr>
            <w:tcW w:w="638" w:type="dxa"/>
            <w:tcBorders>
              <w:top w:val="nil"/>
              <w:left w:val="nil"/>
              <w:bottom w:val="nil"/>
              <w:right w:val="nil"/>
            </w:tcBorders>
            <w:shd w:val="clear" w:color="000000" w:fill="FFFFFF"/>
            <w:noWrap/>
            <w:vAlign w:val="bottom"/>
            <w:hideMark/>
          </w:tcPr>
          <w:p w14:paraId="15DFBE8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0.95</w:t>
            </w:r>
          </w:p>
        </w:tc>
        <w:tc>
          <w:tcPr>
            <w:tcW w:w="638" w:type="dxa"/>
            <w:tcBorders>
              <w:top w:val="nil"/>
              <w:left w:val="nil"/>
              <w:bottom w:val="nil"/>
              <w:right w:val="nil"/>
            </w:tcBorders>
            <w:shd w:val="clear" w:color="000000" w:fill="FFFFFF"/>
            <w:noWrap/>
            <w:vAlign w:val="bottom"/>
            <w:hideMark/>
          </w:tcPr>
          <w:p w14:paraId="439D056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0.30</w:t>
            </w:r>
          </w:p>
        </w:tc>
        <w:tc>
          <w:tcPr>
            <w:tcW w:w="638" w:type="dxa"/>
            <w:tcBorders>
              <w:top w:val="nil"/>
              <w:left w:val="nil"/>
              <w:bottom w:val="nil"/>
              <w:right w:val="nil"/>
            </w:tcBorders>
            <w:shd w:val="clear" w:color="000000" w:fill="FFFFFF"/>
            <w:noWrap/>
            <w:vAlign w:val="bottom"/>
            <w:hideMark/>
          </w:tcPr>
          <w:p w14:paraId="79E426E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0.90</w:t>
            </w:r>
          </w:p>
        </w:tc>
        <w:tc>
          <w:tcPr>
            <w:tcW w:w="638" w:type="dxa"/>
            <w:tcBorders>
              <w:top w:val="nil"/>
              <w:left w:val="nil"/>
              <w:bottom w:val="nil"/>
              <w:right w:val="nil"/>
            </w:tcBorders>
            <w:shd w:val="clear" w:color="000000" w:fill="FFFFFF"/>
            <w:noWrap/>
            <w:vAlign w:val="bottom"/>
            <w:hideMark/>
          </w:tcPr>
          <w:p w14:paraId="40B4CBB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0.84</w:t>
            </w:r>
          </w:p>
        </w:tc>
        <w:tc>
          <w:tcPr>
            <w:tcW w:w="638" w:type="dxa"/>
            <w:tcBorders>
              <w:top w:val="nil"/>
              <w:left w:val="nil"/>
              <w:bottom w:val="nil"/>
              <w:right w:val="nil"/>
            </w:tcBorders>
            <w:shd w:val="clear" w:color="000000" w:fill="FFFFFF"/>
            <w:noWrap/>
            <w:vAlign w:val="bottom"/>
            <w:hideMark/>
          </w:tcPr>
          <w:p w14:paraId="72F767F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0.47</w:t>
            </w:r>
          </w:p>
        </w:tc>
        <w:tc>
          <w:tcPr>
            <w:tcW w:w="1030" w:type="dxa"/>
            <w:tcBorders>
              <w:top w:val="nil"/>
              <w:left w:val="nil"/>
              <w:bottom w:val="nil"/>
              <w:right w:val="nil"/>
            </w:tcBorders>
            <w:shd w:val="clear" w:color="000000" w:fill="FFFFFF"/>
            <w:noWrap/>
            <w:vAlign w:val="bottom"/>
            <w:hideMark/>
          </w:tcPr>
          <w:p w14:paraId="185C7C0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-0.07</w:t>
            </w:r>
          </w:p>
        </w:tc>
        <w:tc>
          <w:tcPr>
            <w:tcW w:w="1237" w:type="dxa"/>
            <w:tcBorders>
              <w:top w:val="nil"/>
              <w:left w:val="nil"/>
              <w:bottom w:val="nil"/>
              <w:right w:val="nil"/>
            </w:tcBorders>
            <w:shd w:val="clear" w:color="000000" w:fill="FFFFFF"/>
            <w:noWrap/>
            <w:vAlign w:val="bottom"/>
            <w:hideMark/>
          </w:tcPr>
          <w:p w14:paraId="2F0FA20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-0.34</w:t>
            </w:r>
          </w:p>
        </w:tc>
      </w:tr>
      <w:tr w:rsidR="00765F47" w:rsidRPr="00086601" w14:paraId="778CF5EA" w14:textId="77777777" w:rsidTr="00765F47">
        <w:trPr>
          <w:trHeight w:val="285"/>
        </w:trPr>
        <w:tc>
          <w:tcPr>
            <w:tcW w:w="747" w:type="dxa"/>
            <w:tcBorders>
              <w:top w:val="nil"/>
              <w:left w:val="nil"/>
              <w:bottom w:val="nil"/>
              <w:right w:val="nil"/>
            </w:tcBorders>
            <w:shd w:val="clear" w:color="000000" w:fill="FFFFFF"/>
            <w:noWrap/>
            <w:vAlign w:val="bottom"/>
            <w:hideMark/>
          </w:tcPr>
          <w:p w14:paraId="475AC589"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2007</w:t>
            </w:r>
          </w:p>
        </w:tc>
        <w:tc>
          <w:tcPr>
            <w:tcW w:w="1477" w:type="dxa"/>
            <w:tcBorders>
              <w:top w:val="nil"/>
              <w:left w:val="nil"/>
              <w:bottom w:val="nil"/>
              <w:right w:val="nil"/>
            </w:tcBorders>
            <w:shd w:val="clear" w:color="000000" w:fill="FFFFFF"/>
            <w:noWrap/>
            <w:vAlign w:val="bottom"/>
            <w:hideMark/>
          </w:tcPr>
          <w:p w14:paraId="0058E2C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48</w:t>
            </w:r>
          </w:p>
        </w:tc>
        <w:tc>
          <w:tcPr>
            <w:tcW w:w="1104" w:type="dxa"/>
            <w:tcBorders>
              <w:top w:val="nil"/>
              <w:left w:val="nil"/>
              <w:bottom w:val="nil"/>
              <w:right w:val="nil"/>
            </w:tcBorders>
            <w:shd w:val="clear" w:color="000000" w:fill="FFFFFF"/>
            <w:noWrap/>
            <w:vAlign w:val="bottom"/>
            <w:hideMark/>
          </w:tcPr>
          <w:p w14:paraId="6D0197A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4.35</w:t>
            </w:r>
          </w:p>
        </w:tc>
        <w:tc>
          <w:tcPr>
            <w:tcW w:w="638" w:type="dxa"/>
            <w:tcBorders>
              <w:top w:val="nil"/>
              <w:left w:val="nil"/>
              <w:bottom w:val="nil"/>
              <w:right w:val="nil"/>
            </w:tcBorders>
            <w:shd w:val="clear" w:color="000000" w:fill="FFFFFF"/>
            <w:noWrap/>
            <w:vAlign w:val="bottom"/>
            <w:hideMark/>
          </w:tcPr>
          <w:p w14:paraId="7122EE6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0.87</w:t>
            </w:r>
          </w:p>
        </w:tc>
        <w:tc>
          <w:tcPr>
            <w:tcW w:w="638" w:type="dxa"/>
            <w:tcBorders>
              <w:top w:val="nil"/>
              <w:left w:val="nil"/>
              <w:bottom w:val="nil"/>
              <w:right w:val="nil"/>
            </w:tcBorders>
            <w:shd w:val="clear" w:color="000000" w:fill="FFFFFF"/>
            <w:noWrap/>
            <w:vAlign w:val="bottom"/>
            <w:hideMark/>
          </w:tcPr>
          <w:p w14:paraId="6421CC3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0.97</w:t>
            </w:r>
          </w:p>
        </w:tc>
        <w:tc>
          <w:tcPr>
            <w:tcW w:w="638" w:type="dxa"/>
            <w:tcBorders>
              <w:top w:val="nil"/>
              <w:left w:val="nil"/>
              <w:bottom w:val="nil"/>
              <w:right w:val="nil"/>
            </w:tcBorders>
            <w:shd w:val="clear" w:color="000000" w:fill="FFFFFF"/>
            <w:noWrap/>
            <w:vAlign w:val="bottom"/>
            <w:hideMark/>
          </w:tcPr>
          <w:p w14:paraId="7FA5887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0.27</w:t>
            </w:r>
          </w:p>
        </w:tc>
        <w:tc>
          <w:tcPr>
            <w:tcW w:w="638" w:type="dxa"/>
            <w:tcBorders>
              <w:top w:val="nil"/>
              <w:left w:val="nil"/>
              <w:bottom w:val="nil"/>
              <w:right w:val="nil"/>
            </w:tcBorders>
            <w:shd w:val="clear" w:color="000000" w:fill="FFFFFF"/>
            <w:noWrap/>
            <w:vAlign w:val="bottom"/>
            <w:hideMark/>
          </w:tcPr>
          <w:p w14:paraId="0C70450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0.92</w:t>
            </w:r>
          </w:p>
        </w:tc>
        <w:tc>
          <w:tcPr>
            <w:tcW w:w="638" w:type="dxa"/>
            <w:tcBorders>
              <w:top w:val="nil"/>
              <w:left w:val="nil"/>
              <w:bottom w:val="nil"/>
              <w:right w:val="nil"/>
            </w:tcBorders>
            <w:shd w:val="clear" w:color="000000" w:fill="FFFFFF"/>
            <w:noWrap/>
            <w:vAlign w:val="bottom"/>
            <w:hideMark/>
          </w:tcPr>
          <w:p w14:paraId="4A15A9B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0.85</w:t>
            </w:r>
          </w:p>
        </w:tc>
        <w:tc>
          <w:tcPr>
            <w:tcW w:w="638" w:type="dxa"/>
            <w:tcBorders>
              <w:top w:val="nil"/>
              <w:left w:val="nil"/>
              <w:bottom w:val="nil"/>
              <w:right w:val="nil"/>
            </w:tcBorders>
            <w:shd w:val="clear" w:color="000000" w:fill="FFFFFF"/>
            <w:noWrap/>
            <w:vAlign w:val="bottom"/>
            <w:hideMark/>
          </w:tcPr>
          <w:p w14:paraId="3C1C887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0.47</w:t>
            </w:r>
          </w:p>
        </w:tc>
        <w:tc>
          <w:tcPr>
            <w:tcW w:w="1030" w:type="dxa"/>
            <w:tcBorders>
              <w:top w:val="nil"/>
              <w:left w:val="nil"/>
              <w:bottom w:val="nil"/>
              <w:right w:val="nil"/>
            </w:tcBorders>
            <w:shd w:val="clear" w:color="000000" w:fill="FFFFFF"/>
            <w:noWrap/>
            <w:vAlign w:val="bottom"/>
            <w:hideMark/>
          </w:tcPr>
          <w:p w14:paraId="2DAC969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0.01</w:t>
            </w:r>
          </w:p>
        </w:tc>
        <w:tc>
          <w:tcPr>
            <w:tcW w:w="1237" w:type="dxa"/>
            <w:tcBorders>
              <w:top w:val="nil"/>
              <w:left w:val="nil"/>
              <w:bottom w:val="nil"/>
              <w:right w:val="nil"/>
            </w:tcBorders>
            <w:shd w:val="clear" w:color="000000" w:fill="FFFFFF"/>
            <w:noWrap/>
            <w:vAlign w:val="bottom"/>
            <w:hideMark/>
          </w:tcPr>
          <w:p w14:paraId="511A431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-0.02</w:t>
            </w:r>
          </w:p>
        </w:tc>
      </w:tr>
      <w:tr w:rsidR="00765F47" w:rsidRPr="00086601" w14:paraId="52038A46" w14:textId="77777777" w:rsidTr="00765F47">
        <w:trPr>
          <w:trHeight w:val="285"/>
        </w:trPr>
        <w:tc>
          <w:tcPr>
            <w:tcW w:w="747" w:type="dxa"/>
            <w:tcBorders>
              <w:top w:val="nil"/>
              <w:left w:val="nil"/>
              <w:bottom w:val="nil"/>
              <w:right w:val="nil"/>
            </w:tcBorders>
            <w:shd w:val="clear" w:color="000000" w:fill="FFFFFF"/>
            <w:noWrap/>
            <w:vAlign w:val="bottom"/>
            <w:hideMark/>
          </w:tcPr>
          <w:p w14:paraId="75C2F80F"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2008</w:t>
            </w:r>
          </w:p>
        </w:tc>
        <w:tc>
          <w:tcPr>
            <w:tcW w:w="1477" w:type="dxa"/>
            <w:tcBorders>
              <w:top w:val="nil"/>
              <w:left w:val="nil"/>
              <w:bottom w:val="nil"/>
              <w:right w:val="nil"/>
            </w:tcBorders>
            <w:shd w:val="clear" w:color="000000" w:fill="FFFFFF"/>
            <w:noWrap/>
            <w:vAlign w:val="bottom"/>
            <w:hideMark/>
          </w:tcPr>
          <w:p w14:paraId="53B3409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48</w:t>
            </w:r>
          </w:p>
        </w:tc>
        <w:tc>
          <w:tcPr>
            <w:tcW w:w="1104" w:type="dxa"/>
            <w:tcBorders>
              <w:top w:val="nil"/>
              <w:left w:val="nil"/>
              <w:bottom w:val="nil"/>
              <w:right w:val="nil"/>
            </w:tcBorders>
            <w:shd w:val="clear" w:color="000000" w:fill="FFFFFF"/>
            <w:noWrap/>
            <w:vAlign w:val="bottom"/>
            <w:hideMark/>
          </w:tcPr>
          <w:p w14:paraId="1EC11B4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4.35</w:t>
            </w:r>
          </w:p>
        </w:tc>
        <w:tc>
          <w:tcPr>
            <w:tcW w:w="638" w:type="dxa"/>
            <w:tcBorders>
              <w:top w:val="nil"/>
              <w:left w:val="nil"/>
              <w:bottom w:val="nil"/>
              <w:right w:val="nil"/>
            </w:tcBorders>
            <w:shd w:val="clear" w:color="000000" w:fill="FFFFFF"/>
            <w:noWrap/>
            <w:vAlign w:val="bottom"/>
            <w:hideMark/>
          </w:tcPr>
          <w:p w14:paraId="713F238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0.86</w:t>
            </w:r>
          </w:p>
        </w:tc>
        <w:tc>
          <w:tcPr>
            <w:tcW w:w="638" w:type="dxa"/>
            <w:tcBorders>
              <w:top w:val="nil"/>
              <w:left w:val="nil"/>
              <w:bottom w:val="nil"/>
              <w:right w:val="nil"/>
            </w:tcBorders>
            <w:shd w:val="clear" w:color="000000" w:fill="FFFFFF"/>
            <w:noWrap/>
            <w:vAlign w:val="bottom"/>
            <w:hideMark/>
          </w:tcPr>
          <w:p w14:paraId="1E43554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0.95</w:t>
            </w:r>
          </w:p>
        </w:tc>
        <w:tc>
          <w:tcPr>
            <w:tcW w:w="638" w:type="dxa"/>
            <w:tcBorders>
              <w:top w:val="nil"/>
              <w:left w:val="nil"/>
              <w:bottom w:val="nil"/>
              <w:right w:val="nil"/>
            </w:tcBorders>
            <w:shd w:val="clear" w:color="000000" w:fill="FFFFFF"/>
            <w:noWrap/>
            <w:vAlign w:val="bottom"/>
            <w:hideMark/>
          </w:tcPr>
          <w:p w14:paraId="182C41A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0.25</w:t>
            </w:r>
          </w:p>
        </w:tc>
        <w:tc>
          <w:tcPr>
            <w:tcW w:w="638" w:type="dxa"/>
            <w:tcBorders>
              <w:top w:val="nil"/>
              <w:left w:val="nil"/>
              <w:bottom w:val="nil"/>
              <w:right w:val="nil"/>
            </w:tcBorders>
            <w:shd w:val="clear" w:color="000000" w:fill="FFFFFF"/>
            <w:noWrap/>
            <w:vAlign w:val="bottom"/>
            <w:hideMark/>
          </w:tcPr>
          <w:p w14:paraId="74DFF6A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0.93</w:t>
            </w:r>
          </w:p>
        </w:tc>
        <w:tc>
          <w:tcPr>
            <w:tcW w:w="638" w:type="dxa"/>
            <w:tcBorders>
              <w:top w:val="nil"/>
              <w:left w:val="nil"/>
              <w:bottom w:val="nil"/>
              <w:right w:val="nil"/>
            </w:tcBorders>
            <w:shd w:val="clear" w:color="000000" w:fill="FFFFFF"/>
            <w:noWrap/>
            <w:vAlign w:val="bottom"/>
            <w:hideMark/>
          </w:tcPr>
          <w:p w14:paraId="4F06C4C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0.86</w:t>
            </w:r>
          </w:p>
        </w:tc>
        <w:tc>
          <w:tcPr>
            <w:tcW w:w="638" w:type="dxa"/>
            <w:tcBorders>
              <w:top w:val="nil"/>
              <w:left w:val="nil"/>
              <w:bottom w:val="nil"/>
              <w:right w:val="nil"/>
            </w:tcBorders>
            <w:shd w:val="clear" w:color="000000" w:fill="FFFFFF"/>
            <w:noWrap/>
            <w:vAlign w:val="bottom"/>
            <w:hideMark/>
          </w:tcPr>
          <w:p w14:paraId="51B7EB3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0.47</w:t>
            </w:r>
          </w:p>
        </w:tc>
        <w:tc>
          <w:tcPr>
            <w:tcW w:w="1030" w:type="dxa"/>
            <w:tcBorders>
              <w:top w:val="nil"/>
              <w:left w:val="nil"/>
              <w:bottom w:val="nil"/>
              <w:right w:val="nil"/>
            </w:tcBorders>
            <w:shd w:val="clear" w:color="000000" w:fill="FFFFFF"/>
            <w:noWrap/>
            <w:vAlign w:val="bottom"/>
            <w:hideMark/>
          </w:tcPr>
          <w:p w14:paraId="17C7B6E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0.09</w:t>
            </w:r>
          </w:p>
        </w:tc>
        <w:tc>
          <w:tcPr>
            <w:tcW w:w="1237" w:type="dxa"/>
            <w:tcBorders>
              <w:top w:val="nil"/>
              <w:left w:val="nil"/>
              <w:bottom w:val="nil"/>
              <w:right w:val="nil"/>
            </w:tcBorders>
            <w:shd w:val="clear" w:color="000000" w:fill="FFFFFF"/>
            <w:noWrap/>
            <w:vAlign w:val="bottom"/>
            <w:hideMark/>
          </w:tcPr>
          <w:p w14:paraId="63BFD96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0.32</w:t>
            </w:r>
          </w:p>
        </w:tc>
      </w:tr>
      <w:tr w:rsidR="00765F47" w:rsidRPr="00086601" w14:paraId="1D3B61E4" w14:textId="77777777" w:rsidTr="00765F47">
        <w:trPr>
          <w:trHeight w:val="285"/>
        </w:trPr>
        <w:tc>
          <w:tcPr>
            <w:tcW w:w="747" w:type="dxa"/>
            <w:tcBorders>
              <w:top w:val="nil"/>
              <w:left w:val="nil"/>
              <w:bottom w:val="nil"/>
              <w:right w:val="nil"/>
            </w:tcBorders>
            <w:shd w:val="clear" w:color="000000" w:fill="FFFFFF"/>
            <w:noWrap/>
            <w:vAlign w:val="bottom"/>
            <w:hideMark/>
          </w:tcPr>
          <w:p w14:paraId="6CDC7B11"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2009</w:t>
            </w:r>
          </w:p>
        </w:tc>
        <w:tc>
          <w:tcPr>
            <w:tcW w:w="1477" w:type="dxa"/>
            <w:tcBorders>
              <w:top w:val="nil"/>
              <w:left w:val="nil"/>
              <w:bottom w:val="nil"/>
              <w:right w:val="nil"/>
            </w:tcBorders>
            <w:shd w:val="clear" w:color="000000" w:fill="FFFFFF"/>
            <w:noWrap/>
            <w:vAlign w:val="bottom"/>
            <w:hideMark/>
          </w:tcPr>
          <w:p w14:paraId="616A1AA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57</w:t>
            </w:r>
          </w:p>
        </w:tc>
        <w:tc>
          <w:tcPr>
            <w:tcW w:w="1104" w:type="dxa"/>
            <w:tcBorders>
              <w:top w:val="nil"/>
              <w:left w:val="nil"/>
              <w:bottom w:val="nil"/>
              <w:right w:val="nil"/>
            </w:tcBorders>
            <w:shd w:val="clear" w:color="000000" w:fill="FFFFFF"/>
            <w:noWrap/>
            <w:vAlign w:val="bottom"/>
            <w:hideMark/>
          </w:tcPr>
          <w:p w14:paraId="3E8CA29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5.17</w:t>
            </w:r>
          </w:p>
        </w:tc>
        <w:tc>
          <w:tcPr>
            <w:tcW w:w="638" w:type="dxa"/>
            <w:tcBorders>
              <w:top w:val="nil"/>
              <w:left w:val="nil"/>
              <w:bottom w:val="nil"/>
              <w:right w:val="nil"/>
            </w:tcBorders>
            <w:shd w:val="clear" w:color="000000" w:fill="FFFFFF"/>
            <w:noWrap/>
            <w:vAlign w:val="bottom"/>
            <w:hideMark/>
          </w:tcPr>
          <w:p w14:paraId="3445C68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0.64</w:t>
            </w:r>
          </w:p>
        </w:tc>
        <w:tc>
          <w:tcPr>
            <w:tcW w:w="638" w:type="dxa"/>
            <w:tcBorders>
              <w:top w:val="nil"/>
              <w:left w:val="nil"/>
              <w:bottom w:val="nil"/>
              <w:right w:val="nil"/>
            </w:tcBorders>
            <w:shd w:val="clear" w:color="000000" w:fill="FFFFFF"/>
            <w:noWrap/>
            <w:vAlign w:val="bottom"/>
            <w:hideMark/>
          </w:tcPr>
          <w:p w14:paraId="73DF17A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0.77</w:t>
            </w:r>
          </w:p>
        </w:tc>
        <w:tc>
          <w:tcPr>
            <w:tcW w:w="638" w:type="dxa"/>
            <w:tcBorders>
              <w:top w:val="nil"/>
              <w:left w:val="nil"/>
              <w:bottom w:val="nil"/>
              <w:right w:val="nil"/>
            </w:tcBorders>
            <w:shd w:val="clear" w:color="000000" w:fill="FFFFFF"/>
            <w:noWrap/>
            <w:vAlign w:val="bottom"/>
            <w:hideMark/>
          </w:tcPr>
          <w:p w14:paraId="509BCC0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0.14</w:t>
            </w:r>
          </w:p>
        </w:tc>
        <w:tc>
          <w:tcPr>
            <w:tcW w:w="638" w:type="dxa"/>
            <w:tcBorders>
              <w:top w:val="nil"/>
              <w:left w:val="nil"/>
              <w:bottom w:val="nil"/>
              <w:right w:val="nil"/>
            </w:tcBorders>
            <w:shd w:val="clear" w:color="000000" w:fill="FFFFFF"/>
            <w:noWrap/>
            <w:vAlign w:val="bottom"/>
            <w:hideMark/>
          </w:tcPr>
          <w:p w14:paraId="03EFA26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0.78</w:t>
            </w:r>
          </w:p>
        </w:tc>
        <w:tc>
          <w:tcPr>
            <w:tcW w:w="638" w:type="dxa"/>
            <w:tcBorders>
              <w:top w:val="nil"/>
              <w:left w:val="nil"/>
              <w:bottom w:val="nil"/>
              <w:right w:val="nil"/>
            </w:tcBorders>
            <w:shd w:val="clear" w:color="000000" w:fill="FFFFFF"/>
            <w:noWrap/>
            <w:vAlign w:val="bottom"/>
            <w:hideMark/>
          </w:tcPr>
          <w:p w14:paraId="1B37270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0.67</w:t>
            </w:r>
          </w:p>
        </w:tc>
        <w:tc>
          <w:tcPr>
            <w:tcW w:w="638" w:type="dxa"/>
            <w:tcBorders>
              <w:top w:val="nil"/>
              <w:left w:val="nil"/>
              <w:bottom w:val="nil"/>
              <w:right w:val="nil"/>
            </w:tcBorders>
            <w:shd w:val="clear" w:color="000000" w:fill="FFFFFF"/>
            <w:noWrap/>
            <w:vAlign w:val="bottom"/>
            <w:hideMark/>
          </w:tcPr>
          <w:p w14:paraId="2DE14C4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0.37</w:t>
            </w:r>
          </w:p>
        </w:tc>
        <w:tc>
          <w:tcPr>
            <w:tcW w:w="1030" w:type="dxa"/>
            <w:tcBorders>
              <w:top w:val="nil"/>
              <w:left w:val="nil"/>
              <w:bottom w:val="nil"/>
              <w:right w:val="nil"/>
            </w:tcBorders>
            <w:shd w:val="clear" w:color="000000" w:fill="FFFFFF"/>
            <w:noWrap/>
            <w:vAlign w:val="bottom"/>
            <w:hideMark/>
          </w:tcPr>
          <w:p w14:paraId="373808A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-0.05</w:t>
            </w:r>
          </w:p>
        </w:tc>
        <w:tc>
          <w:tcPr>
            <w:tcW w:w="1237" w:type="dxa"/>
            <w:tcBorders>
              <w:top w:val="nil"/>
              <w:left w:val="nil"/>
              <w:bottom w:val="nil"/>
              <w:right w:val="nil"/>
            </w:tcBorders>
            <w:shd w:val="clear" w:color="000000" w:fill="FFFFFF"/>
            <w:noWrap/>
            <w:vAlign w:val="bottom"/>
            <w:hideMark/>
          </w:tcPr>
          <w:p w14:paraId="7BAFAAE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-0.13</w:t>
            </w:r>
          </w:p>
        </w:tc>
      </w:tr>
      <w:tr w:rsidR="00765F47" w:rsidRPr="00086601" w14:paraId="3D7050BD" w14:textId="77777777" w:rsidTr="00765F47">
        <w:trPr>
          <w:trHeight w:val="285"/>
        </w:trPr>
        <w:tc>
          <w:tcPr>
            <w:tcW w:w="747" w:type="dxa"/>
            <w:tcBorders>
              <w:top w:val="nil"/>
              <w:left w:val="nil"/>
              <w:bottom w:val="nil"/>
              <w:right w:val="nil"/>
            </w:tcBorders>
            <w:shd w:val="clear" w:color="000000" w:fill="FFFFFF"/>
            <w:noWrap/>
            <w:vAlign w:val="bottom"/>
            <w:hideMark/>
          </w:tcPr>
          <w:p w14:paraId="0A272DE4"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2010</w:t>
            </w:r>
          </w:p>
        </w:tc>
        <w:tc>
          <w:tcPr>
            <w:tcW w:w="1477" w:type="dxa"/>
            <w:tcBorders>
              <w:top w:val="nil"/>
              <w:left w:val="nil"/>
              <w:bottom w:val="nil"/>
              <w:right w:val="nil"/>
            </w:tcBorders>
            <w:shd w:val="clear" w:color="000000" w:fill="FFFFFF"/>
            <w:noWrap/>
            <w:vAlign w:val="bottom"/>
            <w:hideMark/>
          </w:tcPr>
          <w:p w14:paraId="1C1830F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57</w:t>
            </w:r>
          </w:p>
        </w:tc>
        <w:tc>
          <w:tcPr>
            <w:tcW w:w="1104" w:type="dxa"/>
            <w:tcBorders>
              <w:top w:val="nil"/>
              <w:left w:val="nil"/>
              <w:bottom w:val="nil"/>
              <w:right w:val="nil"/>
            </w:tcBorders>
            <w:shd w:val="clear" w:color="000000" w:fill="FFFFFF"/>
            <w:noWrap/>
            <w:vAlign w:val="bottom"/>
            <w:hideMark/>
          </w:tcPr>
          <w:p w14:paraId="671A280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5.17</w:t>
            </w:r>
          </w:p>
        </w:tc>
        <w:tc>
          <w:tcPr>
            <w:tcW w:w="638" w:type="dxa"/>
            <w:tcBorders>
              <w:top w:val="nil"/>
              <w:left w:val="nil"/>
              <w:bottom w:val="nil"/>
              <w:right w:val="nil"/>
            </w:tcBorders>
            <w:shd w:val="clear" w:color="000000" w:fill="FFFFFF"/>
            <w:noWrap/>
            <w:vAlign w:val="bottom"/>
            <w:hideMark/>
          </w:tcPr>
          <w:p w14:paraId="717D666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0.63</w:t>
            </w:r>
          </w:p>
        </w:tc>
        <w:tc>
          <w:tcPr>
            <w:tcW w:w="638" w:type="dxa"/>
            <w:tcBorders>
              <w:top w:val="nil"/>
              <w:left w:val="nil"/>
              <w:bottom w:val="nil"/>
              <w:right w:val="nil"/>
            </w:tcBorders>
            <w:shd w:val="clear" w:color="000000" w:fill="FFFFFF"/>
            <w:noWrap/>
            <w:vAlign w:val="bottom"/>
            <w:hideMark/>
          </w:tcPr>
          <w:p w14:paraId="72CE9EE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0.78</w:t>
            </w:r>
          </w:p>
        </w:tc>
        <w:tc>
          <w:tcPr>
            <w:tcW w:w="638" w:type="dxa"/>
            <w:tcBorders>
              <w:top w:val="nil"/>
              <w:left w:val="nil"/>
              <w:bottom w:val="nil"/>
              <w:right w:val="nil"/>
            </w:tcBorders>
            <w:shd w:val="clear" w:color="000000" w:fill="FFFFFF"/>
            <w:noWrap/>
            <w:vAlign w:val="bottom"/>
            <w:hideMark/>
          </w:tcPr>
          <w:p w14:paraId="7BB2551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0.15</w:t>
            </w:r>
          </w:p>
        </w:tc>
        <w:tc>
          <w:tcPr>
            <w:tcW w:w="638" w:type="dxa"/>
            <w:tcBorders>
              <w:top w:val="nil"/>
              <w:left w:val="nil"/>
              <w:bottom w:val="nil"/>
              <w:right w:val="nil"/>
            </w:tcBorders>
            <w:shd w:val="clear" w:color="000000" w:fill="FFFFFF"/>
            <w:noWrap/>
            <w:vAlign w:val="bottom"/>
            <w:hideMark/>
          </w:tcPr>
          <w:p w14:paraId="0377191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0.77</w:t>
            </w:r>
          </w:p>
        </w:tc>
        <w:tc>
          <w:tcPr>
            <w:tcW w:w="638" w:type="dxa"/>
            <w:tcBorders>
              <w:top w:val="nil"/>
              <w:left w:val="nil"/>
              <w:bottom w:val="nil"/>
              <w:right w:val="nil"/>
            </w:tcBorders>
            <w:shd w:val="clear" w:color="000000" w:fill="FFFFFF"/>
            <w:noWrap/>
            <w:vAlign w:val="bottom"/>
            <w:hideMark/>
          </w:tcPr>
          <w:p w14:paraId="0B0B4B9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0.68</w:t>
            </w:r>
          </w:p>
        </w:tc>
        <w:tc>
          <w:tcPr>
            <w:tcW w:w="638" w:type="dxa"/>
            <w:tcBorders>
              <w:top w:val="nil"/>
              <w:left w:val="nil"/>
              <w:bottom w:val="nil"/>
              <w:right w:val="nil"/>
            </w:tcBorders>
            <w:shd w:val="clear" w:color="000000" w:fill="FFFFFF"/>
            <w:noWrap/>
            <w:vAlign w:val="bottom"/>
            <w:hideMark/>
          </w:tcPr>
          <w:p w14:paraId="4B5EF84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0.37</w:t>
            </w:r>
          </w:p>
        </w:tc>
        <w:tc>
          <w:tcPr>
            <w:tcW w:w="1030" w:type="dxa"/>
            <w:tcBorders>
              <w:top w:val="nil"/>
              <w:left w:val="nil"/>
              <w:bottom w:val="nil"/>
              <w:right w:val="nil"/>
            </w:tcBorders>
            <w:shd w:val="clear" w:color="000000" w:fill="FFFFFF"/>
            <w:noWrap/>
            <w:vAlign w:val="bottom"/>
            <w:hideMark/>
          </w:tcPr>
          <w:p w14:paraId="1568A12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-0.02</w:t>
            </w:r>
          </w:p>
        </w:tc>
        <w:tc>
          <w:tcPr>
            <w:tcW w:w="1237" w:type="dxa"/>
            <w:tcBorders>
              <w:top w:val="nil"/>
              <w:left w:val="nil"/>
              <w:bottom w:val="nil"/>
              <w:right w:val="nil"/>
            </w:tcBorders>
            <w:shd w:val="clear" w:color="000000" w:fill="FFFFFF"/>
            <w:noWrap/>
            <w:vAlign w:val="bottom"/>
            <w:hideMark/>
          </w:tcPr>
          <w:p w14:paraId="69FA2BD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0.02</w:t>
            </w:r>
          </w:p>
        </w:tc>
      </w:tr>
      <w:tr w:rsidR="00765F47" w:rsidRPr="00086601" w14:paraId="0EBC697D" w14:textId="77777777" w:rsidTr="00765F47">
        <w:trPr>
          <w:trHeight w:val="285"/>
        </w:trPr>
        <w:tc>
          <w:tcPr>
            <w:tcW w:w="747" w:type="dxa"/>
            <w:tcBorders>
              <w:top w:val="nil"/>
              <w:left w:val="nil"/>
              <w:bottom w:val="nil"/>
              <w:right w:val="nil"/>
            </w:tcBorders>
            <w:shd w:val="clear" w:color="000000" w:fill="FFFFFF"/>
            <w:noWrap/>
            <w:vAlign w:val="bottom"/>
            <w:hideMark/>
          </w:tcPr>
          <w:p w14:paraId="18D62BA5"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2011</w:t>
            </w:r>
          </w:p>
        </w:tc>
        <w:tc>
          <w:tcPr>
            <w:tcW w:w="1477" w:type="dxa"/>
            <w:tcBorders>
              <w:top w:val="nil"/>
              <w:left w:val="nil"/>
              <w:bottom w:val="nil"/>
              <w:right w:val="nil"/>
            </w:tcBorders>
            <w:shd w:val="clear" w:color="000000" w:fill="FFFFFF"/>
            <w:noWrap/>
            <w:vAlign w:val="bottom"/>
            <w:hideMark/>
          </w:tcPr>
          <w:p w14:paraId="6B55094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58</w:t>
            </w:r>
          </w:p>
        </w:tc>
        <w:tc>
          <w:tcPr>
            <w:tcW w:w="1104" w:type="dxa"/>
            <w:tcBorders>
              <w:top w:val="nil"/>
              <w:left w:val="nil"/>
              <w:bottom w:val="nil"/>
              <w:right w:val="nil"/>
            </w:tcBorders>
            <w:shd w:val="clear" w:color="000000" w:fill="FFFFFF"/>
            <w:noWrap/>
            <w:vAlign w:val="bottom"/>
            <w:hideMark/>
          </w:tcPr>
          <w:p w14:paraId="38517BF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5.26</w:t>
            </w:r>
          </w:p>
        </w:tc>
        <w:tc>
          <w:tcPr>
            <w:tcW w:w="638" w:type="dxa"/>
            <w:tcBorders>
              <w:top w:val="nil"/>
              <w:left w:val="nil"/>
              <w:bottom w:val="nil"/>
              <w:right w:val="nil"/>
            </w:tcBorders>
            <w:shd w:val="clear" w:color="000000" w:fill="FFFFFF"/>
            <w:noWrap/>
            <w:vAlign w:val="bottom"/>
            <w:hideMark/>
          </w:tcPr>
          <w:p w14:paraId="290DEC7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0.61</w:t>
            </w:r>
          </w:p>
        </w:tc>
        <w:tc>
          <w:tcPr>
            <w:tcW w:w="638" w:type="dxa"/>
            <w:tcBorders>
              <w:top w:val="nil"/>
              <w:left w:val="nil"/>
              <w:bottom w:val="nil"/>
              <w:right w:val="nil"/>
            </w:tcBorders>
            <w:shd w:val="clear" w:color="000000" w:fill="FFFFFF"/>
            <w:noWrap/>
            <w:vAlign w:val="bottom"/>
            <w:hideMark/>
          </w:tcPr>
          <w:p w14:paraId="1635E92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0.76</w:t>
            </w:r>
          </w:p>
        </w:tc>
        <w:tc>
          <w:tcPr>
            <w:tcW w:w="638" w:type="dxa"/>
            <w:tcBorders>
              <w:top w:val="nil"/>
              <w:left w:val="nil"/>
              <w:bottom w:val="nil"/>
              <w:right w:val="nil"/>
            </w:tcBorders>
            <w:shd w:val="clear" w:color="000000" w:fill="FFFFFF"/>
            <w:noWrap/>
            <w:vAlign w:val="bottom"/>
            <w:hideMark/>
          </w:tcPr>
          <w:p w14:paraId="2D3F298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0.15</w:t>
            </w:r>
          </w:p>
        </w:tc>
        <w:tc>
          <w:tcPr>
            <w:tcW w:w="638" w:type="dxa"/>
            <w:tcBorders>
              <w:top w:val="nil"/>
              <w:left w:val="nil"/>
              <w:bottom w:val="nil"/>
              <w:right w:val="nil"/>
            </w:tcBorders>
            <w:shd w:val="clear" w:color="000000" w:fill="FFFFFF"/>
            <w:noWrap/>
            <w:vAlign w:val="bottom"/>
            <w:hideMark/>
          </w:tcPr>
          <w:p w14:paraId="6B2A0DF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0.76</w:t>
            </w:r>
          </w:p>
        </w:tc>
        <w:tc>
          <w:tcPr>
            <w:tcW w:w="638" w:type="dxa"/>
            <w:tcBorders>
              <w:top w:val="nil"/>
              <w:left w:val="nil"/>
              <w:bottom w:val="nil"/>
              <w:right w:val="nil"/>
            </w:tcBorders>
            <w:shd w:val="clear" w:color="000000" w:fill="FFFFFF"/>
            <w:noWrap/>
            <w:vAlign w:val="bottom"/>
            <w:hideMark/>
          </w:tcPr>
          <w:p w14:paraId="4767A83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0.65</w:t>
            </w:r>
          </w:p>
        </w:tc>
        <w:tc>
          <w:tcPr>
            <w:tcW w:w="638" w:type="dxa"/>
            <w:tcBorders>
              <w:top w:val="nil"/>
              <w:left w:val="nil"/>
              <w:bottom w:val="nil"/>
              <w:right w:val="nil"/>
            </w:tcBorders>
            <w:shd w:val="clear" w:color="000000" w:fill="FFFFFF"/>
            <w:noWrap/>
            <w:vAlign w:val="bottom"/>
            <w:hideMark/>
          </w:tcPr>
          <w:p w14:paraId="6EACD87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0.38</w:t>
            </w:r>
          </w:p>
        </w:tc>
        <w:tc>
          <w:tcPr>
            <w:tcW w:w="1030" w:type="dxa"/>
            <w:tcBorders>
              <w:top w:val="nil"/>
              <w:left w:val="nil"/>
              <w:bottom w:val="nil"/>
              <w:right w:val="nil"/>
            </w:tcBorders>
            <w:shd w:val="clear" w:color="000000" w:fill="FFFFFF"/>
            <w:noWrap/>
            <w:vAlign w:val="bottom"/>
            <w:hideMark/>
          </w:tcPr>
          <w:p w14:paraId="77FA081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0.05</w:t>
            </w:r>
          </w:p>
        </w:tc>
        <w:tc>
          <w:tcPr>
            <w:tcW w:w="1237" w:type="dxa"/>
            <w:tcBorders>
              <w:top w:val="nil"/>
              <w:left w:val="nil"/>
              <w:bottom w:val="nil"/>
              <w:right w:val="nil"/>
            </w:tcBorders>
            <w:shd w:val="clear" w:color="000000" w:fill="FFFFFF"/>
            <w:noWrap/>
            <w:vAlign w:val="bottom"/>
            <w:hideMark/>
          </w:tcPr>
          <w:p w14:paraId="4E14CAF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0.21</w:t>
            </w:r>
          </w:p>
        </w:tc>
      </w:tr>
      <w:tr w:rsidR="00765F47" w:rsidRPr="00086601" w14:paraId="564CD20C" w14:textId="77777777" w:rsidTr="00765F47">
        <w:trPr>
          <w:trHeight w:val="285"/>
        </w:trPr>
        <w:tc>
          <w:tcPr>
            <w:tcW w:w="747" w:type="dxa"/>
            <w:tcBorders>
              <w:top w:val="nil"/>
              <w:left w:val="nil"/>
              <w:bottom w:val="nil"/>
              <w:right w:val="nil"/>
            </w:tcBorders>
            <w:shd w:val="clear" w:color="000000" w:fill="FFFFFF"/>
            <w:noWrap/>
            <w:vAlign w:val="bottom"/>
            <w:hideMark/>
          </w:tcPr>
          <w:p w14:paraId="6D279382"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2012</w:t>
            </w:r>
          </w:p>
        </w:tc>
        <w:tc>
          <w:tcPr>
            <w:tcW w:w="1477" w:type="dxa"/>
            <w:tcBorders>
              <w:top w:val="nil"/>
              <w:left w:val="nil"/>
              <w:bottom w:val="nil"/>
              <w:right w:val="nil"/>
            </w:tcBorders>
            <w:shd w:val="clear" w:color="000000" w:fill="FFFFFF"/>
            <w:noWrap/>
            <w:vAlign w:val="bottom"/>
            <w:hideMark/>
          </w:tcPr>
          <w:p w14:paraId="2252DDC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59</w:t>
            </w:r>
          </w:p>
        </w:tc>
        <w:tc>
          <w:tcPr>
            <w:tcW w:w="1104" w:type="dxa"/>
            <w:tcBorders>
              <w:top w:val="nil"/>
              <w:left w:val="nil"/>
              <w:bottom w:val="nil"/>
              <w:right w:val="nil"/>
            </w:tcBorders>
            <w:shd w:val="clear" w:color="000000" w:fill="FFFFFF"/>
            <w:noWrap/>
            <w:vAlign w:val="bottom"/>
            <w:hideMark/>
          </w:tcPr>
          <w:p w14:paraId="60132FB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5.35</w:t>
            </w:r>
          </w:p>
        </w:tc>
        <w:tc>
          <w:tcPr>
            <w:tcW w:w="638" w:type="dxa"/>
            <w:tcBorders>
              <w:top w:val="nil"/>
              <w:left w:val="nil"/>
              <w:bottom w:val="nil"/>
              <w:right w:val="nil"/>
            </w:tcBorders>
            <w:shd w:val="clear" w:color="000000" w:fill="FFFFFF"/>
            <w:noWrap/>
            <w:vAlign w:val="bottom"/>
            <w:hideMark/>
          </w:tcPr>
          <w:p w14:paraId="5B1AC5E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0.60</w:t>
            </w:r>
          </w:p>
        </w:tc>
        <w:tc>
          <w:tcPr>
            <w:tcW w:w="638" w:type="dxa"/>
            <w:tcBorders>
              <w:top w:val="nil"/>
              <w:left w:val="nil"/>
              <w:bottom w:val="nil"/>
              <w:right w:val="nil"/>
            </w:tcBorders>
            <w:shd w:val="clear" w:color="000000" w:fill="FFFFFF"/>
            <w:noWrap/>
            <w:vAlign w:val="bottom"/>
            <w:hideMark/>
          </w:tcPr>
          <w:p w14:paraId="2D26951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0.74</w:t>
            </w:r>
          </w:p>
        </w:tc>
        <w:tc>
          <w:tcPr>
            <w:tcW w:w="638" w:type="dxa"/>
            <w:tcBorders>
              <w:top w:val="nil"/>
              <w:left w:val="nil"/>
              <w:bottom w:val="nil"/>
              <w:right w:val="nil"/>
            </w:tcBorders>
            <w:shd w:val="clear" w:color="000000" w:fill="FFFFFF"/>
            <w:noWrap/>
            <w:vAlign w:val="bottom"/>
            <w:hideMark/>
          </w:tcPr>
          <w:p w14:paraId="3C3193D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0.13</w:t>
            </w:r>
          </w:p>
        </w:tc>
        <w:tc>
          <w:tcPr>
            <w:tcW w:w="638" w:type="dxa"/>
            <w:tcBorders>
              <w:top w:val="nil"/>
              <w:left w:val="nil"/>
              <w:bottom w:val="nil"/>
              <w:right w:val="nil"/>
            </w:tcBorders>
            <w:shd w:val="clear" w:color="000000" w:fill="FFFFFF"/>
            <w:noWrap/>
            <w:vAlign w:val="bottom"/>
            <w:hideMark/>
          </w:tcPr>
          <w:p w14:paraId="5501000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0.73</w:t>
            </w:r>
          </w:p>
        </w:tc>
        <w:tc>
          <w:tcPr>
            <w:tcW w:w="638" w:type="dxa"/>
            <w:tcBorders>
              <w:top w:val="nil"/>
              <w:left w:val="nil"/>
              <w:bottom w:val="nil"/>
              <w:right w:val="nil"/>
            </w:tcBorders>
            <w:shd w:val="clear" w:color="000000" w:fill="FFFFFF"/>
            <w:noWrap/>
            <w:vAlign w:val="bottom"/>
            <w:hideMark/>
          </w:tcPr>
          <w:p w14:paraId="226A3E5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0.63</w:t>
            </w:r>
          </w:p>
        </w:tc>
        <w:tc>
          <w:tcPr>
            <w:tcW w:w="638" w:type="dxa"/>
            <w:tcBorders>
              <w:top w:val="nil"/>
              <w:left w:val="nil"/>
              <w:bottom w:val="nil"/>
              <w:right w:val="nil"/>
            </w:tcBorders>
            <w:shd w:val="clear" w:color="000000" w:fill="FFFFFF"/>
            <w:noWrap/>
            <w:vAlign w:val="bottom"/>
            <w:hideMark/>
          </w:tcPr>
          <w:p w14:paraId="60E5915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0.40</w:t>
            </w:r>
          </w:p>
        </w:tc>
        <w:tc>
          <w:tcPr>
            <w:tcW w:w="1030" w:type="dxa"/>
            <w:tcBorders>
              <w:top w:val="nil"/>
              <w:left w:val="nil"/>
              <w:bottom w:val="nil"/>
              <w:right w:val="nil"/>
            </w:tcBorders>
            <w:shd w:val="clear" w:color="000000" w:fill="FFFFFF"/>
            <w:noWrap/>
            <w:vAlign w:val="bottom"/>
            <w:hideMark/>
          </w:tcPr>
          <w:p w14:paraId="6206010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-0.01</w:t>
            </w:r>
          </w:p>
        </w:tc>
        <w:tc>
          <w:tcPr>
            <w:tcW w:w="1237" w:type="dxa"/>
            <w:tcBorders>
              <w:top w:val="nil"/>
              <w:left w:val="nil"/>
              <w:bottom w:val="nil"/>
              <w:right w:val="nil"/>
            </w:tcBorders>
            <w:shd w:val="clear" w:color="000000" w:fill="FFFFFF"/>
            <w:noWrap/>
            <w:vAlign w:val="bottom"/>
            <w:hideMark/>
          </w:tcPr>
          <w:p w14:paraId="1B6394B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-0.01</w:t>
            </w:r>
          </w:p>
        </w:tc>
      </w:tr>
      <w:tr w:rsidR="00765F47" w:rsidRPr="00086601" w14:paraId="34FB20A3" w14:textId="77777777" w:rsidTr="00765F47">
        <w:trPr>
          <w:trHeight w:val="285"/>
        </w:trPr>
        <w:tc>
          <w:tcPr>
            <w:tcW w:w="747" w:type="dxa"/>
            <w:tcBorders>
              <w:top w:val="nil"/>
              <w:left w:val="nil"/>
              <w:bottom w:val="nil"/>
              <w:right w:val="nil"/>
            </w:tcBorders>
            <w:shd w:val="clear" w:color="000000" w:fill="FFFFFF"/>
            <w:noWrap/>
            <w:vAlign w:val="bottom"/>
            <w:hideMark/>
          </w:tcPr>
          <w:p w14:paraId="5C22FE95"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2013</w:t>
            </w:r>
          </w:p>
        </w:tc>
        <w:tc>
          <w:tcPr>
            <w:tcW w:w="1477" w:type="dxa"/>
            <w:tcBorders>
              <w:top w:val="nil"/>
              <w:left w:val="nil"/>
              <w:bottom w:val="nil"/>
              <w:right w:val="nil"/>
            </w:tcBorders>
            <w:shd w:val="clear" w:color="000000" w:fill="FFFFFF"/>
            <w:noWrap/>
            <w:vAlign w:val="bottom"/>
            <w:hideMark/>
          </w:tcPr>
          <w:p w14:paraId="458D8D5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60</w:t>
            </w:r>
          </w:p>
        </w:tc>
        <w:tc>
          <w:tcPr>
            <w:tcW w:w="1104" w:type="dxa"/>
            <w:tcBorders>
              <w:top w:val="nil"/>
              <w:left w:val="nil"/>
              <w:bottom w:val="nil"/>
              <w:right w:val="nil"/>
            </w:tcBorders>
            <w:shd w:val="clear" w:color="000000" w:fill="FFFFFF"/>
            <w:noWrap/>
            <w:vAlign w:val="bottom"/>
            <w:hideMark/>
          </w:tcPr>
          <w:p w14:paraId="627536E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5.44</w:t>
            </w:r>
          </w:p>
        </w:tc>
        <w:tc>
          <w:tcPr>
            <w:tcW w:w="638" w:type="dxa"/>
            <w:tcBorders>
              <w:top w:val="nil"/>
              <w:left w:val="nil"/>
              <w:bottom w:val="nil"/>
              <w:right w:val="nil"/>
            </w:tcBorders>
            <w:shd w:val="clear" w:color="000000" w:fill="FFFFFF"/>
            <w:noWrap/>
            <w:vAlign w:val="bottom"/>
            <w:hideMark/>
          </w:tcPr>
          <w:p w14:paraId="45C8EB8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0.58</w:t>
            </w:r>
          </w:p>
        </w:tc>
        <w:tc>
          <w:tcPr>
            <w:tcW w:w="638" w:type="dxa"/>
            <w:tcBorders>
              <w:top w:val="nil"/>
              <w:left w:val="nil"/>
              <w:bottom w:val="nil"/>
              <w:right w:val="nil"/>
            </w:tcBorders>
            <w:shd w:val="clear" w:color="000000" w:fill="FFFFFF"/>
            <w:noWrap/>
            <w:vAlign w:val="bottom"/>
            <w:hideMark/>
          </w:tcPr>
          <w:p w14:paraId="4800742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0.74</w:t>
            </w:r>
          </w:p>
        </w:tc>
        <w:tc>
          <w:tcPr>
            <w:tcW w:w="638" w:type="dxa"/>
            <w:tcBorders>
              <w:top w:val="nil"/>
              <w:left w:val="nil"/>
              <w:bottom w:val="nil"/>
              <w:right w:val="nil"/>
            </w:tcBorders>
            <w:shd w:val="clear" w:color="000000" w:fill="FFFFFF"/>
            <w:noWrap/>
            <w:vAlign w:val="bottom"/>
            <w:hideMark/>
          </w:tcPr>
          <w:p w14:paraId="5475F64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0.12</w:t>
            </w:r>
          </w:p>
        </w:tc>
        <w:tc>
          <w:tcPr>
            <w:tcW w:w="638" w:type="dxa"/>
            <w:tcBorders>
              <w:top w:val="nil"/>
              <w:left w:val="nil"/>
              <w:bottom w:val="nil"/>
              <w:right w:val="nil"/>
            </w:tcBorders>
            <w:shd w:val="clear" w:color="000000" w:fill="FFFFFF"/>
            <w:noWrap/>
            <w:vAlign w:val="bottom"/>
            <w:hideMark/>
          </w:tcPr>
          <w:p w14:paraId="4C750AE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0.72</w:t>
            </w:r>
          </w:p>
        </w:tc>
        <w:tc>
          <w:tcPr>
            <w:tcW w:w="638" w:type="dxa"/>
            <w:tcBorders>
              <w:top w:val="nil"/>
              <w:left w:val="nil"/>
              <w:bottom w:val="nil"/>
              <w:right w:val="nil"/>
            </w:tcBorders>
            <w:shd w:val="clear" w:color="000000" w:fill="FFFFFF"/>
            <w:noWrap/>
            <w:vAlign w:val="bottom"/>
            <w:hideMark/>
          </w:tcPr>
          <w:p w14:paraId="412F4FD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0.62</w:t>
            </w:r>
          </w:p>
        </w:tc>
        <w:tc>
          <w:tcPr>
            <w:tcW w:w="638" w:type="dxa"/>
            <w:tcBorders>
              <w:top w:val="nil"/>
              <w:left w:val="nil"/>
              <w:bottom w:val="nil"/>
              <w:right w:val="nil"/>
            </w:tcBorders>
            <w:shd w:val="clear" w:color="000000" w:fill="FFFFFF"/>
            <w:noWrap/>
            <w:vAlign w:val="bottom"/>
            <w:hideMark/>
          </w:tcPr>
          <w:p w14:paraId="4F1635A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0.37</w:t>
            </w:r>
          </w:p>
        </w:tc>
        <w:tc>
          <w:tcPr>
            <w:tcW w:w="1030" w:type="dxa"/>
            <w:tcBorders>
              <w:top w:val="nil"/>
              <w:left w:val="nil"/>
              <w:bottom w:val="nil"/>
              <w:right w:val="nil"/>
            </w:tcBorders>
            <w:shd w:val="clear" w:color="000000" w:fill="FFFFFF"/>
            <w:noWrap/>
            <w:vAlign w:val="bottom"/>
            <w:hideMark/>
          </w:tcPr>
          <w:p w14:paraId="221640D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0.10</w:t>
            </w:r>
          </w:p>
        </w:tc>
        <w:tc>
          <w:tcPr>
            <w:tcW w:w="1237" w:type="dxa"/>
            <w:tcBorders>
              <w:top w:val="nil"/>
              <w:left w:val="nil"/>
              <w:bottom w:val="nil"/>
              <w:right w:val="nil"/>
            </w:tcBorders>
            <w:shd w:val="clear" w:color="000000" w:fill="FFFFFF"/>
            <w:noWrap/>
            <w:vAlign w:val="bottom"/>
            <w:hideMark/>
          </w:tcPr>
          <w:p w14:paraId="4AC2F9E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0.42</w:t>
            </w:r>
          </w:p>
        </w:tc>
      </w:tr>
      <w:tr w:rsidR="00765F47" w:rsidRPr="00086601" w14:paraId="71672682" w14:textId="77777777" w:rsidTr="00765F47">
        <w:trPr>
          <w:trHeight w:val="285"/>
        </w:trPr>
        <w:tc>
          <w:tcPr>
            <w:tcW w:w="747" w:type="dxa"/>
            <w:tcBorders>
              <w:top w:val="nil"/>
              <w:left w:val="nil"/>
              <w:bottom w:val="nil"/>
              <w:right w:val="nil"/>
            </w:tcBorders>
            <w:shd w:val="clear" w:color="000000" w:fill="FFFFFF"/>
            <w:noWrap/>
            <w:vAlign w:val="bottom"/>
            <w:hideMark/>
          </w:tcPr>
          <w:p w14:paraId="211FECC0"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2014</w:t>
            </w:r>
          </w:p>
        </w:tc>
        <w:tc>
          <w:tcPr>
            <w:tcW w:w="1477" w:type="dxa"/>
            <w:tcBorders>
              <w:top w:val="nil"/>
              <w:left w:val="nil"/>
              <w:bottom w:val="nil"/>
              <w:right w:val="nil"/>
            </w:tcBorders>
            <w:shd w:val="clear" w:color="000000" w:fill="FFFFFF"/>
            <w:noWrap/>
            <w:vAlign w:val="bottom"/>
            <w:hideMark/>
          </w:tcPr>
          <w:p w14:paraId="60CA4BE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60</w:t>
            </w:r>
          </w:p>
        </w:tc>
        <w:tc>
          <w:tcPr>
            <w:tcW w:w="1104" w:type="dxa"/>
            <w:tcBorders>
              <w:top w:val="nil"/>
              <w:left w:val="nil"/>
              <w:bottom w:val="nil"/>
              <w:right w:val="nil"/>
            </w:tcBorders>
            <w:shd w:val="clear" w:color="000000" w:fill="FFFFFF"/>
            <w:noWrap/>
            <w:vAlign w:val="bottom"/>
            <w:hideMark/>
          </w:tcPr>
          <w:p w14:paraId="4BCFBC8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5.44</w:t>
            </w:r>
          </w:p>
        </w:tc>
        <w:tc>
          <w:tcPr>
            <w:tcW w:w="638" w:type="dxa"/>
            <w:tcBorders>
              <w:top w:val="nil"/>
              <w:left w:val="nil"/>
              <w:bottom w:val="nil"/>
              <w:right w:val="nil"/>
            </w:tcBorders>
            <w:shd w:val="clear" w:color="000000" w:fill="FFFFFF"/>
            <w:noWrap/>
            <w:vAlign w:val="bottom"/>
            <w:hideMark/>
          </w:tcPr>
          <w:p w14:paraId="7B817E4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0.55</w:t>
            </w:r>
          </w:p>
        </w:tc>
        <w:tc>
          <w:tcPr>
            <w:tcW w:w="638" w:type="dxa"/>
            <w:tcBorders>
              <w:top w:val="nil"/>
              <w:left w:val="nil"/>
              <w:bottom w:val="nil"/>
              <w:right w:val="nil"/>
            </w:tcBorders>
            <w:shd w:val="clear" w:color="000000" w:fill="FFFFFF"/>
            <w:noWrap/>
            <w:vAlign w:val="bottom"/>
            <w:hideMark/>
          </w:tcPr>
          <w:p w14:paraId="31D6832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0.76</w:t>
            </w:r>
          </w:p>
        </w:tc>
        <w:tc>
          <w:tcPr>
            <w:tcW w:w="638" w:type="dxa"/>
            <w:tcBorders>
              <w:top w:val="nil"/>
              <w:left w:val="nil"/>
              <w:bottom w:val="nil"/>
              <w:right w:val="nil"/>
            </w:tcBorders>
            <w:shd w:val="clear" w:color="000000" w:fill="FFFFFF"/>
            <w:noWrap/>
            <w:vAlign w:val="bottom"/>
            <w:hideMark/>
          </w:tcPr>
          <w:p w14:paraId="0D7301E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0.15</w:t>
            </w:r>
          </w:p>
        </w:tc>
        <w:tc>
          <w:tcPr>
            <w:tcW w:w="638" w:type="dxa"/>
            <w:tcBorders>
              <w:top w:val="nil"/>
              <w:left w:val="nil"/>
              <w:bottom w:val="nil"/>
              <w:right w:val="nil"/>
            </w:tcBorders>
            <w:shd w:val="clear" w:color="000000" w:fill="FFFFFF"/>
            <w:noWrap/>
            <w:vAlign w:val="bottom"/>
            <w:hideMark/>
          </w:tcPr>
          <w:p w14:paraId="101DE43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0.72</w:t>
            </w:r>
          </w:p>
        </w:tc>
        <w:tc>
          <w:tcPr>
            <w:tcW w:w="638" w:type="dxa"/>
            <w:tcBorders>
              <w:top w:val="nil"/>
              <w:left w:val="nil"/>
              <w:bottom w:val="nil"/>
              <w:right w:val="nil"/>
            </w:tcBorders>
            <w:shd w:val="clear" w:color="000000" w:fill="FFFFFF"/>
            <w:noWrap/>
            <w:vAlign w:val="bottom"/>
            <w:hideMark/>
          </w:tcPr>
          <w:p w14:paraId="65C9339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0.68</w:t>
            </w:r>
          </w:p>
        </w:tc>
        <w:tc>
          <w:tcPr>
            <w:tcW w:w="638" w:type="dxa"/>
            <w:tcBorders>
              <w:top w:val="nil"/>
              <w:left w:val="nil"/>
              <w:bottom w:val="nil"/>
              <w:right w:val="nil"/>
            </w:tcBorders>
            <w:shd w:val="clear" w:color="000000" w:fill="FFFFFF"/>
            <w:noWrap/>
            <w:vAlign w:val="bottom"/>
            <w:hideMark/>
          </w:tcPr>
          <w:p w14:paraId="72CD6D1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0.35</w:t>
            </w:r>
          </w:p>
        </w:tc>
        <w:tc>
          <w:tcPr>
            <w:tcW w:w="1030" w:type="dxa"/>
            <w:tcBorders>
              <w:top w:val="nil"/>
              <w:left w:val="nil"/>
              <w:bottom w:val="nil"/>
              <w:right w:val="nil"/>
            </w:tcBorders>
            <w:shd w:val="clear" w:color="000000" w:fill="FFFFFF"/>
            <w:noWrap/>
            <w:vAlign w:val="bottom"/>
            <w:hideMark/>
          </w:tcPr>
          <w:p w14:paraId="4DDE020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0.07</w:t>
            </w:r>
          </w:p>
        </w:tc>
        <w:tc>
          <w:tcPr>
            <w:tcW w:w="1237" w:type="dxa"/>
            <w:tcBorders>
              <w:top w:val="nil"/>
              <w:left w:val="nil"/>
              <w:bottom w:val="nil"/>
              <w:right w:val="nil"/>
            </w:tcBorders>
            <w:shd w:val="clear" w:color="000000" w:fill="FFFFFF"/>
            <w:noWrap/>
            <w:vAlign w:val="bottom"/>
            <w:hideMark/>
          </w:tcPr>
          <w:p w14:paraId="5900090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0.42</w:t>
            </w:r>
          </w:p>
        </w:tc>
      </w:tr>
      <w:tr w:rsidR="00765F47" w:rsidRPr="00086601" w14:paraId="5A3A6615" w14:textId="77777777" w:rsidTr="00765F47">
        <w:trPr>
          <w:trHeight w:val="285"/>
        </w:trPr>
        <w:tc>
          <w:tcPr>
            <w:tcW w:w="747" w:type="dxa"/>
            <w:tcBorders>
              <w:top w:val="nil"/>
              <w:left w:val="nil"/>
              <w:bottom w:val="nil"/>
              <w:right w:val="nil"/>
            </w:tcBorders>
            <w:shd w:val="clear" w:color="000000" w:fill="FFFFFF"/>
            <w:noWrap/>
            <w:vAlign w:val="bottom"/>
            <w:hideMark/>
          </w:tcPr>
          <w:p w14:paraId="1D3D48AF"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2015</w:t>
            </w:r>
          </w:p>
        </w:tc>
        <w:tc>
          <w:tcPr>
            <w:tcW w:w="1477" w:type="dxa"/>
            <w:tcBorders>
              <w:top w:val="nil"/>
              <w:left w:val="nil"/>
              <w:bottom w:val="nil"/>
              <w:right w:val="nil"/>
            </w:tcBorders>
            <w:shd w:val="clear" w:color="000000" w:fill="FFFFFF"/>
            <w:noWrap/>
            <w:vAlign w:val="bottom"/>
            <w:hideMark/>
          </w:tcPr>
          <w:p w14:paraId="531A140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71</w:t>
            </w:r>
          </w:p>
        </w:tc>
        <w:tc>
          <w:tcPr>
            <w:tcW w:w="1104" w:type="dxa"/>
            <w:tcBorders>
              <w:top w:val="nil"/>
              <w:left w:val="nil"/>
              <w:bottom w:val="nil"/>
              <w:right w:val="nil"/>
            </w:tcBorders>
            <w:shd w:val="clear" w:color="000000" w:fill="FFFFFF"/>
            <w:noWrap/>
            <w:vAlign w:val="bottom"/>
            <w:hideMark/>
          </w:tcPr>
          <w:p w14:paraId="2A7E273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6.44</w:t>
            </w:r>
          </w:p>
        </w:tc>
        <w:tc>
          <w:tcPr>
            <w:tcW w:w="638" w:type="dxa"/>
            <w:tcBorders>
              <w:top w:val="nil"/>
              <w:left w:val="nil"/>
              <w:bottom w:val="nil"/>
              <w:right w:val="nil"/>
            </w:tcBorders>
            <w:shd w:val="clear" w:color="000000" w:fill="FFFFFF"/>
            <w:noWrap/>
            <w:vAlign w:val="bottom"/>
            <w:hideMark/>
          </w:tcPr>
          <w:p w14:paraId="44B2E29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0.45</w:t>
            </w:r>
          </w:p>
        </w:tc>
        <w:tc>
          <w:tcPr>
            <w:tcW w:w="638" w:type="dxa"/>
            <w:tcBorders>
              <w:top w:val="nil"/>
              <w:left w:val="nil"/>
              <w:bottom w:val="nil"/>
              <w:right w:val="nil"/>
            </w:tcBorders>
            <w:shd w:val="clear" w:color="000000" w:fill="FFFFFF"/>
            <w:noWrap/>
            <w:vAlign w:val="bottom"/>
            <w:hideMark/>
          </w:tcPr>
          <w:p w14:paraId="1DAC6A0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0.66</w:t>
            </w:r>
          </w:p>
        </w:tc>
        <w:tc>
          <w:tcPr>
            <w:tcW w:w="638" w:type="dxa"/>
            <w:tcBorders>
              <w:top w:val="nil"/>
              <w:left w:val="nil"/>
              <w:bottom w:val="nil"/>
              <w:right w:val="nil"/>
            </w:tcBorders>
            <w:shd w:val="clear" w:color="000000" w:fill="FFFFFF"/>
            <w:noWrap/>
            <w:vAlign w:val="bottom"/>
            <w:hideMark/>
          </w:tcPr>
          <w:p w14:paraId="7A6BF22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0.09</w:t>
            </w:r>
          </w:p>
        </w:tc>
        <w:tc>
          <w:tcPr>
            <w:tcW w:w="638" w:type="dxa"/>
            <w:tcBorders>
              <w:top w:val="nil"/>
              <w:left w:val="nil"/>
              <w:bottom w:val="nil"/>
              <w:right w:val="nil"/>
            </w:tcBorders>
            <w:shd w:val="clear" w:color="000000" w:fill="FFFFFF"/>
            <w:noWrap/>
            <w:vAlign w:val="bottom"/>
            <w:hideMark/>
          </w:tcPr>
          <w:p w14:paraId="1A35555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0.64</w:t>
            </w:r>
          </w:p>
        </w:tc>
        <w:tc>
          <w:tcPr>
            <w:tcW w:w="638" w:type="dxa"/>
            <w:tcBorders>
              <w:top w:val="nil"/>
              <w:left w:val="nil"/>
              <w:bottom w:val="nil"/>
              <w:right w:val="nil"/>
            </w:tcBorders>
            <w:shd w:val="clear" w:color="000000" w:fill="FFFFFF"/>
            <w:noWrap/>
            <w:vAlign w:val="bottom"/>
            <w:hideMark/>
          </w:tcPr>
          <w:p w14:paraId="0B18245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0.56</w:t>
            </w:r>
          </w:p>
        </w:tc>
        <w:tc>
          <w:tcPr>
            <w:tcW w:w="638" w:type="dxa"/>
            <w:tcBorders>
              <w:top w:val="nil"/>
              <w:left w:val="nil"/>
              <w:bottom w:val="nil"/>
              <w:right w:val="nil"/>
            </w:tcBorders>
            <w:shd w:val="clear" w:color="000000" w:fill="FFFFFF"/>
            <w:noWrap/>
            <w:vAlign w:val="bottom"/>
            <w:hideMark/>
          </w:tcPr>
          <w:p w14:paraId="3837758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0.35</w:t>
            </w:r>
          </w:p>
        </w:tc>
        <w:tc>
          <w:tcPr>
            <w:tcW w:w="1030" w:type="dxa"/>
            <w:tcBorders>
              <w:top w:val="nil"/>
              <w:left w:val="nil"/>
              <w:bottom w:val="nil"/>
              <w:right w:val="nil"/>
            </w:tcBorders>
            <w:shd w:val="clear" w:color="000000" w:fill="FFFFFF"/>
            <w:noWrap/>
            <w:vAlign w:val="bottom"/>
            <w:hideMark/>
          </w:tcPr>
          <w:p w14:paraId="42A5686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-0.03</w:t>
            </w:r>
          </w:p>
        </w:tc>
        <w:tc>
          <w:tcPr>
            <w:tcW w:w="1237" w:type="dxa"/>
            <w:tcBorders>
              <w:top w:val="nil"/>
              <w:left w:val="nil"/>
              <w:bottom w:val="nil"/>
              <w:right w:val="nil"/>
            </w:tcBorders>
            <w:shd w:val="clear" w:color="000000" w:fill="FFFFFF"/>
            <w:noWrap/>
            <w:vAlign w:val="bottom"/>
            <w:hideMark/>
          </w:tcPr>
          <w:p w14:paraId="5EA4255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-0.02</w:t>
            </w:r>
          </w:p>
        </w:tc>
      </w:tr>
      <w:tr w:rsidR="00765F47" w:rsidRPr="00086601" w14:paraId="1FFF7B39" w14:textId="77777777" w:rsidTr="00765F47">
        <w:trPr>
          <w:trHeight w:val="285"/>
        </w:trPr>
        <w:tc>
          <w:tcPr>
            <w:tcW w:w="747" w:type="dxa"/>
            <w:tcBorders>
              <w:top w:val="nil"/>
              <w:left w:val="nil"/>
              <w:bottom w:val="nil"/>
              <w:right w:val="nil"/>
            </w:tcBorders>
            <w:shd w:val="clear" w:color="000000" w:fill="FFFFFF"/>
            <w:noWrap/>
            <w:vAlign w:val="bottom"/>
            <w:hideMark/>
          </w:tcPr>
          <w:p w14:paraId="0D6B12CB"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2016</w:t>
            </w:r>
          </w:p>
        </w:tc>
        <w:tc>
          <w:tcPr>
            <w:tcW w:w="1477" w:type="dxa"/>
            <w:tcBorders>
              <w:top w:val="nil"/>
              <w:left w:val="nil"/>
              <w:bottom w:val="nil"/>
              <w:right w:val="nil"/>
            </w:tcBorders>
            <w:shd w:val="clear" w:color="000000" w:fill="FFFFFF"/>
            <w:noWrap/>
            <w:vAlign w:val="bottom"/>
            <w:hideMark/>
          </w:tcPr>
          <w:p w14:paraId="5FBC9D1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71</w:t>
            </w:r>
          </w:p>
        </w:tc>
        <w:tc>
          <w:tcPr>
            <w:tcW w:w="1104" w:type="dxa"/>
            <w:tcBorders>
              <w:top w:val="nil"/>
              <w:left w:val="nil"/>
              <w:bottom w:val="nil"/>
              <w:right w:val="nil"/>
            </w:tcBorders>
            <w:shd w:val="clear" w:color="000000" w:fill="FFFFFF"/>
            <w:noWrap/>
            <w:vAlign w:val="bottom"/>
            <w:hideMark/>
          </w:tcPr>
          <w:p w14:paraId="61E3165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6.44</w:t>
            </w:r>
          </w:p>
        </w:tc>
        <w:tc>
          <w:tcPr>
            <w:tcW w:w="638" w:type="dxa"/>
            <w:tcBorders>
              <w:top w:val="nil"/>
              <w:left w:val="nil"/>
              <w:bottom w:val="nil"/>
              <w:right w:val="nil"/>
            </w:tcBorders>
            <w:shd w:val="clear" w:color="000000" w:fill="FFFFFF"/>
            <w:noWrap/>
            <w:vAlign w:val="bottom"/>
            <w:hideMark/>
          </w:tcPr>
          <w:p w14:paraId="5FDC7D5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0.47</w:t>
            </w:r>
          </w:p>
        </w:tc>
        <w:tc>
          <w:tcPr>
            <w:tcW w:w="638" w:type="dxa"/>
            <w:tcBorders>
              <w:top w:val="nil"/>
              <w:left w:val="nil"/>
              <w:bottom w:val="nil"/>
              <w:right w:val="nil"/>
            </w:tcBorders>
            <w:shd w:val="clear" w:color="000000" w:fill="FFFFFF"/>
            <w:noWrap/>
            <w:vAlign w:val="bottom"/>
            <w:hideMark/>
          </w:tcPr>
          <w:p w14:paraId="28C150D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0.64</w:t>
            </w:r>
          </w:p>
        </w:tc>
        <w:tc>
          <w:tcPr>
            <w:tcW w:w="638" w:type="dxa"/>
            <w:tcBorders>
              <w:top w:val="nil"/>
              <w:left w:val="nil"/>
              <w:bottom w:val="nil"/>
              <w:right w:val="nil"/>
            </w:tcBorders>
            <w:shd w:val="clear" w:color="000000" w:fill="FFFFFF"/>
            <w:noWrap/>
            <w:vAlign w:val="bottom"/>
            <w:hideMark/>
          </w:tcPr>
          <w:p w14:paraId="1B481B7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0.08</w:t>
            </w:r>
          </w:p>
        </w:tc>
        <w:tc>
          <w:tcPr>
            <w:tcW w:w="638" w:type="dxa"/>
            <w:tcBorders>
              <w:top w:val="nil"/>
              <w:left w:val="nil"/>
              <w:bottom w:val="nil"/>
              <w:right w:val="nil"/>
            </w:tcBorders>
            <w:shd w:val="clear" w:color="000000" w:fill="FFFFFF"/>
            <w:noWrap/>
            <w:vAlign w:val="bottom"/>
            <w:hideMark/>
          </w:tcPr>
          <w:p w14:paraId="385223E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0.64</w:t>
            </w:r>
          </w:p>
        </w:tc>
        <w:tc>
          <w:tcPr>
            <w:tcW w:w="638" w:type="dxa"/>
            <w:tcBorders>
              <w:top w:val="nil"/>
              <w:left w:val="nil"/>
              <w:bottom w:val="nil"/>
              <w:right w:val="nil"/>
            </w:tcBorders>
            <w:shd w:val="clear" w:color="000000" w:fill="FFFFFF"/>
            <w:noWrap/>
            <w:vAlign w:val="bottom"/>
            <w:hideMark/>
          </w:tcPr>
          <w:p w14:paraId="423945C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0.56</w:t>
            </w:r>
          </w:p>
        </w:tc>
        <w:tc>
          <w:tcPr>
            <w:tcW w:w="638" w:type="dxa"/>
            <w:tcBorders>
              <w:top w:val="nil"/>
              <w:left w:val="nil"/>
              <w:bottom w:val="nil"/>
              <w:right w:val="nil"/>
            </w:tcBorders>
            <w:shd w:val="clear" w:color="000000" w:fill="FFFFFF"/>
            <w:noWrap/>
            <w:vAlign w:val="bottom"/>
            <w:hideMark/>
          </w:tcPr>
          <w:p w14:paraId="2A37388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0.34</w:t>
            </w:r>
          </w:p>
        </w:tc>
        <w:tc>
          <w:tcPr>
            <w:tcW w:w="1030" w:type="dxa"/>
            <w:tcBorders>
              <w:top w:val="nil"/>
              <w:left w:val="nil"/>
              <w:bottom w:val="nil"/>
              <w:right w:val="nil"/>
            </w:tcBorders>
            <w:shd w:val="clear" w:color="000000" w:fill="FFFFFF"/>
            <w:noWrap/>
            <w:vAlign w:val="bottom"/>
            <w:hideMark/>
          </w:tcPr>
          <w:p w14:paraId="2380DE0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-0.01</w:t>
            </w:r>
          </w:p>
        </w:tc>
        <w:tc>
          <w:tcPr>
            <w:tcW w:w="1237" w:type="dxa"/>
            <w:tcBorders>
              <w:top w:val="nil"/>
              <w:left w:val="nil"/>
              <w:bottom w:val="nil"/>
              <w:right w:val="nil"/>
            </w:tcBorders>
            <w:shd w:val="clear" w:color="000000" w:fill="FFFFFF"/>
            <w:noWrap/>
            <w:vAlign w:val="bottom"/>
            <w:hideMark/>
          </w:tcPr>
          <w:p w14:paraId="21D2687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0.06</w:t>
            </w:r>
          </w:p>
        </w:tc>
      </w:tr>
      <w:tr w:rsidR="00765F47" w:rsidRPr="00086601" w14:paraId="65183016" w14:textId="77777777" w:rsidTr="00765F47">
        <w:trPr>
          <w:trHeight w:val="285"/>
        </w:trPr>
        <w:tc>
          <w:tcPr>
            <w:tcW w:w="747" w:type="dxa"/>
            <w:tcBorders>
              <w:top w:val="nil"/>
              <w:left w:val="nil"/>
              <w:bottom w:val="nil"/>
              <w:right w:val="nil"/>
            </w:tcBorders>
            <w:shd w:val="clear" w:color="000000" w:fill="FFFFFF"/>
            <w:noWrap/>
            <w:vAlign w:val="bottom"/>
            <w:hideMark/>
          </w:tcPr>
          <w:p w14:paraId="2726FE31"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2017</w:t>
            </w:r>
          </w:p>
        </w:tc>
        <w:tc>
          <w:tcPr>
            <w:tcW w:w="1477" w:type="dxa"/>
            <w:tcBorders>
              <w:top w:val="nil"/>
              <w:left w:val="nil"/>
              <w:bottom w:val="nil"/>
              <w:right w:val="nil"/>
            </w:tcBorders>
            <w:shd w:val="clear" w:color="000000" w:fill="FFFFFF"/>
            <w:noWrap/>
            <w:vAlign w:val="bottom"/>
            <w:hideMark/>
          </w:tcPr>
          <w:p w14:paraId="1DF2786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71</w:t>
            </w:r>
          </w:p>
        </w:tc>
        <w:tc>
          <w:tcPr>
            <w:tcW w:w="1104" w:type="dxa"/>
            <w:tcBorders>
              <w:top w:val="nil"/>
              <w:left w:val="nil"/>
              <w:bottom w:val="nil"/>
              <w:right w:val="nil"/>
            </w:tcBorders>
            <w:shd w:val="clear" w:color="000000" w:fill="FFFFFF"/>
            <w:noWrap/>
            <w:vAlign w:val="bottom"/>
            <w:hideMark/>
          </w:tcPr>
          <w:p w14:paraId="7A015EF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6.44</w:t>
            </w:r>
          </w:p>
        </w:tc>
        <w:tc>
          <w:tcPr>
            <w:tcW w:w="638" w:type="dxa"/>
            <w:tcBorders>
              <w:top w:val="nil"/>
              <w:left w:val="nil"/>
              <w:bottom w:val="nil"/>
              <w:right w:val="nil"/>
            </w:tcBorders>
            <w:shd w:val="clear" w:color="000000" w:fill="FFFFFF"/>
            <w:noWrap/>
            <w:vAlign w:val="bottom"/>
            <w:hideMark/>
          </w:tcPr>
          <w:p w14:paraId="21A4B38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0.43</w:t>
            </w:r>
          </w:p>
        </w:tc>
        <w:tc>
          <w:tcPr>
            <w:tcW w:w="638" w:type="dxa"/>
            <w:tcBorders>
              <w:top w:val="nil"/>
              <w:left w:val="nil"/>
              <w:bottom w:val="nil"/>
              <w:right w:val="nil"/>
            </w:tcBorders>
            <w:shd w:val="clear" w:color="000000" w:fill="FFFFFF"/>
            <w:noWrap/>
            <w:vAlign w:val="bottom"/>
            <w:hideMark/>
          </w:tcPr>
          <w:p w14:paraId="4688D3E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0.63</w:t>
            </w:r>
          </w:p>
        </w:tc>
        <w:tc>
          <w:tcPr>
            <w:tcW w:w="638" w:type="dxa"/>
            <w:tcBorders>
              <w:top w:val="nil"/>
              <w:left w:val="nil"/>
              <w:bottom w:val="nil"/>
              <w:right w:val="nil"/>
            </w:tcBorders>
            <w:shd w:val="clear" w:color="000000" w:fill="FFFFFF"/>
            <w:noWrap/>
            <w:vAlign w:val="bottom"/>
            <w:hideMark/>
          </w:tcPr>
          <w:p w14:paraId="0A36412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0.11</w:t>
            </w:r>
          </w:p>
        </w:tc>
        <w:tc>
          <w:tcPr>
            <w:tcW w:w="638" w:type="dxa"/>
            <w:tcBorders>
              <w:top w:val="nil"/>
              <w:left w:val="nil"/>
              <w:bottom w:val="nil"/>
              <w:right w:val="nil"/>
            </w:tcBorders>
            <w:shd w:val="clear" w:color="000000" w:fill="FFFFFF"/>
            <w:noWrap/>
            <w:vAlign w:val="bottom"/>
            <w:hideMark/>
          </w:tcPr>
          <w:p w14:paraId="5E6E2EC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0.64</w:t>
            </w:r>
          </w:p>
        </w:tc>
        <w:tc>
          <w:tcPr>
            <w:tcW w:w="638" w:type="dxa"/>
            <w:tcBorders>
              <w:top w:val="nil"/>
              <w:left w:val="nil"/>
              <w:bottom w:val="nil"/>
              <w:right w:val="nil"/>
            </w:tcBorders>
            <w:shd w:val="clear" w:color="000000" w:fill="FFFFFF"/>
            <w:noWrap/>
            <w:vAlign w:val="bottom"/>
            <w:hideMark/>
          </w:tcPr>
          <w:p w14:paraId="4405C90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0.55</w:t>
            </w:r>
          </w:p>
        </w:tc>
        <w:tc>
          <w:tcPr>
            <w:tcW w:w="638" w:type="dxa"/>
            <w:tcBorders>
              <w:top w:val="nil"/>
              <w:left w:val="nil"/>
              <w:bottom w:val="nil"/>
              <w:right w:val="nil"/>
            </w:tcBorders>
            <w:shd w:val="clear" w:color="000000" w:fill="FFFFFF"/>
            <w:noWrap/>
            <w:vAlign w:val="bottom"/>
            <w:hideMark/>
          </w:tcPr>
          <w:p w14:paraId="2CFD327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0.33</w:t>
            </w:r>
          </w:p>
        </w:tc>
        <w:tc>
          <w:tcPr>
            <w:tcW w:w="1030" w:type="dxa"/>
            <w:tcBorders>
              <w:top w:val="nil"/>
              <w:left w:val="nil"/>
              <w:bottom w:val="nil"/>
              <w:right w:val="nil"/>
            </w:tcBorders>
            <w:shd w:val="clear" w:color="000000" w:fill="FFFFFF"/>
            <w:noWrap/>
            <w:vAlign w:val="bottom"/>
            <w:hideMark/>
          </w:tcPr>
          <w:p w14:paraId="08859F7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-0.06</w:t>
            </w:r>
          </w:p>
        </w:tc>
        <w:tc>
          <w:tcPr>
            <w:tcW w:w="1237" w:type="dxa"/>
            <w:tcBorders>
              <w:top w:val="nil"/>
              <w:left w:val="nil"/>
              <w:bottom w:val="nil"/>
              <w:right w:val="nil"/>
            </w:tcBorders>
            <w:shd w:val="clear" w:color="000000" w:fill="FFFFFF"/>
            <w:noWrap/>
            <w:vAlign w:val="bottom"/>
            <w:hideMark/>
          </w:tcPr>
          <w:p w14:paraId="0942DCA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-0.19</w:t>
            </w:r>
          </w:p>
        </w:tc>
      </w:tr>
      <w:tr w:rsidR="00765F47" w:rsidRPr="00086601" w14:paraId="1C7D7B70" w14:textId="77777777" w:rsidTr="00765F47">
        <w:trPr>
          <w:trHeight w:val="285"/>
        </w:trPr>
        <w:tc>
          <w:tcPr>
            <w:tcW w:w="747" w:type="dxa"/>
            <w:tcBorders>
              <w:top w:val="nil"/>
              <w:left w:val="nil"/>
              <w:bottom w:val="nil"/>
              <w:right w:val="nil"/>
            </w:tcBorders>
            <w:shd w:val="clear" w:color="000000" w:fill="FFFFFF"/>
            <w:noWrap/>
            <w:vAlign w:val="bottom"/>
            <w:hideMark/>
          </w:tcPr>
          <w:p w14:paraId="6BF99D06"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2018</w:t>
            </w:r>
          </w:p>
        </w:tc>
        <w:tc>
          <w:tcPr>
            <w:tcW w:w="1477" w:type="dxa"/>
            <w:tcBorders>
              <w:top w:val="nil"/>
              <w:left w:val="nil"/>
              <w:bottom w:val="nil"/>
              <w:right w:val="nil"/>
            </w:tcBorders>
            <w:shd w:val="clear" w:color="000000" w:fill="FFFFFF"/>
            <w:noWrap/>
            <w:vAlign w:val="bottom"/>
            <w:hideMark/>
          </w:tcPr>
          <w:p w14:paraId="6209D1A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71</w:t>
            </w:r>
          </w:p>
        </w:tc>
        <w:tc>
          <w:tcPr>
            <w:tcW w:w="1104" w:type="dxa"/>
            <w:tcBorders>
              <w:top w:val="nil"/>
              <w:left w:val="nil"/>
              <w:bottom w:val="nil"/>
              <w:right w:val="nil"/>
            </w:tcBorders>
            <w:shd w:val="clear" w:color="000000" w:fill="FFFFFF"/>
            <w:noWrap/>
            <w:vAlign w:val="bottom"/>
            <w:hideMark/>
          </w:tcPr>
          <w:p w14:paraId="2DBC27C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6.44</w:t>
            </w:r>
          </w:p>
        </w:tc>
        <w:tc>
          <w:tcPr>
            <w:tcW w:w="638" w:type="dxa"/>
            <w:tcBorders>
              <w:top w:val="nil"/>
              <w:left w:val="nil"/>
              <w:bottom w:val="nil"/>
              <w:right w:val="nil"/>
            </w:tcBorders>
            <w:shd w:val="clear" w:color="000000" w:fill="FFFFFF"/>
            <w:noWrap/>
            <w:vAlign w:val="bottom"/>
            <w:hideMark/>
          </w:tcPr>
          <w:p w14:paraId="264E63F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0.44</w:t>
            </w:r>
          </w:p>
        </w:tc>
        <w:tc>
          <w:tcPr>
            <w:tcW w:w="638" w:type="dxa"/>
            <w:tcBorders>
              <w:top w:val="nil"/>
              <w:left w:val="nil"/>
              <w:bottom w:val="nil"/>
              <w:right w:val="nil"/>
            </w:tcBorders>
            <w:shd w:val="clear" w:color="000000" w:fill="FFFFFF"/>
            <w:noWrap/>
            <w:vAlign w:val="bottom"/>
            <w:hideMark/>
          </w:tcPr>
          <w:p w14:paraId="285DEBC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0.62</w:t>
            </w:r>
          </w:p>
        </w:tc>
        <w:tc>
          <w:tcPr>
            <w:tcW w:w="638" w:type="dxa"/>
            <w:tcBorders>
              <w:top w:val="nil"/>
              <w:left w:val="nil"/>
              <w:bottom w:val="nil"/>
              <w:right w:val="nil"/>
            </w:tcBorders>
            <w:shd w:val="clear" w:color="000000" w:fill="FFFFFF"/>
            <w:noWrap/>
            <w:vAlign w:val="bottom"/>
            <w:hideMark/>
          </w:tcPr>
          <w:p w14:paraId="362BCE9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0.12</w:t>
            </w:r>
          </w:p>
        </w:tc>
        <w:tc>
          <w:tcPr>
            <w:tcW w:w="638" w:type="dxa"/>
            <w:tcBorders>
              <w:top w:val="nil"/>
              <w:left w:val="nil"/>
              <w:bottom w:val="nil"/>
              <w:right w:val="nil"/>
            </w:tcBorders>
            <w:shd w:val="clear" w:color="000000" w:fill="FFFFFF"/>
            <w:noWrap/>
            <w:vAlign w:val="bottom"/>
            <w:hideMark/>
          </w:tcPr>
          <w:p w14:paraId="49A2779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0.64</w:t>
            </w:r>
          </w:p>
        </w:tc>
        <w:tc>
          <w:tcPr>
            <w:tcW w:w="638" w:type="dxa"/>
            <w:tcBorders>
              <w:top w:val="nil"/>
              <w:left w:val="nil"/>
              <w:bottom w:val="nil"/>
              <w:right w:val="nil"/>
            </w:tcBorders>
            <w:shd w:val="clear" w:color="000000" w:fill="FFFFFF"/>
            <w:noWrap/>
            <w:vAlign w:val="bottom"/>
            <w:hideMark/>
          </w:tcPr>
          <w:p w14:paraId="78D3914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0.55</w:t>
            </w:r>
          </w:p>
        </w:tc>
        <w:tc>
          <w:tcPr>
            <w:tcW w:w="638" w:type="dxa"/>
            <w:tcBorders>
              <w:top w:val="nil"/>
              <w:left w:val="nil"/>
              <w:bottom w:val="nil"/>
              <w:right w:val="nil"/>
            </w:tcBorders>
            <w:shd w:val="clear" w:color="000000" w:fill="FFFFFF"/>
            <w:noWrap/>
            <w:vAlign w:val="bottom"/>
            <w:hideMark/>
          </w:tcPr>
          <w:p w14:paraId="677A644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0.34</w:t>
            </w:r>
          </w:p>
        </w:tc>
        <w:tc>
          <w:tcPr>
            <w:tcW w:w="1030" w:type="dxa"/>
            <w:tcBorders>
              <w:top w:val="nil"/>
              <w:left w:val="nil"/>
              <w:bottom w:val="nil"/>
              <w:right w:val="nil"/>
            </w:tcBorders>
            <w:shd w:val="clear" w:color="000000" w:fill="FFFFFF"/>
            <w:noWrap/>
            <w:vAlign w:val="bottom"/>
            <w:hideMark/>
          </w:tcPr>
          <w:p w14:paraId="5D65FD3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0.00</w:t>
            </w:r>
          </w:p>
        </w:tc>
        <w:tc>
          <w:tcPr>
            <w:tcW w:w="1237" w:type="dxa"/>
            <w:tcBorders>
              <w:top w:val="nil"/>
              <w:left w:val="nil"/>
              <w:bottom w:val="nil"/>
              <w:right w:val="nil"/>
            </w:tcBorders>
            <w:shd w:val="clear" w:color="000000" w:fill="FFFFFF"/>
            <w:noWrap/>
            <w:vAlign w:val="bottom"/>
            <w:hideMark/>
          </w:tcPr>
          <w:p w14:paraId="2CB0FA4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0.08</w:t>
            </w:r>
          </w:p>
        </w:tc>
      </w:tr>
      <w:tr w:rsidR="00765F47" w:rsidRPr="00086601" w14:paraId="62653F49" w14:textId="77777777" w:rsidTr="00765F47">
        <w:trPr>
          <w:trHeight w:val="285"/>
        </w:trPr>
        <w:tc>
          <w:tcPr>
            <w:tcW w:w="747" w:type="dxa"/>
            <w:tcBorders>
              <w:top w:val="nil"/>
              <w:left w:val="nil"/>
              <w:bottom w:val="nil"/>
              <w:right w:val="nil"/>
            </w:tcBorders>
            <w:shd w:val="clear" w:color="000000" w:fill="FFFFFF"/>
            <w:noWrap/>
            <w:vAlign w:val="bottom"/>
            <w:hideMark/>
          </w:tcPr>
          <w:p w14:paraId="14F539C7"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2019</w:t>
            </w:r>
          </w:p>
        </w:tc>
        <w:tc>
          <w:tcPr>
            <w:tcW w:w="1477" w:type="dxa"/>
            <w:tcBorders>
              <w:top w:val="nil"/>
              <w:left w:val="nil"/>
              <w:bottom w:val="nil"/>
              <w:right w:val="nil"/>
            </w:tcBorders>
            <w:shd w:val="clear" w:color="000000" w:fill="FFFFFF"/>
            <w:noWrap/>
            <w:vAlign w:val="bottom"/>
            <w:hideMark/>
          </w:tcPr>
          <w:p w14:paraId="1EB642B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71</w:t>
            </w:r>
          </w:p>
        </w:tc>
        <w:tc>
          <w:tcPr>
            <w:tcW w:w="1104" w:type="dxa"/>
            <w:tcBorders>
              <w:top w:val="nil"/>
              <w:left w:val="nil"/>
              <w:bottom w:val="nil"/>
              <w:right w:val="nil"/>
            </w:tcBorders>
            <w:shd w:val="clear" w:color="000000" w:fill="FFFFFF"/>
            <w:noWrap/>
            <w:vAlign w:val="bottom"/>
            <w:hideMark/>
          </w:tcPr>
          <w:p w14:paraId="512A1B8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6.44</w:t>
            </w:r>
          </w:p>
        </w:tc>
        <w:tc>
          <w:tcPr>
            <w:tcW w:w="638" w:type="dxa"/>
            <w:tcBorders>
              <w:top w:val="nil"/>
              <w:left w:val="nil"/>
              <w:bottom w:val="nil"/>
              <w:right w:val="nil"/>
            </w:tcBorders>
            <w:shd w:val="clear" w:color="000000" w:fill="FFFFFF"/>
            <w:noWrap/>
            <w:vAlign w:val="bottom"/>
            <w:hideMark/>
          </w:tcPr>
          <w:p w14:paraId="576EFAF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0.44</w:t>
            </w:r>
          </w:p>
        </w:tc>
        <w:tc>
          <w:tcPr>
            <w:tcW w:w="638" w:type="dxa"/>
            <w:tcBorders>
              <w:top w:val="nil"/>
              <w:left w:val="nil"/>
              <w:bottom w:val="nil"/>
              <w:right w:val="nil"/>
            </w:tcBorders>
            <w:shd w:val="clear" w:color="000000" w:fill="FFFFFF"/>
            <w:noWrap/>
            <w:vAlign w:val="bottom"/>
            <w:hideMark/>
          </w:tcPr>
          <w:p w14:paraId="579E7EF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0.62</w:t>
            </w:r>
          </w:p>
        </w:tc>
        <w:tc>
          <w:tcPr>
            <w:tcW w:w="638" w:type="dxa"/>
            <w:tcBorders>
              <w:top w:val="nil"/>
              <w:left w:val="nil"/>
              <w:bottom w:val="nil"/>
              <w:right w:val="nil"/>
            </w:tcBorders>
            <w:shd w:val="clear" w:color="000000" w:fill="FFFFFF"/>
            <w:noWrap/>
            <w:vAlign w:val="bottom"/>
            <w:hideMark/>
          </w:tcPr>
          <w:p w14:paraId="7678B9A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0.12</w:t>
            </w:r>
          </w:p>
        </w:tc>
        <w:tc>
          <w:tcPr>
            <w:tcW w:w="638" w:type="dxa"/>
            <w:tcBorders>
              <w:top w:val="nil"/>
              <w:left w:val="nil"/>
              <w:bottom w:val="nil"/>
              <w:right w:val="nil"/>
            </w:tcBorders>
            <w:shd w:val="clear" w:color="000000" w:fill="FFFFFF"/>
            <w:noWrap/>
            <w:vAlign w:val="bottom"/>
            <w:hideMark/>
          </w:tcPr>
          <w:p w14:paraId="1076BD7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0.64</w:t>
            </w:r>
          </w:p>
        </w:tc>
        <w:tc>
          <w:tcPr>
            <w:tcW w:w="638" w:type="dxa"/>
            <w:tcBorders>
              <w:top w:val="nil"/>
              <w:left w:val="nil"/>
              <w:bottom w:val="nil"/>
              <w:right w:val="nil"/>
            </w:tcBorders>
            <w:shd w:val="clear" w:color="000000" w:fill="FFFFFF"/>
            <w:noWrap/>
            <w:vAlign w:val="bottom"/>
            <w:hideMark/>
          </w:tcPr>
          <w:p w14:paraId="364F65D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0.55</w:t>
            </w:r>
          </w:p>
        </w:tc>
        <w:tc>
          <w:tcPr>
            <w:tcW w:w="638" w:type="dxa"/>
            <w:tcBorders>
              <w:top w:val="nil"/>
              <w:left w:val="nil"/>
              <w:bottom w:val="nil"/>
              <w:right w:val="nil"/>
            </w:tcBorders>
            <w:shd w:val="clear" w:color="000000" w:fill="FFFFFF"/>
            <w:noWrap/>
            <w:vAlign w:val="bottom"/>
            <w:hideMark/>
          </w:tcPr>
          <w:p w14:paraId="1F03646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0.34</w:t>
            </w:r>
          </w:p>
        </w:tc>
        <w:tc>
          <w:tcPr>
            <w:tcW w:w="1030" w:type="dxa"/>
            <w:tcBorders>
              <w:top w:val="nil"/>
              <w:left w:val="nil"/>
              <w:bottom w:val="nil"/>
              <w:right w:val="nil"/>
            </w:tcBorders>
            <w:shd w:val="clear" w:color="000000" w:fill="FFFFFF"/>
            <w:noWrap/>
            <w:vAlign w:val="bottom"/>
            <w:hideMark/>
          </w:tcPr>
          <w:p w14:paraId="603018E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0.04</w:t>
            </w:r>
          </w:p>
        </w:tc>
        <w:tc>
          <w:tcPr>
            <w:tcW w:w="1237" w:type="dxa"/>
            <w:tcBorders>
              <w:top w:val="nil"/>
              <w:left w:val="nil"/>
              <w:bottom w:val="nil"/>
              <w:right w:val="nil"/>
            </w:tcBorders>
            <w:shd w:val="clear" w:color="000000" w:fill="FFFFFF"/>
            <w:noWrap/>
            <w:vAlign w:val="bottom"/>
            <w:hideMark/>
          </w:tcPr>
          <w:p w14:paraId="3037A94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0.23</w:t>
            </w:r>
          </w:p>
        </w:tc>
      </w:tr>
      <w:tr w:rsidR="00765F47" w:rsidRPr="00086601" w14:paraId="7B5B57EE" w14:textId="77777777" w:rsidTr="00765F47">
        <w:trPr>
          <w:trHeight w:val="285"/>
        </w:trPr>
        <w:tc>
          <w:tcPr>
            <w:tcW w:w="747" w:type="dxa"/>
            <w:tcBorders>
              <w:top w:val="single" w:sz="4" w:space="0" w:color="auto"/>
              <w:left w:val="nil"/>
              <w:bottom w:val="single" w:sz="4" w:space="0" w:color="auto"/>
              <w:right w:val="nil"/>
            </w:tcBorders>
            <w:shd w:val="clear" w:color="000000" w:fill="FFFFFF"/>
            <w:noWrap/>
            <w:vAlign w:val="bottom"/>
            <w:hideMark/>
          </w:tcPr>
          <w:p w14:paraId="6139CC74" w14:textId="77777777" w:rsidR="00765F47" w:rsidRPr="00086601" w:rsidRDefault="00765F47" w:rsidP="00765F47">
            <w:pPr>
              <w:spacing w:after="0" w:line="240" w:lineRule="auto"/>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Total</w:t>
            </w:r>
          </w:p>
        </w:tc>
        <w:tc>
          <w:tcPr>
            <w:tcW w:w="1477" w:type="dxa"/>
            <w:tcBorders>
              <w:top w:val="single" w:sz="4" w:space="0" w:color="auto"/>
              <w:left w:val="nil"/>
              <w:bottom w:val="single" w:sz="4" w:space="0" w:color="auto"/>
              <w:right w:val="nil"/>
            </w:tcBorders>
            <w:shd w:val="clear" w:color="000000" w:fill="FFFFFF"/>
            <w:noWrap/>
            <w:vAlign w:val="bottom"/>
            <w:hideMark/>
          </w:tcPr>
          <w:p w14:paraId="01655E6D" w14:textId="77777777" w:rsidR="00765F47" w:rsidRPr="00086601" w:rsidRDefault="00765F47" w:rsidP="00765F47">
            <w:pPr>
              <w:spacing w:after="0" w:line="240" w:lineRule="auto"/>
              <w:jc w:val="right"/>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1103</w:t>
            </w:r>
          </w:p>
        </w:tc>
        <w:tc>
          <w:tcPr>
            <w:tcW w:w="1104" w:type="dxa"/>
            <w:tcBorders>
              <w:top w:val="single" w:sz="4" w:space="0" w:color="auto"/>
              <w:left w:val="nil"/>
              <w:bottom w:val="single" w:sz="4" w:space="0" w:color="auto"/>
              <w:right w:val="nil"/>
            </w:tcBorders>
            <w:shd w:val="clear" w:color="000000" w:fill="FFFFFF"/>
            <w:noWrap/>
            <w:vAlign w:val="bottom"/>
            <w:hideMark/>
          </w:tcPr>
          <w:p w14:paraId="28E43EBC" w14:textId="77777777" w:rsidR="00765F47" w:rsidRPr="00086601" w:rsidRDefault="00765F47" w:rsidP="00765F47">
            <w:pPr>
              <w:spacing w:after="0" w:line="240" w:lineRule="auto"/>
              <w:jc w:val="right"/>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100.03</w:t>
            </w:r>
          </w:p>
        </w:tc>
        <w:tc>
          <w:tcPr>
            <w:tcW w:w="638" w:type="dxa"/>
            <w:tcBorders>
              <w:top w:val="single" w:sz="4" w:space="0" w:color="auto"/>
              <w:left w:val="nil"/>
              <w:bottom w:val="single" w:sz="4" w:space="0" w:color="auto"/>
              <w:right w:val="nil"/>
            </w:tcBorders>
            <w:shd w:val="clear" w:color="000000" w:fill="FFFFFF"/>
            <w:noWrap/>
            <w:vAlign w:val="bottom"/>
            <w:hideMark/>
          </w:tcPr>
          <w:p w14:paraId="5747828C" w14:textId="77777777" w:rsidR="00765F47" w:rsidRPr="00086601" w:rsidRDefault="00765F47" w:rsidP="00765F47">
            <w:pPr>
              <w:spacing w:after="0" w:line="240" w:lineRule="auto"/>
              <w:jc w:val="right"/>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0.71</w:t>
            </w:r>
          </w:p>
        </w:tc>
        <w:tc>
          <w:tcPr>
            <w:tcW w:w="638" w:type="dxa"/>
            <w:tcBorders>
              <w:top w:val="single" w:sz="4" w:space="0" w:color="auto"/>
              <w:left w:val="nil"/>
              <w:bottom w:val="single" w:sz="4" w:space="0" w:color="auto"/>
              <w:right w:val="nil"/>
            </w:tcBorders>
            <w:shd w:val="clear" w:color="000000" w:fill="FFFFFF"/>
            <w:noWrap/>
            <w:vAlign w:val="bottom"/>
            <w:hideMark/>
          </w:tcPr>
          <w:p w14:paraId="6D680870" w14:textId="77777777" w:rsidR="00765F47" w:rsidRPr="00086601" w:rsidRDefault="00765F47" w:rsidP="00765F47">
            <w:pPr>
              <w:spacing w:after="0" w:line="240" w:lineRule="auto"/>
              <w:jc w:val="right"/>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0.84</w:t>
            </w:r>
          </w:p>
        </w:tc>
        <w:tc>
          <w:tcPr>
            <w:tcW w:w="638" w:type="dxa"/>
            <w:tcBorders>
              <w:top w:val="single" w:sz="4" w:space="0" w:color="auto"/>
              <w:left w:val="nil"/>
              <w:bottom w:val="single" w:sz="4" w:space="0" w:color="auto"/>
              <w:right w:val="nil"/>
            </w:tcBorders>
            <w:shd w:val="clear" w:color="000000" w:fill="FFFFFF"/>
            <w:noWrap/>
            <w:vAlign w:val="bottom"/>
            <w:hideMark/>
          </w:tcPr>
          <w:p w14:paraId="4B18B576" w14:textId="77777777" w:rsidR="00765F47" w:rsidRPr="00086601" w:rsidRDefault="00765F47" w:rsidP="00765F47">
            <w:pPr>
              <w:spacing w:after="0" w:line="240" w:lineRule="auto"/>
              <w:jc w:val="right"/>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0.22</w:t>
            </w:r>
          </w:p>
        </w:tc>
        <w:tc>
          <w:tcPr>
            <w:tcW w:w="638" w:type="dxa"/>
            <w:tcBorders>
              <w:top w:val="single" w:sz="4" w:space="0" w:color="auto"/>
              <w:left w:val="nil"/>
              <w:bottom w:val="single" w:sz="4" w:space="0" w:color="auto"/>
              <w:right w:val="nil"/>
            </w:tcBorders>
            <w:shd w:val="clear" w:color="000000" w:fill="FFFFFF"/>
            <w:noWrap/>
            <w:vAlign w:val="bottom"/>
            <w:hideMark/>
          </w:tcPr>
          <w:p w14:paraId="0DF6449D" w14:textId="77777777" w:rsidR="00765F47" w:rsidRPr="00086601" w:rsidRDefault="00765F47" w:rsidP="00765F47">
            <w:pPr>
              <w:spacing w:after="0" w:line="240" w:lineRule="auto"/>
              <w:jc w:val="right"/>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0.81</w:t>
            </w:r>
          </w:p>
        </w:tc>
        <w:tc>
          <w:tcPr>
            <w:tcW w:w="638" w:type="dxa"/>
            <w:tcBorders>
              <w:top w:val="single" w:sz="4" w:space="0" w:color="auto"/>
              <w:left w:val="nil"/>
              <w:bottom w:val="single" w:sz="4" w:space="0" w:color="auto"/>
              <w:right w:val="nil"/>
            </w:tcBorders>
            <w:shd w:val="clear" w:color="000000" w:fill="FFFFFF"/>
            <w:noWrap/>
            <w:vAlign w:val="bottom"/>
            <w:hideMark/>
          </w:tcPr>
          <w:p w14:paraId="3BB2FF38" w14:textId="77777777" w:rsidR="00765F47" w:rsidRPr="00086601" w:rsidRDefault="00765F47" w:rsidP="00765F47">
            <w:pPr>
              <w:spacing w:after="0" w:line="240" w:lineRule="auto"/>
              <w:jc w:val="right"/>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0.74</w:t>
            </w:r>
          </w:p>
        </w:tc>
        <w:tc>
          <w:tcPr>
            <w:tcW w:w="638" w:type="dxa"/>
            <w:tcBorders>
              <w:top w:val="single" w:sz="4" w:space="0" w:color="auto"/>
              <w:left w:val="nil"/>
              <w:bottom w:val="single" w:sz="4" w:space="0" w:color="auto"/>
              <w:right w:val="nil"/>
            </w:tcBorders>
            <w:shd w:val="clear" w:color="000000" w:fill="FFFFFF"/>
            <w:noWrap/>
            <w:vAlign w:val="bottom"/>
            <w:hideMark/>
          </w:tcPr>
          <w:p w14:paraId="5CF5EC6C" w14:textId="77777777" w:rsidR="00765F47" w:rsidRPr="00086601" w:rsidRDefault="00765F47" w:rsidP="00765F47">
            <w:pPr>
              <w:spacing w:after="0" w:line="240" w:lineRule="auto"/>
              <w:jc w:val="right"/>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0.49</w:t>
            </w:r>
          </w:p>
        </w:tc>
        <w:tc>
          <w:tcPr>
            <w:tcW w:w="1030" w:type="dxa"/>
            <w:tcBorders>
              <w:top w:val="single" w:sz="4" w:space="0" w:color="auto"/>
              <w:left w:val="nil"/>
              <w:bottom w:val="single" w:sz="4" w:space="0" w:color="auto"/>
              <w:right w:val="nil"/>
            </w:tcBorders>
            <w:shd w:val="clear" w:color="000000" w:fill="FFFFFF"/>
            <w:noWrap/>
            <w:vAlign w:val="bottom"/>
            <w:hideMark/>
          </w:tcPr>
          <w:p w14:paraId="617BC658" w14:textId="77777777" w:rsidR="00765F47" w:rsidRPr="00086601" w:rsidRDefault="00765F47" w:rsidP="00765F47">
            <w:pPr>
              <w:spacing w:after="0" w:line="240" w:lineRule="auto"/>
              <w:jc w:val="right"/>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0.01</w:t>
            </w:r>
          </w:p>
        </w:tc>
        <w:tc>
          <w:tcPr>
            <w:tcW w:w="1237" w:type="dxa"/>
            <w:tcBorders>
              <w:top w:val="single" w:sz="4" w:space="0" w:color="auto"/>
              <w:left w:val="nil"/>
              <w:bottom w:val="single" w:sz="4" w:space="0" w:color="auto"/>
              <w:right w:val="nil"/>
            </w:tcBorders>
            <w:shd w:val="clear" w:color="000000" w:fill="FFFFFF"/>
            <w:noWrap/>
            <w:vAlign w:val="bottom"/>
            <w:hideMark/>
          </w:tcPr>
          <w:p w14:paraId="64751960" w14:textId="77777777" w:rsidR="00765F47" w:rsidRPr="00086601" w:rsidRDefault="00765F47" w:rsidP="00765F47">
            <w:pPr>
              <w:spacing w:after="0" w:line="240" w:lineRule="auto"/>
              <w:jc w:val="right"/>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0.08</w:t>
            </w:r>
          </w:p>
        </w:tc>
      </w:tr>
    </w:tbl>
    <w:p w14:paraId="6291C37D" w14:textId="41906560" w:rsidR="00765F47" w:rsidRPr="00086601" w:rsidRDefault="00765F47" w:rsidP="00765F47">
      <w:pPr>
        <w:spacing w:line="480" w:lineRule="auto"/>
        <w:jc w:val="both"/>
        <w:rPr>
          <w:rFonts w:ascii="Garamond" w:eastAsiaTheme="minorEastAsia" w:hAnsi="Garamond"/>
          <w:b/>
          <w:bCs/>
          <w:sz w:val="24"/>
          <w:szCs w:val="24"/>
        </w:rPr>
      </w:pPr>
    </w:p>
    <w:p w14:paraId="5B8DECBD" w14:textId="3A9A1EA8" w:rsidR="00C25559" w:rsidRDefault="00C25559" w:rsidP="00765F47">
      <w:pPr>
        <w:spacing w:line="480" w:lineRule="auto"/>
        <w:jc w:val="both"/>
        <w:rPr>
          <w:rFonts w:ascii="Garamond" w:eastAsiaTheme="minorEastAsia" w:hAnsi="Garamond"/>
          <w:sz w:val="24"/>
          <w:szCs w:val="24"/>
        </w:rPr>
      </w:pPr>
      <w:r w:rsidRPr="00086601">
        <w:rPr>
          <w:rFonts w:ascii="Garamond" w:eastAsiaTheme="minorEastAsia" w:hAnsi="Garamond"/>
          <w:sz w:val="24"/>
          <w:szCs w:val="24"/>
        </w:rPr>
        <w:t>The following table shows the results from the regression model stated in the hypothesis. The table includes the coefficient and p values for the model when DUVOL or NCSKEW were used as the target value. For each respective target used in the model, the R^2 and number of observations are listed.</w:t>
      </w:r>
    </w:p>
    <w:p w14:paraId="4596F87C" w14:textId="4BC784A3" w:rsidR="00342DDE" w:rsidRDefault="00342DDE" w:rsidP="00765F47">
      <w:pPr>
        <w:spacing w:line="480" w:lineRule="auto"/>
        <w:jc w:val="both"/>
        <w:rPr>
          <w:rFonts w:ascii="Garamond" w:eastAsiaTheme="minorEastAsia" w:hAnsi="Garamond"/>
          <w:b/>
          <w:bCs/>
          <w:sz w:val="24"/>
          <w:szCs w:val="24"/>
        </w:rPr>
      </w:pPr>
    </w:p>
    <w:p w14:paraId="40384804" w14:textId="4A2FA362" w:rsidR="00342DDE" w:rsidRDefault="00342DDE" w:rsidP="00765F47">
      <w:pPr>
        <w:spacing w:line="480" w:lineRule="auto"/>
        <w:jc w:val="both"/>
        <w:rPr>
          <w:rFonts w:ascii="Garamond" w:eastAsiaTheme="minorEastAsia" w:hAnsi="Garamond"/>
          <w:b/>
          <w:bCs/>
          <w:sz w:val="24"/>
          <w:szCs w:val="24"/>
        </w:rPr>
      </w:pPr>
    </w:p>
    <w:p w14:paraId="209BCFF4" w14:textId="148585F5" w:rsidR="00342DDE" w:rsidRDefault="00342DDE" w:rsidP="00765F47">
      <w:pPr>
        <w:spacing w:line="480" w:lineRule="auto"/>
        <w:jc w:val="both"/>
        <w:rPr>
          <w:rFonts w:ascii="Garamond" w:eastAsiaTheme="minorEastAsia" w:hAnsi="Garamond"/>
          <w:b/>
          <w:bCs/>
          <w:sz w:val="24"/>
          <w:szCs w:val="24"/>
        </w:rPr>
      </w:pPr>
    </w:p>
    <w:p w14:paraId="6170B1F6" w14:textId="3B681FC8" w:rsidR="00342DDE" w:rsidRDefault="00342DDE" w:rsidP="00765F47">
      <w:pPr>
        <w:spacing w:line="480" w:lineRule="auto"/>
        <w:jc w:val="both"/>
        <w:rPr>
          <w:rFonts w:ascii="Garamond" w:eastAsiaTheme="minorEastAsia" w:hAnsi="Garamond"/>
          <w:b/>
          <w:bCs/>
          <w:sz w:val="24"/>
          <w:szCs w:val="24"/>
        </w:rPr>
      </w:pPr>
    </w:p>
    <w:p w14:paraId="24980756" w14:textId="77777777" w:rsidR="00342DDE" w:rsidRPr="00086601" w:rsidRDefault="00342DDE" w:rsidP="00765F47">
      <w:pPr>
        <w:spacing w:line="480" w:lineRule="auto"/>
        <w:jc w:val="both"/>
        <w:rPr>
          <w:rFonts w:ascii="Garamond" w:eastAsiaTheme="minorEastAsia" w:hAnsi="Garamond"/>
          <w:b/>
          <w:bCs/>
          <w:sz w:val="24"/>
          <w:szCs w:val="24"/>
        </w:rPr>
      </w:pPr>
    </w:p>
    <w:tbl>
      <w:tblPr>
        <w:tblW w:w="5101" w:type="dxa"/>
        <w:tblLook w:val="04A0" w:firstRow="1" w:lastRow="0" w:firstColumn="1" w:lastColumn="0" w:noHBand="0" w:noVBand="1"/>
      </w:tblPr>
      <w:tblGrid>
        <w:gridCol w:w="991"/>
        <w:gridCol w:w="952"/>
        <w:gridCol w:w="1103"/>
        <w:gridCol w:w="952"/>
        <w:gridCol w:w="1103"/>
      </w:tblGrid>
      <w:tr w:rsidR="00765F47" w:rsidRPr="00086601" w14:paraId="1709D269" w14:textId="77777777" w:rsidTr="00765F47">
        <w:trPr>
          <w:trHeight w:val="285"/>
        </w:trPr>
        <w:tc>
          <w:tcPr>
            <w:tcW w:w="5101" w:type="dxa"/>
            <w:gridSpan w:val="5"/>
            <w:tcBorders>
              <w:top w:val="nil"/>
              <w:left w:val="nil"/>
              <w:bottom w:val="single" w:sz="4" w:space="0" w:color="auto"/>
              <w:right w:val="nil"/>
            </w:tcBorders>
            <w:shd w:val="clear" w:color="000000" w:fill="FFFFFF"/>
            <w:noWrap/>
            <w:vAlign w:val="bottom"/>
            <w:hideMark/>
          </w:tcPr>
          <w:p w14:paraId="41272D83" w14:textId="77777777" w:rsidR="00765F47" w:rsidRPr="00086601" w:rsidRDefault="00765F47" w:rsidP="00765F47">
            <w:pPr>
              <w:spacing w:after="0" w:line="240" w:lineRule="auto"/>
              <w:jc w:val="center"/>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lastRenderedPageBreak/>
              <w:t>Hypothesis 3</w:t>
            </w:r>
          </w:p>
        </w:tc>
      </w:tr>
      <w:tr w:rsidR="00765F47" w:rsidRPr="00086601" w14:paraId="5CF1DC6C" w14:textId="77777777" w:rsidTr="00765F47">
        <w:trPr>
          <w:trHeight w:val="285"/>
        </w:trPr>
        <w:tc>
          <w:tcPr>
            <w:tcW w:w="991" w:type="dxa"/>
            <w:tcBorders>
              <w:top w:val="nil"/>
              <w:left w:val="nil"/>
              <w:bottom w:val="nil"/>
              <w:right w:val="nil"/>
            </w:tcBorders>
            <w:shd w:val="clear" w:color="000000" w:fill="FFFFFF"/>
            <w:noWrap/>
            <w:vAlign w:val="bottom"/>
            <w:hideMark/>
          </w:tcPr>
          <w:p w14:paraId="6ED9B51F"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 </w:t>
            </w:r>
          </w:p>
        </w:tc>
        <w:tc>
          <w:tcPr>
            <w:tcW w:w="4110" w:type="dxa"/>
            <w:gridSpan w:val="4"/>
            <w:tcBorders>
              <w:top w:val="nil"/>
              <w:left w:val="nil"/>
              <w:bottom w:val="single" w:sz="4" w:space="0" w:color="auto"/>
              <w:right w:val="nil"/>
            </w:tcBorders>
            <w:shd w:val="clear" w:color="000000" w:fill="FFFFFF"/>
            <w:noWrap/>
            <w:vAlign w:val="bottom"/>
            <w:hideMark/>
          </w:tcPr>
          <w:p w14:paraId="31066232"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Crash Risk Measure</w:t>
            </w:r>
          </w:p>
        </w:tc>
      </w:tr>
      <w:tr w:rsidR="00765F47" w:rsidRPr="00086601" w14:paraId="3DE6FE3E" w14:textId="77777777" w:rsidTr="00765F47">
        <w:trPr>
          <w:trHeight w:val="285"/>
        </w:trPr>
        <w:tc>
          <w:tcPr>
            <w:tcW w:w="991" w:type="dxa"/>
            <w:tcBorders>
              <w:top w:val="nil"/>
              <w:left w:val="nil"/>
              <w:bottom w:val="nil"/>
              <w:right w:val="nil"/>
            </w:tcBorders>
            <w:shd w:val="clear" w:color="000000" w:fill="FFFFFF"/>
            <w:noWrap/>
            <w:vAlign w:val="bottom"/>
            <w:hideMark/>
          </w:tcPr>
          <w:p w14:paraId="45A20748"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 </w:t>
            </w:r>
          </w:p>
        </w:tc>
        <w:tc>
          <w:tcPr>
            <w:tcW w:w="2055" w:type="dxa"/>
            <w:gridSpan w:val="2"/>
            <w:tcBorders>
              <w:top w:val="nil"/>
              <w:left w:val="nil"/>
              <w:bottom w:val="nil"/>
              <w:right w:val="nil"/>
            </w:tcBorders>
            <w:shd w:val="clear" w:color="000000" w:fill="FFFFFF"/>
            <w:noWrap/>
            <w:vAlign w:val="bottom"/>
            <w:hideMark/>
          </w:tcPr>
          <w:p w14:paraId="73FE2C25"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DUVOL</w:t>
            </w:r>
          </w:p>
        </w:tc>
        <w:tc>
          <w:tcPr>
            <w:tcW w:w="2055" w:type="dxa"/>
            <w:gridSpan w:val="2"/>
            <w:tcBorders>
              <w:top w:val="nil"/>
              <w:left w:val="nil"/>
              <w:bottom w:val="nil"/>
              <w:right w:val="nil"/>
            </w:tcBorders>
            <w:shd w:val="clear" w:color="000000" w:fill="FFFFFF"/>
            <w:noWrap/>
            <w:vAlign w:val="bottom"/>
            <w:hideMark/>
          </w:tcPr>
          <w:p w14:paraId="78F08338"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NCSKEW</w:t>
            </w:r>
          </w:p>
        </w:tc>
      </w:tr>
      <w:tr w:rsidR="00765F47" w:rsidRPr="00086601" w14:paraId="3AD0A163" w14:textId="77777777" w:rsidTr="00765F47">
        <w:trPr>
          <w:trHeight w:val="285"/>
        </w:trPr>
        <w:tc>
          <w:tcPr>
            <w:tcW w:w="991" w:type="dxa"/>
            <w:tcBorders>
              <w:top w:val="single" w:sz="4" w:space="0" w:color="auto"/>
              <w:left w:val="nil"/>
              <w:bottom w:val="single" w:sz="4" w:space="0" w:color="auto"/>
              <w:right w:val="nil"/>
            </w:tcBorders>
            <w:shd w:val="clear" w:color="000000" w:fill="FFFFFF"/>
            <w:noWrap/>
            <w:vAlign w:val="bottom"/>
            <w:hideMark/>
          </w:tcPr>
          <w:p w14:paraId="61B476F3" w14:textId="77777777" w:rsidR="00765F47" w:rsidRPr="00086601" w:rsidRDefault="00765F47" w:rsidP="00765F47">
            <w:pPr>
              <w:spacing w:after="0" w:line="240" w:lineRule="auto"/>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Model</w:t>
            </w:r>
          </w:p>
        </w:tc>
        <w:tc>
          <w:tcPr>
            <w:tcW w:w="952" w:type="dxa"/>
            <w:tcBorders>
              <w:top w:val="single" w:sz="4" w:space="0" w:color="auto"/>
              <w:left w:val="nil"/>
              <w:bottom w:val="single" w:sz="4" w:space="0" w:color="auto"/>
              <w:right w:val="nil"/>
            </w:tcBorders>
            <w:shd w:val="clear" w:color="000000" w:fill="FFFFFF"/>
            <w:noWrap/>
            <w:vAlign w:val="bottom"/>
            <w:hideMark/>
          </w:tcPr>
          <w:p w14:paraId="63442DBA"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proofErr w:type="spellStart"/>
            <w:r w:rsidRPr="00086601">
              <w:rPr>
                <w:rFonts w:ascii="Garamond" w:eastAsia="Times New Roman" w:hAnsi="Garamond" w:cs="Calibri"/>
                <w:b/>
                <w:bCs/>
                <w:color w:val="000000"/>
                <w:sz w:val="24"/>
                <w:szCs w:val="24"/>
              </w:rPr>
              <w:t>Coef</w:t>
            </w:r>
            <w:proofErr w:type="spellEnd"/>
          </w:p>
        </w:tc>
        <w:tc>
          <w:tcPr>
            <w:tcW w:w="1103" w:type="dxa"/>
            <w:tcBorders>
              <w:top w:val="single" w:sz="4" w:space="0" w:color="auto"/>
              <w:left w:val="nil"/>
              <w:bottom w:val="single" w:sz="4" w:space="0" w:color="auto"/>
              <w:right w:val="nil"/>
            </w:tcBorders>
            <w:shd w:val="clear" w:color="000000" w:fill="FFFFFF"/>
            <w:noWrap/>
            <w:vAlign w:val="bottom"/>
            <w:hideMark/>
          </w:tcPr>
          <w:p w14:paraId="499B3686"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p value</w:t>
            </w:r>
          </w:p>
        </w:tc>
        <w:tc>
          <w:tcPr>
            <w:tcW w:w="952" w:type="dxa"/>
            <w:tcBorders>
              <w:top w:val="single" w:sz="4" w:space="0" w:color="auto"/>
              <w:left w:val="nil"/>
              <w:bottom w:val="single" w:sz="4" w:space="0" w:color="auto"/>
              <w:right w:val="nil"/>
            </w:tcBorders>
            <w:shd w:val="clear" w:color="000000" w:fill="FFFFFF"/>
            <w:noWrap/>
            <w:vAlign w:val="bottom"/>
            <w:hideMark/>
          </w:tcPr>
          <w:p w14:paraId="6287997B"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proofErr w:type="spellStart"/>
            <w:r w:rsidRPr="00086601">
              <w:rPr>
                <w:rFonts w:ascii="Garamond" w:eastAsia="Times New Roman" w:hAnsi="Garamond" w:cs="Calibri"/>
                <w:b/>
                <w:bCs/>
                <w:color w:val="000000"/>
                <w:sz w:val="24"/>
                <w:szCs w:val="24"/>
              </w:rPr>
              <w:t>Coef</w:t>
            </w:r>
            <w:proofErr w:type="spellEnd"/>
          </w:p>
        </w:tc>
        <w:tc>
          <w:tcPr>
            <w:tcW w:w="1103" w:type="dxa"/>
            <w:tcBorders>
              <w:top w:val="single" w:sz="4" w:space="0" w:color="auto"/>
              <w:left w:val="nil"/>
              <w:bottom w:val="single" w:sz="4" w:space="0" w:color="auto"/>
              <w:right w:val="nil"/>
            </w:tcBorders>
            <w:shd w:val="clear" w:color="000000" w:fill="FFFFFF"/>
            <w:noWrap/>
            <w:vAlign w:val="bottom"/>
            <w:hideMark/>
          </w:tcPr>
          <w:p w14:paraId="0717E59E"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p value</w:t>
            </w:r>
          </w:p>
        </w:tc>
      </w:tr>
      <w:tr w:rsidR="00765F47" w:rsidRPr="00086601" w14:paraId="2FDEA718" w14:textId="77777777" w:rsidTr="00765F47">
        <w:trPr>
          <w:trHeight w:val="285"/>
        </w:trPr>
        <w:tc>
          <w:tcPr>
            <w:tcW w:w="991" w:type="dxa"/>
            <w:tcBorders>
              <w:top w:val="nil"/>
              <w:left w:val="nil"/>
              <w:bottom w:val="nil"/>
              <w:right w:val="nil"/>
            </w:tcBorders>
            <w:shd w:val="clear" w:color="000000" w:fill="FFFFFF"/>
            <w:noWrap/>
            <w:vAlign w:val="bottom"/>
            <w:hideMark/>
          </w:tcPr>
          <w:p w14:paraId="70CC1546"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const</w:t>
            </w:r>
          </w:p>
        </w:tc>
        <w:tc>
          <w:tcPr>
            <w:tcW w:w="952" w:type="dxa"/>
            <w:tcBorders>
              <w:top w:val="nil"/>
              <w:left w:val="nil"/>
              <w:bottom w:val="nil"/>
              <w:right w:val="nil"/>
            </w:tcBorders>
            <w:shd w:val="clear" w:color="000000" w:fill="FFFFFF"/>
            <w:noWrap/>
            <w:vAlign w:val="bottom"/>
            <w:hideMark/>
          </w:tcPr>
          <w:p w14:paraId="6059151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0.009</w:t>
            </w:r>
          </w:p>
        </w:tc>
        <w:tc>
          <w:tcPr>
            <w:tcW w:w="1103" w:type="dxa"/>
            <w:tcBorders>
              <w:top w:val="nil"/>
              <w:left w:val="nil"/>
              <w:bottom w:val="nil"/>
              <w:right w:val="nil"/>
            </w:tcBorders>
            <w:shd w:val="clear" w:color="000000" w:fill="FFFFFF"/>
            <w:noWrap/>
            <w:vAlign w:val="bottom"/>
            <w:hideMark/>
          </w:tcPr>
          <w:p w14:paraId="548BEEF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0.526</w:t>
            </w:r>
          </w:p>
        </w:tc>
        <w:tc>
          <w:tcPr>
            <w:tcW w:w="952" w:type="dxa"/>
            <w:tcBorders>
              <w:top w:val="nil"/>
              <w:left w:val="nil"/>
              <w:bottom w:val="nil"/>
              <w:right w:val="nil"/>
            </w:tcBorders>
            <w:shd w:val="clear" w:color="000000" w:fill="FFFFFF"/>
            <w:noWrap/>
            <w:vAlign w:val="bottom"/>
            <w:hideMark/>
          </w:tcPr>
          <w:p w14:paraId="175AABF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0.084</w:t>
            </w:r>
          </w:p>
        </w:tc>
        <w:tc>
          <w:tcPr>
            <w:tcW w:w="1103" w:type="dxa"/>
            <w:tcBorders>
              <w:top w:val="nil"/>
              <w:left w:val="nil"/>
              <w:bottom w:val="nil"/>
              <w:right w:val="nil"/>
            </w:tcBorders>
            <w:shd w:val="clear" w:color="000000" w:fill="FFFFFF"/>
            <w:noWrap/>
            <w:vAlign w:val="bottom"/>
            <w:hideMark/>
          </w:tcPr>
          <w:p w14:paraId="0C839B0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0.102</w:t>
            </w:r>
          </w:p>
        </w:tc>
      </w:tr>
      <w:tr w:rsidR="00765F47" w:rsidRPr="00086601" w14:paraId="7341E364" w14:textId="77777777" w:rsidTr="00765F47">
        <w:trPr>
          <w:trHeight w:val="285"/>
        </w:trPr>
        <w:tc>
          <w:tcPr>
            <w:tcW w:w="991" w:type="dxa"/>
            <w:tcBorders>
              <w:top w:val="nil"/>
              <w:left w:val="nil"/>
              <w:bottom w:val="nil"/>
              <w:right w:val="nil"/>
            </w:tcBorders>
            <w:shd w:val="clear" w:color="000000" w:fill="FFFFFF"/>
            <w:noWrap/>
            <w:vAlign w:val="bottom"/>
            <w:hideMark/>
          </w:tcPr>
          <w:p w14:paraId="0BBD17DE"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COC</w:t>
            </w:r>
          </w:p>
        </w:tc>
        <w:tc>
          <w:tcPr>
            <w:tcW w:w="952" w:type="dxa"/>
            <w:tcBorders>
              <w:top w:val="nil"/>
              <w:left w:val="nil"/>
              <w:bottom w:val="nil"/>
              <w:right w:val="nil"/>
            </w:tcBorders>
            <w:shd w:val="clear" w:color="000000" w:fill="FFFFFF"/>
            <w:noWrap/>
            <w:vAlign w:val="bottom"/>
            <w:hideMark/>
          </w:tcPr>
          <w:p w14:paraId="7049527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0.026</w:t>
            </w:r>
          </w:p>
        </w:tc>
        <w:tc>
          <w:tcPr>
            <w:tcW w:w="1103" w:type="dxa"/>
            <w:tcBorders>
              <w:top w:val="nil"/>
              <w:left w:val="nil"/>
              <w:bottom w:val="nil"/>
              <w:right w:val="nil"/>
            </w:tcBorders>
            <w:shd w:val="clear" w:color="000000" w:fill="FFFFFF"/>
            <w:noWrap/>
            <w:vAlign w:val="bottom"/>
            <w:hideMark/>
          </w:tcPr>
          <w:p w14:paraId="47ECE57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0.371</w:t>
            </w:r>
          </w:p>
        </w:tc>
        <w:tc>
          <w:tcPr>
            <w:tcW w:w="952" w:type="dxa"/>
            <w:tcBorders>
              <w:top w:val="nil"/>
              <w:left w:val="nil"/>
              <w:bottom w:val="nil"/>
              <w:right w:val="nil"/>
            </w:tcBorders>
            <w:shd w:val="clear" w:color="000000" w:fill="FFFFFF"/>
            <w:noWrap/>
            <w:vAlign w:val="bottom"/>
            <w:hideMark/>
          </w:tcPr>
          <w:p w14:paraId="662BB80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0.055</w:t>
            </w:r>
          </w:p>
        </w:tc>
        <w:tc>
          <w:tcPr>
            <w:tcW w:w="1103" w:type="dxa"/>
            <w:tcBorders>
              <w:top w:val="nil"/>
              <w:left w:val="nil"/>
              <w:bottom w:val="nil"/>
              <w:right w:val="nil"/>
            </w:tcBorders>
            <w:shd w:val="clear" w:color="000000" w:fill="FFFFFF"/>
            <w:noWrap/>
            <w:vAlign w:val="bottom"/>
            <w:hideMark/>
          </w:tcPr>
          <w:p w14:paraId="3640E94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0.102</w:t>
            </w:r>
          </w:p>
        </w:tc>
      </w:tr>
      <w:tr w:rsidR="00765F47" w:rsidRPr="00086601" w14:paraId="046E3672" w14:textId="77777777" w:rsidTr="00765F47">
        <w:trPr>
          <w:trHeight w:val="285"/>
        </w:trPr>
        <w:tc>
          <w:tcPr>
            <w:tcW w:w="991" w:type="dxa"/>
            <w:tcBorders>
              <w:top w:val="nil"/>
              <w:left w:val="nil"/>
              <w:bottom w:val="nil"/>
              <w:right w:val="nil"/>
            </w:tcBorders>
            <w:shd w:val="clear" w:color="000000" w:fill="FFFFFF"/>
            <w:noWrap/>
            <w:vAlign w:val="bottom"/>
            <w:hideMark/>
          </w:tcPr>
          <w:p w14:paraId="41BD5FAD"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GE</w:t>
            </w:r>
          </w:p>
        </w:tc>
        <w:tc>
          <w:tcPr>
            <w:tcW w:w="952" w:type="dxa"/>
            <w:tcBorders>
              <w:top w:val="nil"/>
              <w:left w:val="nil"/>
              <w:bottom w:val="nil"/>
              <w:right w:val="nil"/>
            </w:tcBorders>
            <w:shd w:val="clear" w:color="000000" w:fill="FFFFFF"/>
            <w:noWrap/>
            <w:vAlign w:val="bottom"/>
            <w:hideMark/>
          </w:tcPr>
          <w:p w14:paraId="190C3C8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0.037</w:t>
            </w:r>
          </w:p>
        </w:tc>
        <w:tc>
          <w:tcPr>
            <w:tcW w:w="1103" w:type="dxa"/>
            <w:tcBorders>
              <w:top w:val="nil"/>
              <w:left w:val="nil"/>
              <w:bottom w:val="nil"/>
              <w:right w:val="nil"/>
            </w:tcBorders>
            <w:shd w:val="clear" w:color="000000" w:fill="FFFFFF"/>
            <w:noWrap/>
            <w:vAlign w:val="bottom"/>
            <w:hideMark/>
          </w:tcPr>
          <w:p w14:paraId="0579CD6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0.255</w:t>
            </w:r>
          </w:p>
        </w:tc>
        <w:tc>
          <w:tcPr>
            <w:tcW w:w="952" w:type="dxa"/>
            <w:tcBorders>
              <w:top w:val="nil"/>
              <w:left w:val="nil"/>
              <w:bottom w:val="nil"/>
              <w:right w:val="nil"/>
            </w:tcBorders>
            <w:shd w:val="clear" w:color="000000" w:fill="FFFFFF"/>
            <w:noWrap/>
            <w:vAlign w:val="bottom"/>
            <w:hideMark/>
          </w:tcPr>
          <w:p w14:paraId="2CC88B4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0.081</w:t>
            </w:r>
          </w:p>
        </w:tc>
        <w:tc>
          <w:tcPr>
            <w:tcW w:w="1103" w:type="dxa"/>
            <w:tcBorders>
              <w:top w:val="nil"/>
              <w:left w:val="nil"/>
              <w:bottom w:val="nil"/>
              <w:right w:val="nil"/>
            </w:tcBorders>
            <w:shd w:val="clear" w:color="000000" w:fill="FFFFFF"/>
            <w:noWrap/>
            <w:vAlign w:val="bottom"/>
            <w:hideMark/>
          </w:tcPr>
          <w:p w14:paraId="2495085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0.615</w:t>
            </w:r>
          </w:p>
        </w:tc>
      </w:tr>
      <w:tr w:rsidR="00765F47" w:rsidRPr="00086601" w14:paraId="69D262F1" w14:textId="77777777" w:rsidTr="00765F47">
        <w:trPr>
          <w:trHeight w:val="285"/>
        </w:trPr>
        <w:tc>
          <w:tcPr>
            <w:tcW w:w="991" w:type="dxa"/>
            <w:tcBorders>
              <w:top w:val="nil"/>
              <w:left w:val="nil"/>
              <w:bottom w:val="nil"/>
              <w:right w:val="nil"/>
            </w:tcBorders>
            <w:shd w:val="clear" w:color="000000" w:fill="FFFFFF"/>
            <w:noWrap/>
            <w:vAlign w:val="bottom"/>
            <w:hideMark/>
          </w:tcPr>
          <w:p w14:paraId="132B6D69"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PS</w:t>
            </w:r>
          </w:p>
        </w:tc>
        <w:tc>
          <w:tcPr>
            <w:tcW w:w="952" w:type="dxa"/>
            <w:tcBorders>
              <w:top w:val="nil"/>
              <w:left w:val="nil"/>
              <w:bottom w:val="nil"/>
              <w:right w:val="nil"/>
            </w:tcBorders>
            <w:shd w:val="clear" w:color="000000" w:fill="FFFFFF"/>
            <w:noWrap/>
            <w:vAlign w:val="bottom"/>
            <w:hideMark/>
          </w:tcPr>
          <w:p w14:paraId="04111F4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-0.003</w:t>
            </w:r>
          </w:p>
        </w:tc>
        <w:tc>
          <w:tcPr>
            <w:tcW w:w="1103" w:type="dxa"/>
            <w:tcBorders>
              <w:top w:val="nil"/>
              <w:left w:val="nil"/>
              <w:bottom w:val="nil"/>
              <w:right w:val="nil"/>
            </w:tcBorders>
            <w:shd w:val="clear" w:color="000000" w:fill="FFFFFF"/>
            <w:noWrap/>
            <w:vAlign w:val="bottom"/>
            <w:hideMark/>
          </w:tcPr>
          <w:p w14:paraId="1FE8A66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0.792</w:t>
            </w:r>
          </w:p>
        </w:tc>
        <w:tc>
          <w:tcPr>
            <w:tcW w:w="952" w:type="dxa"/>
            <w:tcBorders>
              <w:top w:val="nil"/>
              <w:left w:val="nil"/>
              <w:bottom w:val="nil"/>
              <w:right w:val="nil"/>
            </w:tcBorders>
            <w:shd w:val="clear" w:color="000000" w:fill="FFFFFF"/>
            <w:noWrap/>
            <w:vAlign w:val="bottom"/>
            <w:hideMark/>
          </w:tcPr>
          <w:p w14:paraId="3B439FB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0.002</w:t>
            </w:r>
          </w:p>
        </w:tc>
        <w:tc>
          <w:tcPr>
            <w:tcW w:w="1103" w:type="dxa"/>
            <w:tcBorders>
              <w:top w:val="nil"/>
              <w:left w:val="nil"/>
              <w:bottom w:val="nil"/>
              <w:right w:val="nil"/>
            </w:tcBorders>
            <w:shd w:val="clear" w:color="000000" w:fill="FFFFFF"/>
            <w:noWrap/>
            <w:vAlign w:val="bottom"/>
            <w:hideMark/>
          </w:tcPr>
          <w:p w14:paraId="2C523BF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0.517</w:t>
            </w:r>
          </w:p>
        </w:tc>
      </w:tr>
      <w:tr w:rsidR="00765F47" w:rsidRPr="00086601" w14:paraId="38C9C0E8" w14:textId="77777777" w:rsidTr="00765F47">
        <w:trPr>
          <w:trHeight w:val="285"/>
        </w:trPr>
        <w:tc>
          <w:tcPr>
            <w:tcW w:w="991" w:type="dxa"/>
            <w:tcBorders>
              <w:top w:val="nil"/>
              <w:left w:val="nil"/>
              <w:bottom w:val="nil"/>
              <w:right w:val="nil"/>
            </w:tcBorders>
            <w:shd w:val="clear" w:color="000000" w:fill="FFFFFF"/>
            <w:noWrap/>
            <w:vAlign w:val="bottom"/>
            <w:hideMark/>
          </w:tcPr>
          <w:p w14:paraId="472AA1F3"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RQ</w:t>
            </w:r>
          </w:p>
        </w:tc>
        <w:tc>
          <w:tcPr>
            <w:tcW w:w="952" w:type="dxa"/>
            <w:tcBorders>
              <w:top w:val="nil"/>
              <w:left w:val="nil"/>
              <w:bottom w:val="nil"/>
              <w:right w:val="nil"/>
            </w:tcBorders>
            <w:shd w:val="clear" w:color="000000" w:fill="FFFFFF"/>
            <w:noWrap/>
            <w:vAlign w:val="bottom"/>
            <w:hideMark/>
          </w:tcPr>
          <w:p w14:paraId="4993BE6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-0.037</w:t>
            </w:r>
          </w:p>
        </w:tc>
        <w:tc>
          <w:tcPr>
            <w:tcW w:w="1103" w:type="dxa"/>
            <w:tcBorders>
              <w:top w:val="nil"/>
              <w:left w:val="nil"/>
              <w:bottom w:val="nil"/>
              <w:right w:val="nil"/>
            </w:tcBorders>
            <w:shd w:val="clear" w:color="000000" w:fill="FFFFFF"/>
            <w:noWrap/>
            <w:vAlign w:val="bottom"/>
            <w:hideMark/>
          </w:tcPr>
          <w:p w14:paraId="43FCF23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0.183</w:t>
            </w:r>
          </w:p>
        </w:tc>
        <w:tc>
          <w:tcPr>
            <w:tcW w:w="952" w:type="dxa"/>
            <w:tcBorders>
              <w:top w:val="nil"/>
              <w:left w:val="nil"/>
              <w:bottom w:val="nil"/>
              <w:right w:val="nil"/>
            </w:tcBorders>
            <w:shd w:val="clear" w:color="000000" w:fill="FFFFFF"/>
            <w:noWrap/>
            <w:vAlign w:val="bottom"/>
            <w:hideMark/>
          </w:tcPr>
          <w:p w14:paraId="59E56F5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-0.121</w:t>
            </w:r>
          </w:p>
        </w:tc>
        <w:tc>
          <w:tcPr>
            <w:tcW w:w="1103" w:type="dxa"/>
            <w:tcBorders>
              <w:top w:val="nil"/>
              <w:left w:val="nil"/>
              <w:bottom w:val="nil"/>
              <w:right w:val="nil"/>
            </w:tcBorders>
            <w:shd w:val="clear" w:color="000000" w:fill="FFFFFF"/>
            <w:noWrap/>
            <w:vAlign w:val="bottom"/>
            <w:hideMark/>
          </w:tcPr>
          <w:p w14:paraId="51EE29E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0.963</w:t>
            </w:r>
          </w:p>
        </w:tc>
      </w:tr>
      <w:tr w:rsidR="00765F47" w:rsidRPr="00086601" w14:paraId="632475EB" w14:textId="77777777" w:rsidTr="00765F47">
        <w:trPr>
          <w:trHeight w:val="285"/>
        </w:trPr>
        <w:tc>
          <w:tcPr>
            <w:tcW w:w="991" w:type="dxa"/>
            <w:tcBorders>
              <w:top w:val="nil"/>
              <w:left w:val="nil"/>
              <w:bottom w:val="nil"/>
              <w:right w:val="nil"/>
            </w:tcBorders>
            <w:shd w:val="clear" w:color="000000" w:fill="FFFFFF"/>
            <w:noWrap/>
            <w:vAlign w:val="bottom"/>
            <w:hideMark/>
          </w:tcPr>
          <w:p w14:paraId="2EFA5D26"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ROL</w:t>
            </w:r>
          </w:p>
        </w:tc>
        <w:tc>
          <w:tcPr>
            <w:tcW w:w="952" w:type="dxa"/>
            <w:tcBorders>
              <w:top w:val="nil"/>
              <w:left w:val="nil"/>
              <w:bottom w:val="nil"/>
              <w:right w:val="nil"/>
            </w:tcBorders>
            <w:shd w:val="clear" w:color="000000" w:fill="FFFFFF"/>
            <w:noWrap/>
            <w:vAlign w:val="bottom"/>
            <w:hideMark/>
          </w:tcPr>
          <w:p w14:paraId="55D43E9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-0.043</w:t>
            </w:r>
          </w:p>
        </w:tc>
        <w:tc>
          <w:tcPr>
            <w:tcW w:w="1103" w:type="dxa"/>
            <w:tcBorders>
              <w:top w:val="nil"/>
              <w:left w:val="nil"/>
              <w:bottom w:val="nil"/>
              <w:right w:val="nil"/>
            </w:tcBorders>
            <w:shd w:val="clear" w:color="000000" w:fill="FFFFFF"/>
            <w:noWrap/>
            <w:vAlign w:val="bottom"/>
            <w:hideMark/>
          </w:tcPr>
          <w:p w14:paraId="4A72F5A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0.241</w:t>
            </w:r>
          </w:p>
        </w:tc>
        <w:tc>
          <w:tcPr>
            <w:tcW w:w="952" w:type="dxa"/>
            <w:tcBorders>
              <w:top w:val="nil"/>
              <w:left w:val="nil"/>
              <w:bottom w:val="nil"/>
              <w:right w:val="nil"/>
            </w:tcBorders>
            <w:shd w:val="clear" w:color="000000" w:fill="FFFFFF"/>
            <w:noWrap/>
            <w:vAlign w:val="bottom"/>
            <w:hideMark/>
          </w:tcPr>
          <w:p w14:paraId="3746379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-0.075</w:t>
            </w:r>
          </w:p>
        </w:tc>
        <w:tc>
          <w:tcPr>
            <w:tcW w:w="1103" w:type="dxa"/>
            <w:tcBorders>
              <w:top w:val="nil"/>
              <w:left w:val="nil"/>
              <w:bottom w:val="nil"/>
              <w:right w:val="nil"/>
            </w:tcBorders>
            <w:shd w:val="clear" w:color="000000" w:fill="FFFFFF"/>
            <w:noWrap/>
            <w:vAlign w:val="bottom"/>
            <w:hideMark/>
          </w:tcPr>
          <w:p w14:paraId="1BCEAF3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0.259</w:t>
            </w:r>
          </w:p>
        </w:tc>
      </w:tr>
      <w:tr w:rsidR="00765F47" w:rsidRPr="00086601" w14:paraId="4D1549A7" w14:textId="77777777" w:rsidTr="00765F47">
        <w:trPr>
          <w:trHeight w:val="285"/>
        </w:trPr>
        <w:tc>
          <w:tcPr>
            <w:tcW w:w="991" w:type="dxa"/>
            <w:tcBorders>
              <w:top w:val="nil"/>
              <w:left w:val="nil"/>
              <w:bottom w:val="nil"/>
              <w:right w:val="nil"/>
            </w:tcBorders>
            <w:shd w:val="clear" w:color="000000" w:fill="FFFFFF"/>
            <w:noWrap/>
            <w:vAlign w:val="bottom"/>
            <w:hideMark/>
          </w:tcPr>
          <w:p w14:paraId="08CCA745"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VA</w:t>
            </w:r>
          </w:p>
        </w:tc>
        <w:tc>
          <w:tcPr>
            <w:tcW w:w="952" w:type="dxa"/>
            <w:tcBorders>
              <w:top w:val="nil"/>
              <w:left w:val="nil"/>
              <w:bottom w:val="nil"/>
              <w:right w:val="nil"/>
            </w:tcBorders>
            <w:shd w:val="clear" w:color="000000" w:fill="FFFFFF"/>
            <w:noWrap/>
            <w:vAlign w:val="bottom"/>
            <w:hideMark/>
          </w:tcPr>
          <w:p w14:paraId="2E39AEF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0.033</w:t>
            </w:r>
          </w:p>
        </w:tc>
        <w:tc>
          <w:tcPr>
            <w:tcW w:w="1103" w:type="dxa"/>
            <w:tcBorders>
              <w:top w:val="nil"/>
              <w:left w:val="nil"/>
              <w:bottom w:val="nil"/>
              <w:right w:val="nil"/>
            </w:tcBorders>
            <w:shd w:val="clear" w:color="000000" w:fill="FFFFFF"/>
            <w:noWrap/>
            <w:vAlign w:val="bottom"/>
            <w:hideMark/>
          </w:tcPr>
          <w:p w14:paraId="75F9728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0.008</w:t>
            </w:r>
          </w:p>
        </w:tc>
        <w:tc>
          <w:tcPr>
            <w:tcW w:w="952" w:type="dxa"/>
            <w:tcBorders>
              <w:top w:val="nil"/>
              <w:left w:val="nil"/>
              <w:bottom w:val="nil"/>
              <w:right w:val="nil"/>
            </w:tcBorders>
            <w:shd w:val="clear" w:color="000000" w:fill="FFFFFF"/>
            <w:noWrap/>
            <w:vAlign w:val="bottom"/>
            <w:hideMark/>
          </w:tcPr>
          <w:p w14:paraId="7DAC4FA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0.092</w:t>
            </w:r>
          </w:p>
        </w:tc>
        <w:tc>
          <w:tcPr>
            <w:tcW w:w="1103" w:type="dxa"/>
            <w:tcBorders>
              <w:top w:val="nil"/>
              <w:left w:val="nil"/>
              <w:bottom w:val="nil"/>
              <w:right w:val="nil"/>
            </w:tcBorders>
            <w:shd w:val="clear" w:color="000000" w:fill="FFFFFF"/>
            <w:noWrap/>
            <w:vAlign w:val="bottom"/>
            <w:hideMark/>
          </w:tcPr>
          <w:p w14:paraId="5677CD8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0.053</w:t>
            </w:r>
          </w:p>
        </w:tc>
      </w:tr>
      <w:tr w:rsidR="00765F47" w:rsidRPr="00086601" w14:paraId="0DA78664" w14:textId="77777777" w:rsidTr="00765F47">
        <w:trPr>
          <w:trHeight w:val="285"/>
        </w:trPr>
        <w:tc>
          <w:tcPr>
            <w:tcW w:w="991" w:type="dxa"/>
            <w:tcBorders>
              <w:top w:val="nil"/>
              <w:left w:val="nil"/>
              <w:bottom w:val="nil"/>
              <w:right w:val="nil"/>
            </w:tcBorders>
            <w:shd w:val="clear" w:color="000000" w:fill="FFFFFF"/>
            <w:noWrap/>
            <w:vAlign w:val="bottom"/>
            <w:hideMark/>
          </w:tcPr>
          <w:p w14:paraId="44B764AF"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R^2</w:t>
            </w:r>
          </w:p>
        </w:tc>
        <w:tc>
          <w:tcPr>
            <w:tcW w:w="952" w:type="dxa"/>
            <w:tcBorders>
              <w:top w:val="nil"/>
              <w:left w:val="nil"/>
              <w:bottom w:val="nil"/>
              <w:right w:val="nil"/>
            </w:tcBorders>
            <w:shd w:val="clear" w:color="000000" w:fill="FFFFFF"/>
            <w:noWrap/>
            <w:vAlign w:val="bottom"/>
            <w:hideMark/>
          </w:tcPr>
          <w:p w14:paraId="4A9E5F5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0.010</w:t>
            </w:r>
          </w:p>
        </w:tc>
        <w:tc>
          <w:tcPr>
            <w:tcW w:w="1103" w:type="dxa"/>
            <w:tcBorders>
              <w:top w:val="nil"/>
              <w:left w:val="nil"/>
              <w:bottom w:val="nil"/>
              <w:right w:val="nil"/>
            </w:tcBorders>
            <w:shd w:val="clear" w:color="000000" w:fill="FFFFFF"/>
            <w:noWrap/>
            <w:vAlign w:val="bottom"/>
            <w:hideMark/>
          </w:tcPr>
          <w:p w14:paraId="38BBAD2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 </w:t>
            </w:r>
          </w:p>
        </w:tc>
        <w:tc>
          <w:tcPr>
            <w:tcW w:w="952" w:type="dxa"/>
            <w:tcBorders>
              <w:top w:val="nil"/>
              <w:left w:val="nil"/>
              <w:bottom w:val="nil"/>
              <w:right w:val="nil"/>
            </w:tcBorders>
            <w:shd w:val="clear" w:color="000000" w:fill="FFFFFF"/>
            <w:noWrap/>
            <w:vAlign w:val="bottom"/>
            <w:hideMark/>
          </w:tcPr>
          <w:p w14:paraId="12EE54E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0.005</w:t>
            </w:r>
          </w:p>
        </w:tc>
        <w:tc>
          <w:tcPr>
            <w:tcW w:w="1103" w:type="dxa"/>
            <w:tcBorders>
              <w:top w:val="nil"/>
              <w:left w:val="nil"/>
              <w:bottom w:val="nil"/>
              <w:right w:val="nil"/>
            </w:tcBorders>
            <w:shd w:val="clear" w:color="000000" w:fill="FFFFFF"/>
            <w:noWrap/>
            <w:vAlign w:val="bottom"/>
            <w:hideMark/>
          </w:tcPr>
          <w:p w14:paraId="5C3C3AC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 </w:t>
            </w:r>
          </w:p>
        </w:tc>
      </w:tr>
      <w:tr w:rsidR="00765F47" w:rsidRPr="00086601" w14:paraId="689E80BE" w14:textId="77777777" w:rsidTr="00765F47">
        <w:trPr>
          <w:trHeight w:val="285"/>
        </w:trPr>
        <w:tc>
          <w:tcPr>
            <w:tcW w:w="991" w:type="dxa"/>
            <w:tcBorders>
              <w:top w:val="nil"/>
              <w:left w:val="nil"/>
              <w:bottom w:val="single" w:sz="4" w:space="0" w:color="auto"/>
              <w:right w:val="nil"/>
            </w:tcBorders>
            <w:shd w:val="clear" w:color="000000" w:fill="FFFFFF"/>
            <w:noWrap/>
            <w:vAlign w:val="bottom"/>
            <w:hideMark/>
          </w:tcPr>
          <w:p w14:paraId="6EDB503D" w14:textId="77777777" w:rsidR="00765F47" w:rsidRPr="00086601" w:rsidRDefault="00765F47" w:rsidP="00765F47">
            <w:pPr>
              <w:spacing w:after="0" w:line="240" w:lineRule="auto"/>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n</w:t>
            </w:r>
          </w:p>
        </w:tc>
        <w:tc>
          <w:tcPr>
            <w:tcW w:w="952" w:type="dxa"/>
            <w:tcBorders>
              <w:top w:val="nil"/>
              <w:left w:val="nil"/>
              <w:bottom w:val="single" w:sz="4" w:space="0" w:color="auto"/>
              <w:right w:val="nil"/>
            </w:tcBorders>
            <w:shd w:val="clear" w:color="000000" w:fill="FFFFFF"/>
            <w:noWrap/>
            <w:vAlign w:val="bottom"/>
            <w:hideMark/>
          </w:tcPr>
          <w:p w14:paraId="6EA230EA" w14:textId="77777777" w:rsidR="00765F47" w:rsidRPr="00086601" w:rsidRDefault="00765F47" w:rsidP="00765F47">
            <w:pPr>
              <w:spacing w:after="0" w:line="240" w:lineRule="auto"/>
              <w:jc w:val="right"/>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1103</w:t>
            </w:r>
          </w:p>
        </w:tc>
        <w:tc>
          <w:tcPr>
            <w:tcW w:w="1103" w:type="dxa"/>
            <w:tcBorders>
              <w:top w:val="nil"/>
              <w:left w:val="nil"/>
              <w:bottom w:val="single" w:sz="4" w:space="0" w:color="auto"/>
              <w:right w:val="nil"/>
            </w:tcBorders>
            <w:shd w:val="clear" w:color="000000" w:fill="FFFFFF"/>
            <w:noWrap/>
            <w:vAlign w:val="bottom"/>
            <w:hideMark/>
          </w:tcPr>
          <w:p w14:paraId="5F3B6B7B" w14:textId="77777777" w:rsidR="00765F47" w:rsidRPr="00086601" w:rsidRDefault="00765F47" w:rsidP="00765F47">
            <w:pPr>
              <w:spacing w:after="0" w:line="240" w:lineRule="auto"/>
              <w:jc w:val="right"/>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 </w:t>
            </w:r>
          </w:p>
        </w:tc>
        <w:tc>
          <w:tcPr>
            <w:tcW w:w="952" w:type="dxa"/>
            <w:tcBorders>
              <w:top w:val="nil"/>
              <w:left w:val="nil"/>
              <w:bottom w:val="single" w:sz="4" w:space="0" w:color="auto"/>
              <w:right w:val="nil"/>
            </w:tcBorders>
            <w:shd w:val="clear" w:color="000000" w:fill="FFFFFF"/>
            <w:noWrap/>
            <w:vAlign w:val="bottom"/>
            <w:hideMark/>
          </w:tcPr>
          <w:p w14:paraId="05972BDF" w14:textId="77777777" w:rsidR="00765F47" w:rsidRPr="00086601" w:rsidRDefault="00765F47" w:rsidP="00765F47">
            <w:pPr>
              <w:spacing w:after="0" w:line="240" w:lineRule="auto"/>
              <w:jc w:val="right"/>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1103</w:t>
            </w:r>
          </w:p>
        </w:tc>
        <w:tc>
          <w:tcPr>
            <w:tcW w:w="1103" w:type="dxa"/>
            <w:tcBorders>
              <w:top w:val="nil"/>
              <w:left w:val="nil"/>
              <w:bottom w:val="single" w:sz="4" w:space="0" w:color="auto"/>
              <w:right w:val="nil"/>
            </w:tcBorders>
            <w:shd w:val="clear" w:color="000000" w:fill="FFFFFF"/>
            <w:noWrap/>
            <w:vAlign w:val="bottom"/>
            <w:hideMark/>
          </w:tcPr>
          <w:p w14:paraId="137AC9D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 </w:t>
            </w:r>
          </w:p>
        </w:tc>
      </w:tr>
    </w:tbl>
    <w:p w14:paraId="53C70125" w14:textId="77777777" w:rsidR="00C25559" w:rsidRPr="00086601" w:rsidRDefault="00C25559" w:rsidP="00C25559">
      <w:pPr>
        <w:spacing w:line="480" w:lineRule="auto"/>
        <w:jc w:val="both"/>
        <w:rPr>
          <w:rFonts w:ascii="Garamond" w:eastAsiaTheme="minorEastAsia" w:hAnsi="Garamond"/>
          <w:sz w:val="24"/>
          <w:szCs w:val="24"/>
        </w:rPr>
      </w:pPr>
    </w:p>
    <w:p w14:paraId="368405A4" w14:textId="18FF2482" w:rsidR="00C25559" w:rsidRPr="00086601" w:rsidRDefault="00C25559" w:rsidP="00765F47">
      <w:pPr>
        <w:spacing w:line="480" w:lineRule="auto"/>
        <w:jc w:val="both"/>
        <w:rPr>
          <w:rFonts w:ascii="Garamond" w:eastAsiaTheme="minorEastAsia" w:hAnsi="Garamond"/>
          <w:sz w:val="24"/>
          <w:szCs w:val="24"/>
        </w:rPr>
      </w:pPr>
      <w:r w:rsidRPr="00086601">
        <w:rPr>
          <w:rFonts w:ascii="Garamond" w:eastAsiaTheme="minorEastAsia" w:hAnsi="Garamond"/>
          <w:sz w:val="24"/>
          <w:szCs w:val="24"/>
        </w:rPr>
        <w:t>The table above indicates mostly insignificance across either model for all independent variables used. The only parameter that shows significance at the 95% confidence level is VA—voice and accountability when the DUVOL target variable was assigned. In the NCSKEW model, this same variable was insignificant at the 95% confidence level.</w:t>
      </w:r>
    </w:p>
    <w:p w14:paraId="18E9AA2A" w14:textId="26ECE694" w:rsidR="00C25559" w:rsidRPr="001F758F" w:rsidRDefault="00C25559" w:rsidP="001F758F">
      <w:pPr>
        <w:pStyle w:val="Heading3"/>
        <w:spacing w:after="240"/>
        <w:rPr>
          <w:rFonts w:ascii="Garamond" w:eastAsiaTheme="minorEastAsia" w:hAnsi="Garamond"/>
          <w:b/>
          <w:bCs/>
          <w:color w:val="000000" w:themeColor="text1"/>
        </w:rPr>
      </w:pPr>
      <w:r w:rsidRPr="001F758F">
        <w:rPr>
          <w:rFonts w:ascii="Garamond" w:eastAsiaTheme="minorEastAsia" w:hAnsi="Garamond"/>
          <w:b/>
          <w:bCs/>
          <w:color w:val="000000" w:themeColor="text1"/>
        </w:rPr>
        <w:t>Hypothesis 4: The effects of country’s individualism and crash risk</w:t>
      </w:r>
    </w:p>
    <w:p w14:paraId="34F363D1" w14:textId="411F6564" w:rsidR="00C25559" w:rsidRPr="00086601" w:rsidRDefault="00C25559" w:rsidP="00C25559">
      <w:pPr>
        <w:spacing w:line="480" w:lineRule="auto"/>
        <w:rPr>
          <w:rFonts w:ascii="Garamond" w:hAnsi="Garamond"/>
          <w:sz w:val="24"/>
          <w:szCs w:val="24"/>
        </w:rPr>
      </w:pPr>
      <w:r w:rsidRPr="00086601">
        <w:rPr>
          <w:rFonts w:ascii="Garamond" w:hAnsi="Garamond"/>
          <w:sz w:val="24"/>
          <w:szCs w:val="24"/>
        </w:rPr>
        <w:t xml:space="preserve">The hypothesis was analyzed at the aggregate level of every country’s crash risk and </w:t>
      </w:r>
      <w:r w:rsidR="00CA73AA" w:rsidRPr="00086601">
        <w:rPr>
          <w:rFonts w:ascii="Garamond" w:hAnsi="Garamond"/>
          <w:sz w:val="24"/>
          <w:szCs w:val="24"/>
        </w:rPr>
        <w:t>an index for individualistic tendencies f</w:t>
      </w:r>
      <w:r w:rsidRPr="00086601">
        <w:rPr>
          <w:rFonts w:ascii="Garamond" w:hAnsi="Garamond"/>
          <w:sz w:val="24"/>
          <w:szCs w:val="24"/>
        </w:rPr>
        <w:t xml:space="preserve">or years available in the period 2000 to 2019. </w:t>
      </w:r>
      <w:r w:rsidR="00AB0788" w:rsidRPr="00086601">
        <w:rPr>
          <w:rFonts w:ascii="Garamond" w:hAnsi="Garamond"/>
          <w:sz w:val="24"/>
          <w:szCs w:val="24"/>
        </w:rPr>
        <w:t xml:space="preserve">In other studies, </w:t>
      </w:r>
      <w:r w:rsidR="00805592" w:rsidRPr="00086601">
        <w:rPr>
          <w:rFonts w:ascii="Garamond" w:hAnsi="Garamond"/>
          <w:sz w:val="24"/>
          <w:szCs w:val="24"/>
        </w:rPr>
        <w:t xml:space="preserve">there are significant linkages to cultural distances between countries and financial market trading (Lucey, Zhang, 2010). </w:t>
      </w:r>
      <w:r w:rsidRPr="00086601">
        <w:rPr>
          <w:rFonts w:ascii="Garamond" w:hAnsi="Garamond"/>
          <w:sz w:val="24"/>
          <w:szCs w:val="24"/>
        </w:rPr>
        <w:t>The table below shows the sample of data distributed over the time period. The table also shows the number of observations in each year, the weight that the observations of each year have over the entire period, and average annual values for IDV, DUVOL, and NCSKEW.</w:t>
      </w:r>
    </w:p>
    <w:p w14:paraId="0F28524A" w14:textId="775E3340" w:rsidR="00C25559" w:rsidRDefault="00C25559" w:rsidP="00765F47">
      <w:pPr>
        <w:spacing w:line="480" w:lineRule="auto"/>
        <w:jc w:val="both"/>
        <w:rPr>
          <w:rFonts w:ascii="Garamond" w:eastAsiaTheme="minorEastAsia" w:hAnsi="Garamond"/>
          <w:sz w:val="24"/>
          <w:szCs w:val="24"/>
        </w:rPr>
      </w:pPr>
    </w:p>
    <w:p w14:paraId="73E10340" w14:textId="1A46A8C3" w:rsidR="00342DDE" w:rsidRDefault="00342DDE" w:rsidP="00765F47">
      <w:pPr>
        <w:spacing w:line="480" w:lineRule="auto"/>
        <w:jc w:val="both"/>
        <w:rPr>
          <w:rFonts w:ascii="Garamond" w:eastAsiaTheme="minorEastAsia" w:hAnsi="Garamond"/>
          <w:sz w:val="24"/>
          <w:szCs w:val="24"/>
        </w:rPr>
      </w:pPr>
    </w:p>
    <w:p w14:paraId="23C4F3B8" w14:textId="77777777" w:rsidR="00342DDE" w:rsidRPr="00086601" w:rsidRDefault="00342DDE" w:rsidP="00765F47">
      <w:pPr>
        <w:spacing w:line="480" w:lineRule="auto"/>
        <w:jc w:val="both"/>
        <w:rPr>
          <w:rFonts w:ascii="Garamond" w:eastAsiaTheme="minorEastAsia" w:hAnsi="Garamond"/>
          <w:sz w:val="24"/>
          <w:szCs w:val="24"/>
        </w:rPr>
      </w:pPr>
    </w:p>
    <w:tbl>
      <w:tblPr>
        <w:tblW w:w="6120" w:type="dxa"/>
        <w:tblLook w:val="04A0" w:firstRow="1" w:lastRow="0" w:firstColumn="1" w:lastColumn="0" w:noHBand="0" w:noVBand="1"/>
      </w:tblPr>
      <w:tblGrid>
        <w:gridCol w:w="759"/>
        <w:gridCol w:w="1412"/>
        <w:gridCol w:w="1055"/>
        <w:gridCol w:w="769"/>
        <w:gridCol w:w="1089"/>
        <w:gridCol w:w="1252"/>
      </w:tblGrid>
      <w:tr w:rsidR="00765F47" w:rsidRPr="00086601" w14:paraId="52F123C4" w14:textId="77777777" w:rsidTr="00765F47">
        <w:trPr>
          <w:trHeight w:val="285"/>
        </w:trPr>
        <w:tc>
          <w:tcPr>
            <w:tcW w:w="6120" w:type="dxa"/>
            <w:gridSpan w:val="6"/>
            <w:tcBorders>
              <w:top w:val="nil"/>
              <w:left w:val="nil"/>
              <w:bottom w:val="single" w:sz="4" w:space="0" w:color="auto"/>
              <w:right w:val="nil"/>
            </w:tcBorders>
            <w:shd w:val="clear" w:color="auto" w:fill="auto"/>
            <w:noWrap/>
            <w:vAlign w:val="bottom"/>
            <w:hideMark/>
          </w:tcPr>
          <w:p w14:paraId="53392945" w14:textId="77777777" w:rsidR="00765F47" w:rsidRPr="00086601" w:rsidRDefault="00765F47" w:rsidP="00765F47">
            <w:pPr>
              <w:spacing w:after="0" w:line="240" w:lineRule="auto"/>
              <w:jc w:val="center"/>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lastRenderedPageBreak/>
              <w:t>Hypothesis 4</w:t>
            </w:r>
          </w:p>
        </w:tc>
      </w:tr>
      <w:tr w:rsidR="00765F47" w:rsidRPr="00086601" w14:paraId="263E84A6" w14:textId="77777777" w:rsidTr="00765F47">
        <w:trPr>
          <w:trHeight w:val="285"/>
        </w:trPr>
        <w:tc>
          <w:tcPr>
            <w:tcW w:w="716" w:type="dxa"/>
            <w:tcBorders>
              <w:top w:val="nil"/>
              <w:left w:val="nil"/>
              <w:bottom w:val="single" w:sz="4" w:space="0" w:color="auto"/>
              <w:right w:val="nil"/>
            </w:tcBorders>
            <w:shd w:val="clear" w:color="000000" w:fill="FFFFFF"/>
            <w:noWrap/>
            <w:vAlign w:val="bottom"/>
            <w:hideMark/>
          </w:tcPr>
          <w:p w14:paraId="07F5FF08" w14:textId="77777777" w:rsidR="00765F47" w:rsidRPr="00086601" w:rsidRDefault="00765F47" w:rsidP="00765F47">
            <w:pPr>
              <w:spacing w:after="0" w:line="240" w:lineRule="auto"/>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Year</w:t>
            </w:r>
          </w:p>
        </w:tc>
        <w:tc>
          <w:tcPr>
            <w:tcW w:w="1412" w:type="dxa"/>
            <w:tcBorders>
              <w:top w:val="nil"/>
              <w:left w:val="nil"/>
              <w:bottom w:val="single" w:sz="4" w:space="0" w:color="auto"/>
              <w:right w:val="nil"/>
            </w:tcBorders>
            <w:shd w:val="clear" w:color="000000" w:fill="FFFFFF"/>
            <w:noWrap/>
            <w:vAlign w:val="bottom"/>
            <w:hideMark/>
          </w:tcPr>
          <w:p w14:paraId="03458DCF"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Frequency</w:t>
            </w:r>
          </w:p>
        </w:tc>
        <w:tc>
          <w:tcPr>
            <w:tcW w:w="1055" w:type="dxa"/>
            <w:tcBorders>
              <w:top w:val="nil"/>
              <w:left w:val="nil"/>
              <w:bottom w:val="single" w:sz="4" w:space="0" w:color="auto"/>
              <w:right w:val="nil"/>
            </w:tcBorders>
            <w:shd w:val="clear" w:color="000000" w:fill="FFFFFF"/>
            <w:noWrap/>
            <w:vAlign w:val="bottom"/>
            <w:hideMark/>
          </w:tcPr>
          <w:p w14:paraId="1E5DDEA5"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Percent</w:t>
            </w:r>
          </w:p>
        </w:tc>
        <w:tc>
          <w:tcPr>
            <w:tcW w:w="769" w:type="dxa"/>
            <w:tcBorders>
              <w:top w:val="nil"/>
              <w:left w:val="nil"/>
              <w:bottom w:val="single" w:sz="4" w:space="0" w:color="auto"/>
              <w:right w:val="nil"/>
            </w:tcBorders>
            <w:shd w:val="clear" w:color="000000" w:fill="FFFFFF"/>
            <w:noWrap/>
            <w:vAlign w:val="bottom"/>
            <w:hideMark/>
          </w:tcPr>
          <w:p w14:paraId="12332C60"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IDV</w:t>
            </w:r>
          </w:p>
        </w:tc>
        <w:tc>
          <w:tcPr>
            <w:tcW w:w="985" w:type="dxa"/>
            <w:tcBorders>
              <w:top w:val="nil"/>
              <w:left w:val="nil"/>
              <w:bottom w:val="single" w:sz="4" w:space="0" w:color="auto"/>
              <w:right w:val="nil"/>
            </w:tcBorders>
            <w:shd w:val="clear" w:color="000000" w:fill="FFFFFF"/>
            <w:noWrap/>
            <w:vAlign w:val="bottom"/>
            <w:hideMark/>
          </w:tcPr>
          <w:p w14:paraId="503A0D7B"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DUVOL</w:t>
            </w:r>
          </w:p>
        </w:tc>
        <w:tc>
          <w:tcPr>
            <w:tcW w:w="1183" w:type="dxa"/>
            <w:tcBorders>
              <w:top w:val="nil"/>
              <w:left w:val="nil"/>
              <w:bottom w:val="single" w:sz="4" w:space="0" w:color="auto"/>
              <w:right w:val="nil"/>
            </w:tcBorders>
            <w:shd w:val="clear" w:color="000000" w:fill="FFFFFF"/>
            <w:noWrap/>
            <w:vAlign w:val="bottom"/>
            <w:hideMark/>
          </w:tcPr>
          <w:p w14:paraId="5E2400C6"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NCSKEW</w:t>
            </w:r>
          </w:p>
        </w:tc>
      </w:tr>
      <w:tr w:rsidR="00765F47" w:rsidRPr="00086601" w14:paraId="51EDCFB8" w14:textId="77777777" w:rsidTr="00765F47">
        <w:trPr>
          <w:trHeight w:val="285"/>
        </w:trPr>
        <w:tc>
          <w:tcPr>
            <w:tcW w:w="716" w:type="dxa"/>
            <w:tcBorders>
              <w:top w:val="nil"/>
              <w:left w:val="nil"/>
              <w:bottom w:val="nil"/>
              <w:right w:val="nil"/>
            </w:tcBorders>
            <w:shd w:val="clear" w:color="000000" w:fill="FFFFFF"/>
            <w:noWrap/>
            <w:vAlign w:val="bottom"/>
            <w:hideMark/>
          </w:tcPr>
          <w:p w14:paraId="47738A2E"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2000</w:t>
            </w:r>
          </w:p>
        </w:tc>
        <w:tc>
          <w:tcPr>
            <w:tcW w:w="1412" w:type="dxa"/>
            <w:tcBorders>
              <w:top w:val="nil"/>
              <w:left w:val="nil"/>
              <w:bottom w:val="nil"/>
              <w:right w:val="nil"/>
            </w:tcBorders>
            <w:shd w:val="clear" w:color="000000" w:fill="FFFFFF"/>
            <w:noWrap/>
            <w:vAlign w:val="bottom"/>
            <w:hideMark/>
          </w:tcPr>
          <w:p w14:paraId="3688D13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40</w:t>
            </w:r>
          </w:p>
        </w:tc>
        <w:tc>
          <w:tcPr>
            <w:tcW w:w="1055" w:type="dxa"/>
            <w:tcBorders>
              <w:top w:val="nil"/>
              <w:left w:val="nil"/>
              <w:bottom w:val="nil"/>
              <w:right w:val="nil"/>
            </w:tcBorders>
            <w:shd w:val="clear" w:color="000000" w:fill="FFFFFF"/>
            <w:noWrap/>
            <w:vAlign w:val="bottom"/>
            <w:hideMark/>
          </w:tcPr>
          <w:p w14:paraId="39CE0D6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4.4</w:t>
            </w:r>
          </w:p>
        </w:tc>
        <w:tc>
          <w:tcPr>
            <w:tcW w:w="769" w:type="dxa"/>
            <w:tcBorders>
              <w:top w:val="nil"/>
              <w:left w:val="nil"/>
              <w:bottom w:val="nil"/>
              <w:right w:val="nil"/>
            </w:tcBorders>
            <w:shd w:val="clear" w:color="000000" w:fill="FFFFFF"/>
            <w:noWrap/>
            <w:vAlign w:val="bottom"/>
            <w:hideMark/>
          </w:tcPr>
          <w:p w14:paraId="30E528F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51.70</w:t>
            </w:r>
          </w:p>
        </w:tc>
        <w:tc>
          <w:tcPr>
            <w:tcW w:w="985" w:type="dxa"/>
            <w:tcBorders>
              <w:top w:val="nil"/>
              <w:left w:val="nil"/>
              <w:bottom w:val="nil"/>
              <w:right w:val="nil"/>
            </w:tcBorders>
            <w:shd w:val="clear" w:color="000000" w:fill="FFFFFF"/>
            <w:noWrap/>
            <w:vAlign w:val="bottom"/>
            <w:hideMark/>
          </w:tcPr>
          <w:p w14:paraId="62628CC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-0.06</w:t>
            </w:r>
          </w:p>
        </w:tc>
        <w:tc>
          <w:tcPr>
            <w:tcW w:w="1183" w:type="dxa"/>
            <w:tcBorders>
              <w:top w:val="nil"/>
              <w:left w:val="nil"/>
              <w:bottom w:val="nil"/>
              <w:right w:val="nil"/>
            </w:tcBorders>
            <w:shd w:val="clear" w:color="000000" w:fill="FFFFFF"/>
            <w:noWrap/>
            <w:vAlign w:val="bottom"/>
            <w:hideMark/>
          </w:tcPr>
          <w:p w14:paraId="79BFE62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-0.13</w:t>
            </w:r>
          </w:p>
        </w:tc>
      </w:tr>
      <w:tr w:rsidR="00765F47" w:rsidRPr="00086601" w14:paraId="76AD5E3C" w14:textId="77777777" w:rsidTr="00765F47">
        <w:trPr>
          <w:trHeight w:val="285"/>
        </w:trPr>
        <w:tc>
          <w:tcPr>
            <w:tcW w:w="716" w:type="dxa"/>
            <w:tcBorders>
              <w:top w:val="nil"/>
              <w:left w:val="nil"/>
              <w:bottom w:val="nil"/>
              <w:right w:val="nil"/>
            </w:tcBorders>
            <w:shd w:val="clear" w:color="000000" w:fill="FFFFFF"/>
            <w:noWrap/>
            <w:vAlign w:val="bottom"/>
            <w:hideMark/>
          </w:tcPr>
          <w:p w14:paraId="2B46A66E"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2001</w:t>
            </w:r>
          </w:p>
        </w:tc>
        <w:tc>
          <w:tcPr>
            <w:tcW w:w="1412" w:type="dxa"/>
            <w:tcBorders>
              <w:top w:val="nil"/>
              <w:left w:val="nil"/>
              <w:bottom w:val="nil"/>
              <w:right w:val="nil"/>
            </w:tcBorders>
            <w:shd w:val="clear" w:color="000000" w:fill="FFFFFF"/>
            <w:noWrap/>
            <w:vAlign w:val="bottom"/>
            <w:hideMark/>
          </w:tcPr>
          <w:p w14:paraId="506B829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40</w:t>
            </w:r>
          </w:p>
        </w:tc>
        <w:tc>
          <w:tcPr>
            <w:tcW w:w="1055" w:type="dxa"/>
            <w:tcBorders>
              <w:top w:val="nil"/>
              <w:left w:val="nil"/>
              <w:bottom w:val="nil"/>
              <w:right w:val="nil"/>
            </w:tcBorders>
            <w:shd w:val="clear" w:color="000000" w:fill="FFFFFF"/>
            <w:noWrap/>
            <w:vAlign w:val="bottom"/>
            <w:hideMark/>
          </w:tcPr>
          <w:p w14:paraId="477E5A7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4.4</w:t>
            </w:r>
          </w:p>
        </w:tc>
        <w:tc>
          <w:tcPr>
            <w:tcW w:w="769" w:type="dxa"/>
            <w:tcBorders>
              <w:top w:val="nil"/>
              <w:left w:val="nil"/>
              <w:bottom w:val="nil"/>
              <w:right w:val="nil"/>
            </w:tcBorders>
            <w:shd w:val="clear" w:color="000000" w:fill="FFFFFF"/>
            <w:noWrap/>
            <w:vAlign w:val="bottom"/>
            <w:hideMark/>
          </w:tcPr>
          <w:p w14:paraId="5560444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51.70</w:t>
            </w:r>
          </w:p>
        </w:tc>
        <w:tc>
          <w:tcPr>
            <w:tcW w:w="985" w:type="dxa"/>
            <w:tcBorders>
              <w:top w:val="nil"/>
              <w:left w:val="nil"/>
              <w:bottom w:val="nil"/>
              <w:right w:val="nil"/>
            </w:tcBorders>
            <w:shd w:val="clear" w:color="000000" w:fill="FFFFFF"/>
            <w:noWrap/>
            <w:vAlign w:val="bottom"/>
            <w:hideMark/>
          </w:tcPr>
          <w:p w14:paraId="6927CCC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0.18</w:t>
            </w:r>
          </w:p>
        </w:tc>
        <w:tc>
          <w:tcPr>
            <w:tcW w:w="1183" w:type="dxa"/>
            <w:tcBorders>
              <w:top w:val="nil"/>
              <w:left w:val="nil"/>
              <w:bottom w:val="nil"/>
              <w:right w:val="nil"/>
            </w:tcBorders>
            <w:shd w:val="clear" w:color="000000" w:fill="FFFFFF"/>
            <w:noWrap/>
            <w:vAlign w:val="bottom"/>
            <w:hideMark/>
          </w:tcPr>
          <w:p w14:paraId="36E7D39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0.96</w:t>
            </w:r>
          </w:p>
        </w:tc>
      </w:tr>
      <w:tr w:rsidR="00765F47" w:rsidRPr="00086601" w14:paraId="0C286C62" w14:textId="77777777" w:rsidTr="00765F47">
        <w:trPr>
          <w:trHeight w:val="285"/>
        </w:trPr>
        <w:tc>
          <w:tcPr>
            <w:tcW w:w="716" w:type="dxa"/>
            <w:tcBorders>
              <w:top w:val="nil"/>
              <w:left w:val="nil"/>
              <w:bottom w:val="nil"/>
              <w:right w:val="nil"/>
            </w:tcBorders>
            <w:shd w:val="clear" w:color="000000" w:fill="FFFFFF"/>
            <w:noWrap/>
            <w:vAlign w:val="bottom"/>
            <w:hideMark/>
          </w:tcPr>
          <w:p w14:paraId="740512D6"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2002</w:t>
            </w:r>
          </w:p>
        </w:tc>
        <w:tc>
          <w:tcPr>
            <w:tcW w:w="1412" w:type="dxa"/>
            <w:tcBorders>
              <w:top w:val="nil"/>
              <w:left w:val="nil"/>
              <w:bottom w:val="nil"/>
              <w:right w:val="nil"/>
            </w:tcBorders>
            <w:shd w:val="clear" w:color="000000" w:fill="FFFFFF"/>
            <w:noWrap/>
            <w:vAlign w:val="bottom"/>
            <w:hideMark/>
          </w:tcPr>
          <w:p w14:paraId="01B0A37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40</w:t>
            </w:r>
          </w:p>
        </w:tc>
        <w:tc>
          <w:tcPr>
            <w:tcW w:w="1055" w:type="dxa"/>
            <w:tcBorders>
              <w:top w:val="nil"/>
              <w:left w:val="nil"/>
              <w:bottom w:val="nil"/>
              <w:right w:val="nil"/>
            </w:tcBorders>
            <w:shd w:val="clear" w:color="000000" w:fill="FFFFFF"/>
            <w:noWrap/>
            <w:vAlign w:val="bottom"/>
            <w:hideMark/>
          </w:tcPr>
          <w:p w14:paraId="707AD7B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4.4</w:t>
            </w:r>
          </w:p>
        </w:tc>
        <w:tc>
          <w:tcPr>
            <w:tcW w:w="769" w:type="dxa"/>
            <w:tcBorders>
              <w:top w:val="nil"/>
              <w:left w:val="nil"/>
              <w:bottom w:val="nil"/>
              <w:right w:val="nil"/>
            </w:tcBorders>
            <w:shd w:val="clear" w:color="000000" w:fill="FFFFFF"/>
            <w:noWrap/>
            <w:vAlign w:val="bottom"/>
            <w:hideMark/>
          </w:tcPr>
          <w:p w14:paraId="33B2E4D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51.70</w:t>
            </w:r>
          </w:p>
        </w:tc>
        <w:tc>
          <w:tcPr>
            <w:tcW w:w="985" w:type="dxa"/>
            <w:tcBorders>
              <w:top w:val="nil"/>
              <w:left w:val="nil"/>
              <w:bottom w:val="nil"/>
              <w:right w:val="nil"/>
            </w:tcBorders>
            <w:shd w:val="clear" w:color="000000" w:fill="FFFFFF"/>
            <w:noWrap/>
            <w:vAlign w:val="bottom"/>
            <w:hideMark/>
          </w:tcPr>
          <w:p w14:paraId="71012C9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0.05</w:t>
            </w:r>
          </w:p>
        </w:tc>
        <w:tc>
          <w:tcPr>
            <w:tcW w:w="1183" w:type="dxa"/>
            <w:tcBorders>
              <w:top w:val="nil"/>
              <w:left w:val="nil"/>
              <w:bottom w:val="nil"/>
              <w:right w:val="nil"/>
            </w:tcBorders>
            <w:shd w:val="clear" w:color="000000" w:fill="FFFFFF"/>
            <w:noWrap/>
            <w:vAlign w:val="bottom"/>
            <w:hideMark/>
          </w:tcPr>
          <w:p w14:paraId="5517C68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0.09</w:t>
            </w:r>
          </w:p>
        </w:tc>
      </w:tr>
      <w:tr w:rsidR="00765F47" w:rsidRPr="00086601" w14:paraId="1999A591" w14:textId="77777777" w:rsidTr="00765F47">
        <w:trPr>
          <w:trHeight w:val="285"/>
        </w:trPr>
        <w:tc>
          <w:tcPr>
            <w:tcW w:w="716" w:type="dxa"/>
            <w:tcBorders>
              <w:top w:val="nil"/>
              <w:left w:val="nil"/>
              <w:bottom w:val="nil"/>
              <w:right w:val="nil"/>
            </w:tcBorders>
            <w:shd w:val="clear" w:color="000000" w:fill="FFFFFF"/>
            <w:noWrap/>
            <w:vAlign w:val="bottom"/>
            <w:hideMark/>
          </w:tcPr>
          <w:p w14:paraId="05D2B3B0"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2003</w:t>
            </w:r>
          </w:p>
        </w:tc>
        <w:tc>
          <w:tcPr>
            <w:tcW w:w="1412" w:type="dxa"/>
            <w:tcBorders>
              <w:top w:val="nil"/>
              <w:left w:val="nil"/>
              <w:bottom w:val="nil"/>
              <w:right w:val="nil"/>
            </w:tcBorders>
            <w:shd w:val="clear" w:color="000000" w:fill="FFFFFF"/>
            <w:noWrap/>
            <w:vAlign w:val="bottom"/>
            <w:hideMark/>
          </w:tcPr>
          <w:p w14:paraId="7F44105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40</w:t>
            </w:r>
          </w:p>
        </w:tc>
        <w:tc>
          <w:tcPr>
            <w:tcW w:w="1055" w:type="dxa"/>
            <w:tcBorders>
              <w:top w:val="nil"/>
              <w:left w:val="nil"/>
              <w:bottom w:val="nil"/>
              <w:right w:val="nil"/>
            </w:tcBorders>
            <w:shd w:val="clear" w:color="000000" w:fill="FFFFFF"/>
            <w:noWrap/>
            <w:vAlign w:val="bottom"/>
            <w:hideMark/>
          </w:tcPr>
          <w:p w14:paraId="7134F78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4.4</w:t>
            </w:r>
          </w:p>
        </w:tc>
        <w:tc>
          <w:tcPr>
            <w:tcW w:w="769" w:type="dxa"/>
            <w:tcBorders>
              <w:top w:val="nil"/>
              <w:left w:val="nil"/>
              <w:bottom w:val="nil"/>
              <w:right w:val="nil"/>
            </w:tcBorders>
            <w:shd w:val="clear" w:color="000000" w:fill="FFFFFF"/>
            <w:noWrap/>
            <w:vAlign w:val="bottom"/>
            <w:hideMark/>
          </w:tcPr>
          <w:p w14:paraId="18081EC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51.70</w:t>
            </w:r>
          </w:p>
        </w:tc>
        <w:tc>
          <w:tcPr>
            <w:tcW w:w="985" w:type="dxa"/>
            <w:tcBorders>
              <w:top w:val="nil"/>
              <w:left w:val="nil"/>
              <w:bottom w:val="nil"/>
              <w:right w:val="nil"/>
            </w:tcBorders>
            <w:shd w:val="clear" w:color="000000" w:fill="FFFFFF"/>
            <w:noWrap/>
            <w:vAlign w:val="bottom"/>
            <w:hideMark/>
          </w:tcPr>
          <w:p w14:paraId="0A90949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0.00</w:t>
            </w:r>
          </w:p>
        </w:tc>
        <w:tc>
          <w:tcPr>
            <w:tcW w:w="1183" w:type="dxa"/>
            <w:tcBorders>
              <w:top w:val="nil"/>
              <w:left w:val="nil"/>
              <w:bottom w:val="nil"/>
              <w:right w:val="nil"/>
            </w:tcBorders>
            <w:shd w:val="clear" w:color="000000" w:fill="FFFFFF"/>
            <w:noWrap/>
            <w:vAlign w:val="bottom"/>
            <w:hideMark/>
          </w:tcPr>
          <w:p w14:paraId="67A0A9A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-0.08</w:t>
            </w:r>
          </w:p>
        </w:tc>
      </w:tr>
      <w:tr w:rsidR="00765F47" w:rsidRPr="00086601" w14:paraId="25BC6062" w14:textId="77777777" w:rsidTr="00765F47">
        <w:trPr>
          <w:trHeight w:val="285"/>
        </w:trPr>
        <w:tc>
          <w:tcPr>
            <w:tcW w:w="716" w:type="dxa"/>
            <w:tcBorders>
              <w:top w:val="nil"/>
              <w:left w:val="nil"/>
              <w:bottom w:val="nil"/>
              <w:right w:val="nil"/>
            </w:tcBorders>
            <w:shd w:val="clear" w:color="000000" w:fill="FFFFFF"/>
            <w:noWrap/>
            <w:vAlign w:val="bottom"/>
            <w:hideMark/>
          </w:tcPr>
          <w:p w14:paraId="3671781B"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2004</w:t>
            </w:r>
          </w:p>
        </w:tc>
        <w:tc>
          <w:tcPr>
            <w:tcW w:w="1412" w:type="dxa"/>
            <w:tcBorders>
              <w:top w:val="nil"/>
              <w:left w:val="nil"/>
              <w:bottom w:val="nil"/>
              <w:right w:val="nil"/>
            </w:tcBorders>
            <w:shd w:val="clear" w:color="000000" w:fill="FFFFFF"/>
            <w:noWrap/>
            <w:vAlign w:val="bottom"/>
            <w:hideMark/>
          </w:tcPr>
          <w:p w14:paraId="3A1961C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40</w:t>
            </w:r>
          </w:p>
        </w:tc>
        <w:tc>
          <w:tcPr>
            <w:tcW w:w="1055" w:type="dxa"/>
            <w:tcBorders>
              <w:top w:val="nil"/>
              <w:left w:val="nil"/>
              <w:bottom w:val="nil"/>
              <w:right w:val="nil"/>
            </w:tcBorders>
            <w:shd w:val="clear" w:color="000000" w:fill="FFFFFF"/>
            <w:noWrap/>
            <w:vAlign w:val="bottom"/>
            <w:hideMark/>
          </w:tcPr>
          <w:p w14:paraId="7AC8CB1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4.4</w:t>
            </w:r>
          </w:p>
        </w:tc>
        <w:tc>
          <w:tcPr>
            <w:tcW w:w="769" w:type="dxa"/>
            <w:tcBorders>
              <w:top w:val="nil"/>
              <w:left w:val="nil"/>
              <w:bottom w:val="nil"/>
              <w:right w:val="nil"/>
            </w:tcBorders>
            <w:shd w:val="clear" w:color="000000" w:fill="FFFFFF"/>
            <w:noWrap/>
            <w:vAlign w:val="bottom"/>
            <w:hideMark/>
          </w:tcPr>
          <w:p w14:paraId="0423E2E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51.70</w:t>
            </w:r>
          </w:p>
        </w:tc>
        <w:tc>
          <w:tcPr>
            <w:tcW w:w="985" w:type="dxa"/>
            <w:tcBorders>
              <w:top w:val="nil"/>
              <w:left w:val="nil"/>
              <w:bottom w:val="nil"/>
              <w:right w:val="nil"/>
            </w:tcBorders>
            <w:shd w:val="clear" w:color="000000" w:fill="FFFFFF"/>
            <w:noWrap/>
            <w:vAlign w:val="bottom"/>
            <w:hideMark/>
          </w:tcPr>
          <w:p w14:paraId="6FC3D47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-0.02</w:t>
            </w:r>
          </w:p>
        </w:tc>
        <w:tc>
          <w:tcPr>
            <w:tcW w:w="1183" w:type="dxa"/>
            <w:tcBorders>
              <w:top w:val="nil"/>
              <w:left w:val="nil"/>
              <w:bottom w:val="nil"/>
              <w:right w:val="nil"/>
            </w:tcBorders>
            <w:shd w:val="clear" w:color="000000" w:fill="FFFFFF"/>
            <w:noWrap/>
            <w:vAlign w:val="bottom"/>
            <w:hideMark/>
          </w:tcPr>
          <w:p w14:paraId="46BB97D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-0.14</w:t>
            </w:r>
          </w:p>
        </w:tc>
      </w:tr>
      <w:tr w:rsidR="00765F47" w:rsidRPr="00086601" w14:paraId="6BAF1797" w14:textId="77777777" w:rsidTr="00765F47">
        <w:trPr>
          <w:trHeight w:val="285"/>
        </w:trPr>
        <w:tc>
          <w:tcPr>
            <w:tcW w:w="716" w:type="dxa"/>
            <w:tcBorders>
              <w:top w:val="nil"/>
              <w:left w:val="nil"/>
              <w:bottom w:val="nil"/>
              <w:right w:val="nil"/>
            </w:tcBorders>
            <w:shd w:val="clear" w:color="000000" w:fill="FFFFFF"/>
            <w:noWrap/>
            <w:vAlign w:val="bottom"/>
            <w:hideMark/>
          </w:tcPr>
          <w:p w14:paraId="46CA4433"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2005</w:t>
            </w:r>
          </w:p>
        </w:tc>
        <w:tc>
          <w:tcPr>
            <w:tcW w:w="1412" w:type="dxa"/>
            <w:tcBorders>
              <w:top w:val="nil"/>
              <w:left w:val="nil"/>
              <w:bottom w:val="nil"/>
              <w:right w:val="nil"/>
            </w:tcBorders>
            <w:shd w:val="clear" w:color="000000" w:fill="FFFFFF"/>
            <w:noWrap/>
            <w:vAlign w:val="bottom"/>
            <w:hideMark/>
          </w:tcPr>
          <w:p w14:paraId="58A745F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40</w:t>
            </w:r>
          </w:p>
        </w:tc>
        <w:tc>
          <w:tcPr>
            <w:tcW w:w="1055" w:type="dxa"/>
            <w:tcBorders>
              <w:top w:val="nil"/>
              <w:left w:val="nil"/>
              <w:bottom w:val="nil"/>
              <w:right w:val="nil"/>
            </w:tcBorders>
            <w:shd w:val="clear" w:color="000000" w:fill="FFFFFF"/>
            <w:noWrap/>
            <w:vAlign w:val="bottom"/>
            <w:hideMark/>
          </w:tcPr>
          <w:p w14:paraId="24352FF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4.4</w:t>
            </w:r>
          </w:p>
        </w:tc>
        <w:tc>
          <w:tcPr>
            <w:tcW w:w="769" w:type="dxa"/>
            <w:tcBorders>
              <w:top w:val="nil"/>
              <w:left w:val="nil"/>
              <w:bottom w:val="nil"/>
              <w:right w:val="nil"/>
            </w:tcBorders>
            <w:shd w:val="clear" w:color="000000" w:fill="FFFFFF"/>
            <w:noWrap/>
            <w:vAlign w:val="bottom"/>
            <w:hideMark/>
          </w:tcPr>
          <w:p w14:paraId="277CDE0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51.70</w:t>
            </w:r>
          </w:p>
        </w:tc>
        <w:tc>
          <w:tcPr>
            <w:tcW w:w="985" w:type="dxa"/>
            <w:tcBorders>
              <w:top w:val="nil"/>
              <w:left w:val="nil"/>
              <w:bottom w:val="nil"/>
              <w:right w:val="nil"/>
            </w:tcBorders>
            <w:shd w:val="clear" w:color="000000" w:fill="FFFFFF"/>
            <w:noWrap/>
            <w:vAlign w:val="bottom"/>
            <w:hideMark/>
          </w:tcPr>
          <w:p w14:paraId="7C5EBC8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0.02</w:t>
            </w:r>
          </w:p>
        </w:tc>
        <w:tc>
          <w:tcPr>
            <w:tcW w:w="1183" w:type="dxa"/>
            <w:tcBorders>
              <w:top w:val="nil"/>
              <w:left w:val="nil"/>
              <w:bottom w:val="nil"/>
              <w:right w:val="nil"/>
            </w:tcBorders>
            <w:shd w:val="clear" w:color="000000" w:fill="FFFFFF"/>
            <w:noWrap/>
            <w:vAlign w:val="bottom"/>
            <w:hideMark/>
          </w:tcPr>
          <w:p w14:paraId="5974AA1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0.01</w:t>
            </w:r>
          </w:p>
        </w:tc>
      </w:tr>
      <w:tr w:rsidR="00765F47" w:rsidRPr="00086601" w14:paraId="0B7B5338" w14:textId="77777777" w:rsidTr="00765F47">
        <w:trPr>
          <w:trHeight w:val="285"/>
        </w:trPr>
        <w:tc>
          <w:tcPr>
            <w:tcW w:w="716" w:type="dxa"/>
            <w:tcBorders>
              <w:top w:val="nil"/>
              <w:left w:val="nil"/>
              <w:bottom w:val="nil"/>
              <w:right w:val="nil"/>
            </w:tcBorders>
            <w:shd w:val="clear" w:color="000000" w:fill="FFFFFF"/>
            <w:noWrap/>
            <w:vAlign w:val="bottom"/>
            <w:hideMark/>
          </w:tcPr>
          <w:p w14:paraId="3728DBC4"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2006</w:t>
            </w:r>
          </w:p>
        </w:tc>
        <w:tc>
          <w:tcPr>
            <w:tcW w:w="1412" w:type="dxa"/>
            <w:tcBorders>
              <w:top w:val="nil"/>
              <w:left w:val="nil"/>
              <w:bottom w:val="nil"/>
              <w:right w:val="nil"/>
            </w:tcBorders>
            <w:shd w:val="clear" w:color="000000" w:fill="FFFFFF"/>
            <w:noWrap/>
            <w:vAlign w:val="bottom"/>
            <w:hideMark/>
          </w:tcPr>
          <w:p w14:paraId="3583B4D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41</w:t>
            </w:r>
          </w:p>
        </w:tc>
        <w:tc>
          <w:tcPr>
            <w:tcW w:w="1055" w:type="dxa"/>
            <w:tcBorders>
              <w:top w:val="nil"/>
              <w:left w:val="nil"/>
              <w:bottom w:val="nil"/>
              <w:right w:val="nil"/>
            </w:tcBorders>
            <w:shd w:val="clear" w:color="000000" w:fill="FFFFFF"/>
            <w:noWrap/>
            <w:vAlign w:val="bottom"/>
            <w:hideMark/>
          </w:tcPr>
          <w:p w14:paraId="18BE40C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4.51</w:t>
            </w:r>
          </w:p>
        </w:tc>
        <w:tc>
          <w:tcPr>
            <w:tcW w:w="769" w:type="dxa"/>
            <w:tcBorders>
              <w:top w:val="nil"/>
              <w:left w:val="nil"/>
              <w:bottom w:val="nil"/>
              <w:right w:val="nil"/>
            </w:tcBorders>
            <w:shd w:val="clear" w:color="000000" w:fill="FFFFFF"/>
            <w:noWrap/>
            <w:vAlign w:val="bottom"/>
            <w:hideMark/>
          </w:tcPr>
          <w:p w14:paraId="55C7D88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51.05</w:t>
            </w:r>
          </w:p>
        </w:tc>
        <w:tc>
          <w:tcPr>
            <w:tcW w:w="985" w:type="dxa"/>
            <w:tcBorders>
              <w:top w:val="nil"/>
              <w:left w:val="nil"/>
              <w:bottom w:val="nil"/>
              <w:right w:val="nil"/>
            </w:tcBorders>
            <w:shd w:val="clear" w:color="000000" w:fill="FFFFFF"/>
            <w:noWrap/>
            <w:vAlign w:val="bottom"/>
            <w:hideMark/>
          </w:tcPr>
          <w:p w14:paraId="6EC987E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-0.04</w:t>
            </w:r>
          </w:p>
        </w:tc>
        <w:tc>
          <w:tcPr>
            <w:tcW w:w="1183" w:type="dxa"/>
            <w:tcBorders>
              <w:top w:val="nil"/>
              <w:left w:val="nil"/>
              <w:bottom w:val="nil"/>
              <w:right w:val="nil"/>
            </w:tcBorders>
            <w:shd w:val="clear" w:color="000000" w:fill="FFFFFF"/>
            <w:noWrap/>
            <w:vAlign w:val="bottom"/>
            <w:hideMark/>
          </w:tcPr>
          <w:p w14:paraId="446FAE3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-0.17</w:t>
            </w:r>
          </w:p>
        </w:tc>
      </w:tr>
      <w:tr w:rsidR="00765F47" w:rsidRPr="00086601" w14:paraId="7F7A0018" w14:textId="77777777" w:rsidTr="00765F47">
        <w:trPr>
          <w:trHeight w:val="285"/>
        </w:trPr>
        <w:tc>
          <w:tcPr>
            <w:tcW w:w="716" w:type="dxa"/>
            <w:tcBorders>
              <w:top w:val="nil"/>
              <w:left w:val="nil"/>
              <w:bottom w:val="nil"/>
              <w:right w:val="nil"/>
            </w:tcBorders>
            <w:shd w:val="clear" w:color="000000" w:fill="FFFFFF"/>
            <w:noWrap/>
            <w:vAlign w:val="bottom"/>
            <w:hideMark/>
          </w:tcPr>
          <w:p w14:paraId="153439A7"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2007</w:t>
            </w:r>
          </w:p>
        </w:tc>
        <w:tc>
          <w:tcPr>
            <w:tcW w:w="1412" w:type="dxa"/>
            <w:tcBorders>
              <w:top w:val="nil"/>
              <w:left w:val="nil"/>
              <w:bottom w:val="nil"/>
              <w:right w:val="nil"/>
            </w:tcBorders>
            <w:shd w:val="clear" w:color="000000" w:fill="FFFFFF"/>
            <w:noWrap/>
            <w:vAlign w:val="bottom"/>
            <w:hideMark/>
          </w:tcPr>
          <w:p w14:paraId="0F9478E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41</w:t>
            </w:r>
          </w:p>
        </w:tc>
        <w:tc>
          <w:tcPr>
            <w:tcW w:w="1055" w:type="dxa"/>
            <w:tcBorders>
              <w:top w:val="nil"/>
              <w:left w:val="nil"/>
              <w:bottom w:val="nil"/>
              <w:right w:val="nil"/>
            </w:tcBorders>
            <w:shd w:val="clear" w:color="000000" w:fill="FFFFFF"/>
            <w:noWrap/>
            <w:vAlign w:val="bottom"/>
            <w:hideMark/>
          </w:tcPr>
          <w:p w14:paraId="4DEE5F4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4.51</w:t>
            </w:r>
          </w:p>
        </w:tc>
        <w:tc>
          <w:tcPr>
            <w:tcW w:w="769" w:type="dxa"/>
            <w:tcBorders>
              <w:top w:val="nil"/>
              <w:left w:val="nil"/>
              <w:bottom w:val="nil"/>
              <w:right w:val="nil"/>
            </w:tcBorders>
            <w:shd w:val="clear" w:color="000000" w:fill="FFFFFF"/>
            <w:noWrap/>
            <w:vAlign w:val="bottom"/>
            <w:hideMark/>
          </w:tcPr>
          <w:p w14:paraId="4CCAE7B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51.05</w:t>
            </w:r>
          </w:p>
        </w:tc>
        <w:tc>
          <w:tcPr>
            <w:tcW w:w="985" w:type="dxa"/>
            <w:tcBorders>
              <w:top w:val="nil"/>
              <w:left w:val="nil"/>
              <w:bottom w:val="nil"/>
              <w:right w:val="nil"/>
            </w:tcBorders>
            <w:shd w:val="clear" w:color="000000" w:fill="FFFFFF"/>
            <w:noWrap/>
            <w:vAlign w:val="bottom"/>
            <w:hideMark/>
          </w:tcPr>
          <w:p w14:paraId="1F2809A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0.05</w:t>
            </w:r>
          </w:p>
        </w:tc>
        <w:tc>
          <w:tcPr>
            <w:tcW w:w="1183" w:type="dxa"/>
            <w:tcBorders>
              <w:top w:val="nil"/>
              <w:left w:val="nil"/>
              <w:bottom w:val="nil"/>
              <w:right w:val="nil"/>
            </w:tcBorders>
            <w:shd w:val="clear" w:color="000000" w:fill="FFFFFF"/>
            <w:noWrap/>
            <w:vAlign w:val="bottom"/>
            <w:hideMark/>
          </w:tcPr>
          <w:p w14:paraId="5E084CD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0.13</w:t>
            </w:r>
          </w:p>
        </w:tc>
      </w:tr>
      <w:tr w:rsidR="00765F47" w:rsidRPr="00086601" w14:paraId="3D8B1EE5" w14:textId="77777777" w:rsidTr="00765F47">
        <w:trPr>
          <w:trHeight w:val="285"/>
        </w:trPr>
        <w:tc>
          <w:tcPr>
            <w:tcW w:w="716" w:type="dxa"/>
            <w:tcBorders>
              <w:top w:val="nil"/>
              <w:left w:val="nil"/>
              <w:bottom w:val="nil"/>
              <w:right w:val="nil"/>
            </w:tcBorders>
            <w:shd w:val="clear" w:color="000000" w:fill="FFFFFF"/>
            <w:noWrap/>
            <w:vAlign w:val="bottom"/>
            <w:hideMark/>
          </w:tcPr>
          <w:p w14:paraId="066286F1"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2008</w:t>
            </w:r>
          </w:p>
        </w:tc>
        <w:tc>
          <w:tcPr>
            <w:tcW w:w="1412" w:type="dxa"/>
            <w:tcBorders>
              <w:top w:val="nil"/>
              <w:left w:val="nil"/>
              <w:bottom w:val="nil"/>
              <w:right w:val="nil"/>
            </w:tcBorders>
            <w:shd w:val="clear" w:color="000000" w:fill="FFFFFF"/>
            <w:noWrap/>
            <w:vAlign w:val="bottom"/>
            <w:hideMark/>
          </w:tcPr>
          <w:p w14:paraId="0CDF868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41</w:t>
            </w:r>
          </w:p>
        </w:tc>
        <w:tc>
          <w:tcPr>
            <w:tcW w:w="1055" w:type="dxa"/>
            <w:tcBorders>
              <w:top w:val="nil"/>
              <w:left w:val="nil"/>
              <w:bottom w:val="nil"/>
              <w:right w:val="nil"/>
            </w:tcBorders>
            <w:shd w:val="clear" w:color="000000" w:fill="FFFFFF"/>
            <w:noWrap/>
            <w:vAlign w:val="bottom"/>
            <w:hideMark/>
          </w:tcPr>
          <w:p w14:paraId="7638744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4.51</w:t>
            </w:r>
          </w:p>
        </w:tc>
        <w:tc>
          <w:tcPr>
            <w:tcW w:w="769" w:type="dxa"/>
            <w:tcBorders>
              <w:top w:val="nil"/>
              <w:left w:val="nil"/>
              <w:bottom w:val="nil"/>
              <w:right w:val="nil"/>
            </w:tcBorders>
            <w:shd w:val="clear" w:color="000000" w:fill="FFFFFF"/>
            <w:noWrap/>
            <w:vAlign w:val="bottom"/>
            <w:hideMark/>
          </w:tcPr>
          <w:p w14:paraId="6ED1D16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51.05</w:t>
            </w:r>
          </w:p>
        </w:tc>
        <w:tc>
          <w:tcPr>
            <w:tcW w:w="985" w:type="dxa"/>
            <w:tcBorders>
              <w:top w:val="nil"/>
              <w:left w:val="nil"/>
              <w:bottom w:val="nil"/>
              <w:right w:val="nil"/>
            </w:tcBorders>
            <w:shd w:val="clear" w:color="000000" w:fill="FFFFFF"/>
            <w:noWrap/>
            <w:vAlign w:val="bottom"/>
            <w:hideMark/>
          </w:tcPr>
          <w:p w14:paraId="025C831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0.08</w:t>
            </w:r>
          </w:p>
        </w:tc>
        <w:tc>
          <w:tcPr>
            <w:tcW w:w="1183" w:type="dxa"/>
            <w:tcBorders>
              <w:top w:val="nil"/>
              <w:left w:val="nil"/>
              <w:bottom w:val="nil"/>
              <w:right w:val="nil"/>
            </w:tcBorders>
            <w:shd w:val="clear" w:color="000000" w:fill="FFFFFF"/>
            <w:noWrap/>
            <w:vAlign w:val="bottom"/>
            <w:hideMark/>
          </w:tcPr>
          <w:p w14:paraId="321DD54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0.28</w:t>
            </w:r>
          </w:p>
        </w:tc>
      </w:tr>
      <w:tr w:rsidR="00765F47" w:rsidRPr="00086601" w14:paraId="1B4E4FE5" w14:textId="77777777" w:rsidTr="00765F47">
        <w:trPr>
          <w:trHeight w:val="285"/>
        </w:trPr>
        <w:tc>
          <w:tcPr>
            <w:tcW w:w="716" w:type="dxa"/>
            <w:tcBorders>
              <w:top w:val="nil"/>
              <w:left w:val="nil"/>
              <w:bottom w:val="nil"/>
              <w:right w:val="nil"/>
            </w:tcBorders>
            <w:shd w:val="clear" w:color="000000" w:fill="FFFFFF"/>
            <w:noWrap/>
            <w:vAlign w:val="bottom"/>
            <w:hideMark/>
          </w:tcPr>
          <w:p w14:paraId="1D2D0079"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2009</w:t>
            </w:r>
          </w:p>
        </w:tc>
        <w:tc>
          <w:tcPr>
            <w:tcW w:w="1412" w:type="dxa"/>
            <w:tcBorders>
              <w:top w:val="nil"/>
              <w:left w:val="nil"/>
              <w:bottom w:val="nil"/>
              <w:right w:val="nil"/>
            </w:tcBorders>
            <w:shd w:val="clear" w:color="000000" w:fill="FFFFFF"/>
            <w:noWrap/>
            <w:vAlign w:val="bottom"/>
            <w:hideMark/>
          </w:tcPr>
          <w:p w14:paraId="6277EE2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46</w:t>
            </w:r>
          </w:p>
        </w:tc>
        <w:tc>
          <w:tcPr>
            <w:tcW w:w="1055" w:type="dxa"/>
            <w:tcBorders>
              <w:top w:val="nil"/>
              <w:left w:val="nil"/>
              <w:bottom w:val="nil"/>
              <w:right w:val="nil"/>
            </w:tcBorders>
            <w:shd w:val="clear" w:color="000000" w:fill="FFFFFF"/>
            <w:noWrap/>
            <w:vAlign w:val="bottom"/>
            <w:hideMark/>
          </w:tcPr>
          <w:p w14:paraId="2DF86A5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5.06</w:t>
            </w:r>
          </w:p>
        </w:tc>
        <w:tc>
          <w:tcPr>
            <w:tcW w:w="769" w:type="dxa"/>
            <w:tcBorders>
              <w:top w:val="nil"/>
              <w:left w:val="nil"/>
              <w:bottom w:val="nil"/>
              <w:right w:val="nil"/>
            </w:tcBorders>
            <w:shd w:val="clear" w:color="000000" w:fill="FFFFFF"/>
            <w:noWrap/>
            <w:vAlign w:val="bottom"/>
            <w:hideMark/>
          </w:tcPr>
          <w:p w14:paraId="2E1393F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48.54</w:t>
            </w:r>
          </w:p>
        </w:tc>
        <w:tc>
          <w:tcPr>
            <w:tcW w:w="985" w:type="dxa"/>
            <w:tcBorders>
              <w:top w:val="nil"/>
              <w:left w:val="nil"/>
              <w:bottom w:val="nil"/>
              <w:right w:val="nil"/>
            </w:tcBorders>
            <w:shd w:val="clear" w:color="000000" w:fill="FFFFFF"/>
            <w:noWrap/>
            <w:vAlign w:val="bottom"/>
            <w:hideMark/>
          </w:tcPr>
          <w:p w14:paraId="401F81A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-0.04</w:t>
            </w:r>
          </w:p>
        </w:tc>
        <w:tc>
          <w:tcPr>
            <w:tcW w:w="1183" w:type="dxa"/>
            <w:tcBorders>
              <w:top w:val="nil"/>
              <w:left w:val="nil"/>
              <w:bottom w:val="nil"/>
              <w:right w:val="nil"/>
            </w:tcBorders>
            <w:shd w:val="clear" w:color="000000" w:fill="FFFFFF"/>
            <w:noWrap/>
            <w:vAlign w:val="bottom"/>
            <w:hideMark/>
          </w:tcPr>
          <w:p w14:paraId="13BED71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-0.14</w:t>
            </w:r>
          </w:p>
        </w:tc>
      </w:tr>
      <w:tr w:rsidR="00765F47" w:rsidRPr="00086601" w14:paraId="342BFF6C" w14:textId="77777777" w:rsidTr="00765F47">
        <w:trPr>
          <w:trHeight w:val="285"/>
        </w:trPr>
        <w:tc>
          <w:tcPr>
            <w:tcW w:w="716" w:type="dxa"/>
            <w:tcBorders>
              <w:top w:val="nil"/>
              <w:left w:val="nil"/>
              <w:bottom w:val="nil"/>
              <w:right w:val="nil"/>
            </w:tcBorders>
            <w:shd w:val="clear" w:color="000000" w:fill="FFFFFF"/>
            <w:noWrap/>
            <w:vAlign w:val="bottom"/>
            <w:hideMark/>
          </w:tcPr>
          <w:p w14:paraId="265BC30F"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2010</w:t>
            </w:r>
          </w:p>
        </w:tc>
        <w:tc>
          <w:tcPr>
            <w:tcW w:w="1412" w:type="dxa"/>
            <w:tcBorders>
              <w:top w:val="nil"/>
              <w:left w:val="nil"/>
              <w:bottom w:val="nil"/>
              <w:right w:val="nil"/>
            </w:tcBorders>
            <w:shd w:val="clear" w:color="000000" w:fill="FFFFFF"/>
            <w:noWrap/>
            <w:vAlign w:val="bottom"/>
            <w:hideMark/>
          </w:tcPr>
          <w:p w14:paraId="2956D92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46</w:t>
            </w:r>
          </w:p>
        </w:tc>
        <w:tc>
          <w:tcPr>
            <w:tcW w:w="1055" w:type="dxa"/>
            <w:tcBorders>
              <w:top w:val="nil"/>
              <w:left w:val="nil"/>
              <w:bottom w:val="nil"/>
              <w:right w:val="nil"/>
            </w:tcBorders>
            <w:shd w:val="clear" w:color="000000" w:fill="FFFFFF"/>
            <w:noWrap/>
            <w:vAlign w:val="bottom"/>
            <w:hideMark/>
          </w:tcPr>
          <w:p w14:paraId="03D4E08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5.06</w:t>
            </w:r>
          </w:p>
        </w:tc>
        <w:tc>
          <w:tcPr>
            <w:tcW w:w="769" w:type="dxa"/>
            <w:tcBorders>
              <w:top w:val="nil"/>
              <w:left w:val="nil"/>
              <w:bottom w:val="nil"/>
              <w:right w:val="nil"/>
            </w:tcBorders>
            <w:shd w:val="clear" w:color="000000" w:fill="FFFFFF"/>
            <w:noWrap/>
            <w:vAlign w:val="bottom"/>
            <w:hideMark/>
          </w:tcPr>
          <w:p w14:paraId="18B608C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48.54</w:t>
            </w:r>
          </w:p>
        </w:tc>
        <w:tc>
          <w:tcPr>
            <w:tcW w:w="985" w:type="dxa"/>
            <w:tcBorders>
              <w:top w:val="nil"/>
              <w:left w:val="nil"/>
              <w:bottom w:val="nil"/>
              <w:right w:val="nil"/>
            </w:tcBorders>
            <w:shd w:val="clear" w:color="000000" w:fill="FFFFFF"/>
            <w:noWrap/>
            <w:vAlign w:val="bottom"/>
            <w:hideMark/>
          </w:tcPr>
          <w:p w14:paraId="1A7AEE6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0.03</w:t>
            </w:r>
          </w:p>
        </w:tc>
        <w:tc>
          <w:tcPr>
            <w:tcW w:w="1183" w:type="dxa"/>
            <w:tcBorders>
              <w:top w:val="nil"/>
              <w:left w:val="nil"/>
              <w:bottom w:val="nil"/>
              <w:right w:val="nil"/>
            </w:tcBorders>
            <w:shd w:val="clear" w:color="000000" w:fill="FFFFFF"/>
            <w:noWrap/>
            <w:vAlign w:val="bottom"/>
            <w:hideMark/>
          </w:tcPr>
          <w:p w14:paraId="79184C1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0.12</w:t>
            </w:r>
          </w:p>
        </w:tc>
      </w:tr>
      <w:tr w:rsidR="00765F47" w:rsidRPr="00086601" w14:paraId="2C8E1E07" w14:textId="77777777" w:rsidTr="00765F47">
        <w:trPr>
          <w:trHeight w:val="285"/>
        </w:trPr>
        <w:tc>
          <w:tcPr>
            <w:tcW w:w="716" w:type="dxa"/>
            <w:tcBorders>
              <w:top w:val="nil"/>
              <w:left w:val="nil"/>
              <w:bottom w:val="nil"/>
              <w:right w:val="nil"/>
            </w:tcBorders>
            <w:shd w:val="clear" w:color="000000" w:fill="FFFFFF"/>
            <w:noWrap/>
            <w:vAlign w:val="bottom"/>
            <w:hideMark/>
          </w:tcPr>
          <w:p w14:paraId="16F2AFD3"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2011</w:t>
            </w:r>
          </w:p>
        </w:tc>
        <w:tc>
          <w:tcPr>
            <w:tcW w:w="1412" w:type="dxa"/>
            <w:tcBorders>
              <w:top w:val="nil"/>
              <w:left w:val="nil"/>
              <w:bottom w:val="nil"/>
              <w:right w:val="nil"/>
            </w:tcBorders>
            <w:shd w:val="clear" w:color="000000" w:fill="FFFFFF"/>
            <w:noWrap/>
            <w:vAlign w:val="bottom"/>
            <w:hideMark/>
          </w:tcPr>
          <w:p w14:paraId="774FE01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47</w:t>
            </w:r>
          </w:p>
        </w:tc>
        <w:tc>
          <w:tcPr>
            <w:tcW w:w="1055" w:type="dxa"/>
            <w:tcBorders>
              <w:top w:val="nil"/>
              <w:left w:val="nil"/>
              <w:bottom w:val="nil"/>
              <w:right w:val="nil"/>
            </w:tcBorders>
            <w:shd w:val="clear" w:color="000000" w:fill="FFFFFF"/>
            <w:noWrap/>
            <w:vAlign w:val="bottom"/>
            <w:hideMark/>
          </w:tcPr>
          <w:p w14:paraId="4E555D5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5.17</w:t>
            </w:r>
          </w:p>
        </w:tc>
        <w:tc>
          <w:tcPr>
            <w:tcW w:w="769" w:type="dxa"/>
            <w:tcBorders>
              <w:top w:val="nil"/>
              <w:left w:val="nil"/>
              <w:bottom w:val="nil"/>
              <w:right w:val="nil"/>
            </w:tcBorders>
            <w:shd w:val="clear" w:color="000000" w:fill="FFFFFF"/>
            <w:noWrap/>
            <w:vAlign w:val="bottom"/>
            <w:hideMark/>
          </w:tcPr>
          <w:p w14:paraId="3BEA1A2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48.15</w:t>
            </w:r>
          </w:p>
        </w:tc>
        <w:tc>
          <w:tcPr>
            <w:tcW w:w="985" w:type="dxa"/>
            <w:tcBorders>
              <w:top w:val="nil"/>
              <w:left w:val="nil"/>
              <w:bottom w:val="nil"/>
              <w:right w:val="nil"/>
            </w:tcBorders>
            <w:shd w:val="clear" w:color="000000" w:fill="FFFFFF"/>
            <w:noWrap/>
            <w:vAlign w:val="bottom"/>
            <w:hideMark/>
          </w:tcPr>
          <w:p w14:paraId="1EFB5F8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0.06</w:t>
            </w:r>
          </w:p>
        </w:tc>
        <w:tc>
          <w:tcPr>
            <w:tcW w:w="1183" w:type="dxa"/>
            <w:tcBorders>
              <w:top w:val="nil"/>
              <w:left w:val="nil"/>
              <w:bottom w:val="nil"/>
              <w:right w:val="nil"/>
            </w:tcBorders>
            <w:shd w:val="clear" w:color="000000" w:fill="FFFFFF"/>
            <w:noWrap/>
            <w:vAlign w:val="bottom"/>
            <w:hideMark/>
          </w:tcPr>
          <w:p w14:paraId="2C8CB1C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0.18</w:t>
            </w:r>
          </w:p>
        </w:tc>
      </w:tr>
      <w:tr w:rsidR="00765F47" w:rsidRPr="00086601" w14:paraId="2BBD8F9B" w14:textId="77777777" w:rsidTr="00765F47">
        <w:trPr>
          <w:trHeight w:val="285"/>
        </w:trPr>
        <w:tc>
          <w:tcPr>
            <w:tcW w:w="716" w:type="dxa"/>
            <w:tcBorders>
              <w:top w:val="nil"/>
              <w:left w:val="nil"/>
              <w:bottom w:val="nil"/>
              <w:right w:val="nil"/>
            </w:tcBorders>
            <w:shd w:val="clear" w:color="000000" w:fill="FFFFFF"/>
            <w:noWrap/>
            <w:vAlign w:val="bottom"/>
            <w:hideMark/>
          </w:tcPr>
          <w:p w14:paraId="6322C57D"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2012</w:t>
            </w:r>
          </w:p>
        </w:tc>
        <w:tc>
          <w:tcPr>
            <w:tcW w:w="1412" w:type="dxa"/>
            <w:tcBorders>
              <w:top w:val="nil"/>
              <w:left w:val="nil"/>
              <w:bottom w:val="nil"/>
              <w:right w:val="nil"/>
            </w:tcBorders>
            <w:shd w:val="clear" w:color="000000" w:fill="FFFFFF"/>
            <w:noWrap/>
            <w:vAlign w:val="bottom"/>
            <w:hideMark/>
          </w:tcPr>
          <w:p w14:paraId="47FF292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48</w:t>
            </w:r>
          </w:p>
        </w:tc>
        <w:tc>
          <w:tcPr>
            <w:tcW w:w="1055" w:type="dxa"/>
            <w:tcBorders>
              <w:top w:val="nil"/>
              <w:left w:val="nil"/>
              <w:bottom w:val="nil"/>
              <w:right w:val="nil"/>
            </w:tcBorders>
            <w:shd w:val="clear" w:color="000000" w:fill="FFFFFF"/>
            <w:noWrap/>
            <w:vAlign w:val="bottom"/>
            <w:hideMark/>
          </w:tcPr>
          <w:p w14:paraId="22DB51E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5.28</w:t>
            </w:r>
          </w:p>
        </w:tc>
        <w:tc>
          <w:tcPr>
            <w:tcW w:w="769" w:type="dxa"/>
            <w:tcBorders>
              <w:top w:val="nil"/>
              <w:left w:val="nil"/>
              <w:bottom w:val="nil"/>
              <w:right w:val="nil"/>
            </w:tcBorders>
            <w:shd w:val="clear" w:color="000000" w:fill="FFFFFF"/>
            <w:noWrap/>
            <w:vAlign w:val="bottom"/>
            <w:hideMark/>
          </w:tcPr>
          <w:p w14:paraId="52E0F6D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48.10</w:t>
            </w:r>
          </w:p>
        </w:tc>
        <w:tc>
          <w:tcPr>
            <w:tcW w:w="985" w:type="dxa"/>
            <w:tcBorders>
              <w:top w:val="nil"/>
              <w:left w:val="nil"/>
              <w:bottom w:val="nil"/>
              <w:right w:val="nil"/>
            </w:tcBorders>
            <w:shd w:val="clear" w:color="000000" w:fill="FFFFFF"/>
            <w:noWrap/>
            <w:vAlign w:val="bottom"/>
            <w:hideMark/>
          </w:tcPr>
          <w:p w14:paraId="1B6B32C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-0.01</w:t>
            </w:r>
          </w:p>
        </w:tc>
        <w:tc>
          <w:tcPr>
            <w:tcW w:w="1183" w:type="dxa"/>
            <w:tcBorders>
              <w:top w:val="nil"/>
              <w:left w:val="nil"/>
              <w:bottom w:val="nil"/>
              <w:right w:val="nil"/>
            </w:tcBorders>
            <w:shd w:val="clear" w:color="000000" w:fill="FFFFFF"/>
            <w:noWrap/>
            <w:vAlign w:val="bottom"/>
            <w:hideMark/>
          </w:tcPr>
          <w:p w14:paraId="7A87185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-0.02</w:t>
            </w:r>
          </w:p>
        </w:tc>
      </w:tr>
      <w:tr w:rsidR="00765F47" w:rsidRPr="00086601" w14:paraId="15DE2210" w14:textId="77777777" w:rsidTr="00765F47">
        <w:trPr>
          <w:trHeight w:val="285"/>
        </w:trPr>
        <w:tc>
          <w:tcPr>
            <w:tcW w:w="716" w:type="dxa"/>
            <w:tcBorders>
              <w:top w:val="nil"/>
              <w:left w:val="nil"/>
              <w:bottom w:val="nil"/>
              <w:right w:val="nil"/>
            </w:tcBorders>
            <w:shd w:val="clear" w:color="000000" w:fill="FFFFFF"/>
            <w:noWrap/>
            <w:vAlign w:val="bottom"/>
            <w:hideMark/>
          </w:tcPr>
          <w:p w14:paraId="223B0A99"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2013</w:t>
            </w:r>
          </w:p>
        </w:tc>
        <w:tc>
          <w:tcPr>
            <w:tcW w:w="1412" w:type="dxa"/>
            <w:tcBorders>
              <w:top w:val="nil"/>
              <w:left w:val="nil"/>
              <w:bottom w:val="nil"/>
              <w:right w:val="nil"/>
            </w:tcBorders>
            <w:shd w:val="clear" w:color="000000" w:fill="FFFFFF"/>
            <w:noWrap/>
            <w:vAlign w:val="bottom"/>
            <w:hideMark/>
          </w:tcPr>
          <w:p w14:paraId="4E12488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49</w:t>
            </w:r>
          </w:p>
        </w:tc>
        <w:tc>
          <w:tcPr>
            <w:tcW w:w="1055" w:type="dxa"/>
            <w:tcBorders>
              <w:top w:val="nil"/>
              <w:left w:val="nil"/>
              <w:bottom w:val="nil"/>
              <w:right w:val="nil"/>
            </w:tcBorders>
            <w:shd w:val="clear" w:color="000000" w:fill="FFFFFF"/>
            <w:noWrap/>
            <w:vAlign w:val="bottom"/>
            <w:hideMark/>
          </w:tcPr>
          <w:p w14:paraId="2E753EA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5.39</w:t>
            </w:r>
          </w:p>
        </w:tc>
        <w:tc>
          <w:tcPr>
            <w:tcW w:w="769" w:type="dxa"/>
            <w:tcBorders>
              <w:top w:val="nil"/>
              <w:left w:val="nil"/>
              <w:bottom w:val="nil"/>
              <w:right w:val="nil"/>
            </w:tcBorders>
            <w:shd w:val="clear" w:color="000000" w:fill="FFFFFF"/>
            <w:noWrap/>
            <w:vAlign w:val="bottom"/>
            <w:hideMark/>
          </w:tcPr>
          <w:p w14:paraId="62F278A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48.06</w:t>
            </w:r>
          </w:p>
        </w:tc>
        <w:tc>
          <w:tcPr>
            <w:tcW w:w="985" w:type="dxa"/>
            <w:tcBorders>
              <w:top w:val="nil"/>
              <w:left w:val="nil"/>
              <w:bottom w:val="nil"/>
              <w:right w:val="nil"/>
            </w:tcBorders>
            <w:shd w:val="clear" w:color="000000" w:fill="FFFFFF"/>
            <w:noWrap/>
            <w:vAlign w:val="bottom"/>
            <w:hideMark/>
          </w:tcPr>
          <w:p w14:paraId="0B0C21B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0.11</w:t>
            </w:r>
          </w:p>
        </w:tc>
        <w:tc>
          <w:tcPr>
            <w:tcW w:w="1183" w:type="dxa"/>
            <w:tcBorders>
              <w:top w:val="nil"/>
              <w:left w:val="nil"/>
              <w:bottom w:val="nil"/>
              <w:right w:val="nil"/>
            </w:tcBorders>
            <w:shd w:val="clear" w:color="000000" w:fill="FFFFFF"/>
            <w:noWrap/>
            <w:vAlign w:val="bottom"/>
            <w:hideMark/>
          </w:tcPr>
          <w:p w14:paraId="6B7580E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0.44</w:t>
            </w:r>
          </w:p>
        </w:tc>
      </w:tr>
      <w:tr w:rsidR="00765F47" w:rsidRPr="00086601" w14:paraId="2721A5EF" w14:textId="77777777" w:rsidTr="00765F47">
        <w:trPr>
          <w:trHeight w:val="285"/>
        </w:trPr>
        <w:tc>
          <w:tcPr>
            <w:tcW w:w="716" w:type="dxa"/>
            <w:tcBorders>
              <w:top w:val="nil"/>
              <w:left w:val="nil"/>
              <w:bottom w:val="nil"/>
              <w:right w:val="nil"/>
            </w:tcBorders>
            <w:shd w:val="clear" w:color="000000" w:fill="FFFFFF"/>
            <w:noWrap/>
            <w:vAlign w:val="bottom"/>
            <w:hideMark/>
          </w:tcPr>
          <w:p w14:paraId="05CD9011"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2014</w:t>
            </w:r>
          </w:p>
        </w:tc>
        <w:tc>
          <w:tcPr>
            <w:tcW w:w="1412" w:type="dxa"/>
            <w:tcBorders>
              <w:top w:val="nil"/>
              <w:left w:val="nil"/>
              <w:bottom w:val="nil"/>
              <w:right w:val="nil"/>
            </w:tcBorders>
            <w:shd w:val="clear" w:color="000000" w:fill="FFFFFF"/>
            <w:noWrap/>
            <w:vAlign w:val="bottom"/>
            <w:hideMark/>
          </w:tcPr>
          <w:p w14:paraId="3A1C7DE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49</w:t>
            </w:r>
          </w:p>
        </w:tc>
        <w:tc>
          <w:tcPr>
            <w:tcW w:w="1055" w:type="dxa"/>
            <w:tcBorders>
              <w:top w:val="nil"/>
              <w:left w:val="nil"/>
              <w:bottom w:val="nil"/>
              <w:right w:val="nil"/>
            </w:tcBorders>
            <w:shd w:val="clear" w:color="000000" w:fill="FFFFFF"/>
            <w:noWrap/>
            <w:vAlign w:val="bottom"/>
            <w:hideMark/>
          </w:tcPr>
          <w:p w14:paraId="721689F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5.39</w:t>
            </w:r>
          </w:p>
        </w:tc>
        <w:tc>
          <w:tcPr>
            <w:tcW w:w="769" w:type="dxa"/>
            <w:tcBorders>
              <w:top w:val="nil"/>
              <w:left w:val="nil"/>
              <w:bottom w:val="nil"/>
              <w:right w:val="nil"/>
            </w:tcBorders>
            <w:shd w:val="clear" w:color="000000" w:fill="FFFFFF"/>
            <w:noWrap/>
            <w:vAlign w:val="bottom"/>
            <w:hideMark/>
          </w:tcPr>
          <w:p w14:paraId="65B899E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48.06</w:t>
            </w:r>
          </w:p>
        </w:tc>
        <w:tc>
          <w:tcPr>
            <w:tcW w:w="985" w:type="dxa"/>
            <w:tcBorders>
              <w:top w:val="nil"/>
              <w:left w:val="nil"/>
              <w:bottom w:val="nil"/>
              <w:right w:val="nil"/>
            </w:tcBorders>
            <w:shd w:val="clear" w:color="000000" w:fill="FFFFFF"/>
            <w:noWrap/>
            <w:vAlign w:val="bottom"/>
            <w:hideMark/>
          </w:tcPr>
          <w:p w14:paraId="75F541C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0.05</w:t>
            </w:r>
          </w:p>
        </w:tc>
        <w:tc>
          <w:tcPr>
            <w:tcW w:w="1183" w:type="dxa"/>
            <w:tcBorders>
              <w:top w:val="nil"/>
              <w:left w:val="nil"/>
              <w:bottom w:val="nil"/>
              <w:right w:val="nil"/>
            </w:tcBorders>
            <w:shd w:val="clear" w:color="000000" w:fill="FFFFFF"/>
            <w:noWrap/>
            <w:vAlign w:val="bottom"/>
            <w:hideMark/>
          </w:tcPr>
          <w:p w14:paraId="5CEA649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0.34</w:t>
            </w:r>
          </w:p>
        </w:tc>
      </w:tr>
      <w:tr w:rsidR="00765F47" w:rsidRPr="00086601" w14:paraId="58355994" w14:textId="77777777" w:rsidTr="00765F47">
        <w:trPr>
          <w:trHeight w:val="285"/>
        </w:trPr>
        <w:tc>
          <w:tcPr>
            <w:tcW w:w="716" w:type="dxa"/>
            <w:tcBorders>
              <w:top w:val="nil"/>
              <w:left w:val="nil"/>
              <w:bottom w:val="nil"/>
              <w:right w:val="nil"/>
            </w:tcBorders>
            <w:shd w:val="clear" w:color="000000" w:fill="FFFFFF"/>
            <w:noWrap/>
            <w:vAlign w:val="bottom"/>
            <w:hideMark/>
          </w:tcPr>
          <w:p w14:paraId="50E79AB0"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2015</w:t>
            </w:r>
          </w:p>
        </w:tc>
        <w:tc>
          <w:tcPr>
            <w:tcW w:w="1412" w:type="dxa"/>
            <w:tcBorders>
              <w:top w:val="nil"/>
              <w:left w:val="nil"/>
              <w:bottom w:val="nil"/>
              <w:right w:val="nil"/>
            </w:tcBorders>
            <w:shd w:val="clear" w:color="000000" w:fill="FFFFFF"/>
            <w:noWrap/>
            <w:vAlign w:val="bottom"/>
            <w:hideMark/>
          </w:tcPr>
          <w:p w14:paraId="60263C1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52</w:t>
            </w:r>
          </w:p>
        </w:tc>
        <w:tc>
          <w:tcPr>
            <w:tcW w:w="1055" w:type="dxa"/>
            <w:tcBorders>
              <w:top w:val="nil"/>
              <w:left w:val="nil"/>
              <w:bottom w:val="nil"/>
              <w:right w:val="nil"/>
            </w:tcBorders>
            <w:shd w:val="clear" w:color="000000" w:fill="FFFFFF"/>
            <w:noWrap/>
            <w:vAlign w:val="bottom"/>
            <w:hideMark/>
          </w:tcPr>
          <w:p w14:paraId="35DCE6C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5.72</w:t>
            </w:r>
          </w:p>
        </w:tc>
        <w:tc>
          <w:tcPr>
            <w:tcW w:w="769" w:type="dxa"/>
            <w:tcBorders>
              <w:top w:val="nil"/>
              <w:left w:val="nil"/>
              <w:bottom w:val="nil"/>
              <w:right w:val="nil"/>
            </w:tcBorders>
            <w:shd w:val="clear" w:color="000000" w:fill="FFFFFF"/>
            <w:noWrap/>
            <w:vAlign w:val="bottom"/>
            <w:hideMark/>
          </w:tcPr>
          <w:p w14:paraId="768E034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47.58</w:t>
            </w:r>
          </w:p>
        </w:tc>
        <w:tc>
          <w:tcPr>
            <w:tcW w:w="985" w:type="dxa"/>
            <w:tcBorders>
              <w:top w:val="nil"/>
              <w:left w:val="nil"/>
              <w:bottom w:val="nil"/>
              <w:right w:val="nil"/>
            </w:tcBorders>
            <w:shd w:val="clear" w:color="000000" w:fill="FFFFFF"/>
            <w:noWrap/>
            <w:vAlign w:val="bottom"/>
            <w:hideMark/>
          </w:tcPr>
          <w:p w14:paraId="4120DAB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-0.04</w:t>
            </w:r>
          </w:p>
        </w:tc>
        <w:tc>
          <w:tcPr>
            <w:tcW w:w="1183" w:type="dxa"/>
            <w:tcBorders>
              <w:top w:val="nil"/>
              <w:left w:val="nil"/>
              <w:bottom w:val="nil"/>
              <w:right w:val="nil"/>
            </w:tcBorders>
            <w:shd w:val="clear" w:color="000000" w:fill="FFFFFF"/>
            <w:noWrap/>
            <w:vAlign w:val="bottom"/>
            <w:hideMark/>
          </w:tcPr>
          <w:p w14:paraId="247283C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-0.12</w:t>
            </w:r>
          </w:p>
        </w:tc>
      </w:tr>
      <w:tr w:rsidR="00765F47" w:rsidRPr="00086601" w14:paraId="6A3EB3E1" w14:textId="77777777" w:rsidTr="00765F47">
        <w:trPr>
          <w:trHeight w:val="285"/>
        </w:trPr>
        <w:tc>
          <w:tcPr>
            <w:tcW w:w="716" w:type="dxa"/>
            <w:tcBorders>
              <w:top w:val="nil"/>
              <w:left w:val="nil"/>
              <w:bottom w:val="nil"/>
              <w:right w:val="nil"/>
            </w:tcBorders>
            <w:shd w:val="clear" w:color="000000" w:fill="FFFFFF"/>
            <w:noWrap/>
            <w:vAlign w:val="bottom"/>
            <w:hideMark/>
          </w:tcPr>
          <w:p w14:paraId="11BA7423"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2016</w:t>
            </w:r>
          </w:p>
        </w:tc>
        <w:tc>
          <w:tcPr>
            <w:tcW w:w="1412" w:type="dxa"/>
            <w:tcBorders>
              <w:top w:val="nil"/>
              <w:left w:val="nil"/>
              <w:bottom w:val="nil"/>
              <w:right w:val="nil"/>
            </w:tcBorders>
            <w:shd w:val="clear" w:color="000000" w:fill="FFFFFF"/>
            <w:noWrap/>
            <w:vAlign w:val="bottom"/>
            <w:hideMark/>
          </w:tcPr>
          <w:p w14:paraId="39060F5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52</w:t>
            </w:r>
          </w:p>
        </w:tc>
        <w:tc>
          <w:tcPr>
            <w:tcW w:w="1055" w:type="dxa"/>
            <w:tcBorders>
              <w:top w:val="nil"/>
              <w:left w:val="nil"/>
              <w:bottom w:val="nil"/>
              <w:right w:val="nil"/>
            </w:tcBorders>
            <w:shd w:val="clear" w:color="000000" w:fill="FFFFFF"/>
            <w:noWrap/>
            <w:vAlign w:val="bottom"/>
            <w:hideMark/>
          </w:tcPr>
          <w:p w14:paraId="3888933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5.72</w:t>
            </w:r>
          </w:p>
        </w:tc>
        <w:tc>
          <w:tcPr>
            <w:tcW w:w="769" w:type="dxa"/>
            <w:tcBorders>
              <w:top w:val="nil"/>
              <w:left w:val="nil"/>
              <w:bottom w:val="nil"/>
              <w:right w:val="nil"/>
            </w:tcBorders>
            <w:shd w:val="clear" w:color="000000" w:fill="FFFFFF"/>
            <w:noWrap/>
            <w:vAlign w:val="bottom"/>
            <w:hideMark/>
          </w:tcPr>
          <w:p w14:paraId="6A85824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47.58</w:t>
            </w:r>
          </w:p>
        </w:tc>
        <w:tc>
          <w:tcPr>
            <w:tcW w:w="985" w:type="dxa"/>
            <w:tcBorders>
              <w:top w:val="nil"/>
              <w:left w:val="nil"/>
              <w:bottom w:val="nil"/>
              <w:right w:val="nil"/>
            </w:tcBorders>
            <w:shd w:val="clear" w:color="000000" w:fill="FFFFFF"/>
            <w:noWrap/>
            <w:vAlign w:val="bottom"/>
            <w:hideMark/>
          </w:tcPr>
          <w:p w14:paraId="1EE4701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-0.02</w:t>
            </w:r>
          </w:p>
        </w:tc>
        <w:tc>
          <w:tcPr>
            <w:tcW w:w="1183" w:type="dxa"/>
            <w:tcBorders>
              <w:top w:val="nil"/>
              <w:left w:val="nil"/>
              <w:bottom w:val="nil"/>
              <w:right w:val="nil"/>
            </w:tcBorders>
            <w:shd w:val="clear" w:color="000000" w:fill="FFFFFF"/>
            <w:noWrap/>
            <w:vAlign w:val="bottom"/>
            <w:hideMark/>
          </w:tcPr>
          <w:p w14:paraId="3CAD952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0.09</w:t>
            </w:r>
          </w:p>
        </w:tc>
      </w:tr>
      <w:tr w:rsidR="00765F47" w:rsidRPr="00086601" w14:paraId="7829D77C" w14:textId="77777777" w:rsidTr="00765F47">
        <w:trPr>
          <w:trHeight w:val="285"/>
        </w:trPr>
        <w:tc>
          <w:tcPr>
            <w:tcW w:w="716" w:type="dxa"/>
            <w:tcBorders>
              <w:top w:val="nil"/>
              <w:left w:val="nil"/>
              <w:bottom w:val="nil"/>
              <w:right w:val="nil"/>
            </w:tcBorders>
            <w:shd w:val="clear" w:color="000000" w:fill="FFFFFF"/>
            <w:noWrap/>
            <w:vAlign w:val="bottom"/>
            <w:hideMark/>
          </w:tcPr>
          <w:p w14:paraId="0287B4FB"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2017</w:t>
            </w:r>
          </w:p>
        </w:tc>
        <w:tc>
          <w:tcPr>
            <w:tcW w:w="1412" w:type="dxa"/>
            <w:tcBorders>
              <w:top w:val="nil"/>
              <w:left w:val="nil"/>
              <w:bottom w:val="nil"/>
              <w:right w:val="nil"/>
            </w:tcBorders>
            <w:shd w:val="clear" w:color="000000" w:fill="FFFFFF"/>
            <w:noWrap/>
            <w:vAlign w:val="bottom"/>
            <w:hideMark/>
          </w:tcPr>
          <w:p w14:paraId="2B36A66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52</w:t>
            </w:r>
          </w:p>
        </w:tc>
        <w:tc>
          <w:tcPr>
            <w:tcW w:w="1055" w:type="dxa"/>
            <w:tcBorders>
              <w:top w:val="nil"/>
              <w:left w:val="nil"/>
              <w:bottom w:val="nil"/>
              <w:right w:val="nil"/>
            </w:tcBorders>
            <w:shd w:val="clear" w:color="000000" w:fill="FFFFFF"/>
            <w:noWrap/>
            <w:vAlign w:val="bottom"/>
            <w:hideMark/>
          </w:tcPr>
          <w:p w14:paraId="6A9B61A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5.72</w:t>
            </w:r>
          </w:p>
        </w:tc>
        <w:tc>
          <w:tcPr>
            <w:tcW w:w="769" w:type="dxa"/>
            <w:tcBorders>
              <w:top w:val="nil"/>
              <w:left w:val="nil"/>
              <w:bottom w:val="nil"/>
              <w:right w:val="nil"/>
            </w:tcBorders>
            <w:shd w:val="clear" w:color="000000" w:fill="FFFFFF"/>
            <w:noWrap/>
            <w:vAlign w:val="bottom"/>
            <w:hideMark/>
          </w:tcPr>
          <w:p w14:paraId="65FDAA5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47.58</w:t>
            </w:r>
          </w:p>
        </w:tc>
        <w:tc>
          <w:tcPr>
            <w:tcW w:w="985" w:type="dxa"/>
            <w:tcBorders>
              <w:top w:val="nil"/>
              <w:left w:val="nil"/>
              <w:bottom w:val="nil"/>
              <w:right w:val="nil"/>
            </w:tcBorders>
            <w:shd w:val="clear" w:color="000000" w:fill="FFFFFF"/>
            <w:noWrap/>
            <w:vAlign w:val="bottom"/>
            <w:hideMark/>
          </w:tcPr>
          <w:p w14:paraId="4F7CBCA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-0.03</w:t>
            </w:r>
          </w:p>
        </w:tc>
        <w:tc>
          <w:tcPr>
            <w:tcW w:w="1183" w:type="dxa"/>
            <w:tcBorders>
              <w:top w:val="nil"/>
              <w:left w:val="nil"/>
              <w:bottom w:val="nil"/>
              <w:right w:val="nil"/>
            </w:tcBorders>
            <w:shd w:val="clear" w:color="000000" w:fill="FFFFFF"/>
            <w:noWrap/>
            <w:vAlign w:val="bottom"/>
            <w:hideMark/>
          </w:tcPr>
          <w:p w14:paraId="7F5EEFF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-0.08</w:t>
            </w:r>
          </w:p>
        </w:tc>
      </w:tr>
      <w:tr w:rsidR="00765F47" w:rsidRPr="00086601" w14:paraId="2671F6CD" w14:textId="77777777" w:rsidTr="00765F47">
        <w:trPr>
          <w:trHeight w:val="285"/>
        </w:trPr>
        <w:tc>
          <w:tcPr>
            <w:tcW w:w="716" w:type="dxa"/>
            <w:tcBorders>
              <w:top w:val="nil"/>
              <w:left w:val="nil"/>
              <w:bottom w:val="nil"/>
              <w:right w:val="nil"/>
            </w:tcBorders>
            <w:shd w:val="clear" w:color="000000" w:fill="FFFFFF"/>
            <w:noWrap/>
            <w:vAlign w:val="bottom"/>
            <w:hideMark/>
          </w:tcPr>
          <w:p w14:paraId="783CA5C2"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2018</w:t>
            </w:r>
          </w:p>
        </w:tc>
        <w:tc>
          <w:tcPr>
            <w:tcW w:w="1412" w:type="dxa"/>
            <w:tcBorders>
              <w:top w:val="nil"/>
              <w:left w:val="nil"/>
              <w:bottom w:val="nil"/>
              <w:right w:val="nil"/>
            </w:tcBorders>
            <w:shd w:val="clear" w:color="000000" w:fill="FFFFFF"/>
            <w:noWrap/>
            <w:vAlign w:val="bottom"/>
            <w:hideMark/>
          </w:tcPr>
          <w:p w14:paraId="49AFEB1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52</w:t>
            </w:r>
          </w:p>
        </w:tc>
        <w:tc>
          <w:tcPr>
            <w:tcW w:w="1055" w:type="dxa"/>
            <w:tcBorders>
              <w:top w:val="nil"/>
              <w:left w:val="nil"/>
              <w:bottom w:val="nil"/>
              <w:right w:val="nil"/>
            </w:tcBorders>
            <w:shd w:val="clear" w:color="000000" w:fill="FFFFFF"/>
            <w:noWrap/>
            <w:vAlign w:val="bottom"/>
            <w:hideMark/>
          </w:tcPr>
          <w:p w14:paraId="7CDB266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5.72</w:t>
            </w:r>
          </w:p>
        </w:tc>
        <w:tc>
          <w:tcPr>
            <w:tcW w:w="769" w:type="dxa"/>
            <w:tcBorders>
              <w:top w:val="nil"/>
              <w:left w:val="nil"/>
              <w:bottom w:val="nil"/>
              <w:right w:val="nil"/>
            </w:tcBorders>
            <w:shd w:val="clear" w:color="000000" w:fill="FFFFFF"/>
            <w:noWrap/>
            <w:vAlign w:val="bottom"/>
            <w:hideMark/>
          </w:tcPr>
          <w:p w14:paraId="7E5C1A3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47.58</w:t>
            </w:r>
          </w:p>
        </w:tc>
        <w:tc>
          <w:tcPr>
            <w:tcW w:w="985" w:type="dxa"/>
            <w:tcBorders>
              <w:top w:val="nil"/>
              <w:left w:val="nil"/>
              <w:bottom w:val="nil"/>
              <w:right w:val="nil"/>
            </w:tcBorders>
            <w:shd w:val="clear" w:color="000000" w:fill="FFFFFF"/>
            <w:noWrap/>
            <w:vAlign w:val="bottom"/>
            <w:hideMark/>
          </w:tcPr>
          <w:p w14:paraId="2E66E58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0.03</w:t>
            </w:r>
          </w:p>
        </w:tc>
        <w:tc>
          <w:tcPr>
            <w:tcW w:w="1183" w:type="dxa"/>
            <w:tcBorders>
              <w:top w:val="nil"/>
              <w:left w:val="nil"/>
              <w:bottom w:val="nil"/>
              <w:right w:val="nil"/>
            </w:tcBorders>
            <w:shd w:val="clear" w:color="000000" w:fill="FFFFFF"/>
            <w:noWrap/>
            <w:vAlign w:val="bottom"/>
            <w:hideMark/>
          </w:tcPr>
          <w:p w14:paraId="3C8070B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0.22</w:t>
            </w:r>
          </w:p>
        </w:tc>
      </w:tr>
      <w:tr w:rsidR="00765F47" w:rsidRPr="00086601" w14:paraId="4ED0DBEA" w14:textId="77777777" w:rsidTr="00765F47">
        <w:trPr>
          <w:trHeight w:val="285"/>
        </w:trPr>
        <w:tc>
          <w:tcPr>
            <w:tcW w:w="716" w:type="dxa"/>
            <w:tcBorders>
              <w:top w:val="nil"/>
              <w:left w:val="nil"/>
              <w:bottom w:val="nil"/>
              <w:right w:val="nil"/>
            </w:tcBorders>
            <w:shd w:val="clear" w:color="000000" w:fill="FFFFFF"/>
            <w:noWrap/>
            <w:vAlign w:val="bottom"/>
            <w:hideMark/>
          </w:tcPr>
          <w:p w14:paraId="7D15DEC6"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2019</w:t>
            </w:r>
          </w:p>
        </w:tc>
        <w:tc>
          <w:tcPr>
            <w:tcW w:w="1412" w:type="dxa"/>
            <w:tcBorders>
              <w:top w:val="nil"/>
              <w:left w:val="nil"/>
              <w:bottom w:val="nil"/>
              <w:right w:val="nil"/>
            </w:tcBorders>
            <w:shd w:val="clear" w:color="000000" w:fill="FFFFFF"/>
            <w:noWrap/>
            <w:vAlign w:val="bottom"/>
            <w:hideMark/>
          </w:tcPr>
          <w:p w14:paraId="4B105CF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53</w:t>
            </w:r>
          </w:p>
        </w:tc>
        <w:tc>
          <w:tcPr>
            <w:tcW w:w="1055" w:type="dxa"/>
            <w:tcBorders>
              <w:top w:val="nil"/>
              <w:left w:val="nil"/>
              <w:bottom w:val="nil"/>
              <w:right w:val="nil"/>
            </w:tcBorders>
            <w:shd w:val="clear" w:color="000000" w:fill="FFFFFF"/>
            <w:noWrap/>
            <w:vAlign w:val="bottom"/>
            <w:hideMark/>
          </w:tcPr>
          <w:p w14:paraId="4DCC814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5.83</w:t>
            </w:r>
          </w:p>
        </w:tc>
        <w:tc>
          <w:tcPr>
            <w:tcW w:w="769" w:type="dxa"/>
            <w:tcBorders>
              <w:top w:val="nil"/>
              <w:left w:val="nil"/>
              <w:bottom w:val="nil"/>
              <w:right w:val="nil"/>
            </w:tcBorders>
            <w:shd w:val="clear" w:color="000000" w:fill="FFFFFF"/>
            <w:noWrap/>
            <w:vAlign w:val="bottom"/>
            <w:hideMark/>
          </w:tcPr>
          <w:p w14:paraId="39881DB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46.94</w:t>
            </w:r>
          </w:p>
        </w:tc>
        <w:tc>
          <w:tcPr>
            <w:tcW w:w="985" w:type="dxa"/>
            <w:tcBorders>
              <w:top w:val="nil"/>
              <w:left w:val="nil"/>
              <w:bottom w:val="nil"/>
              <w:right w:val="nil"/>
            </w:tcBorders>
            <w:shd w:val="clear" w:color="000000" w:fill="FFFFFF"/>
            <w:noWrap/>
            <w:vAlign w:val="bottom"/>
            <w:hideMark/>
          </w:tcPr>
          <w:p w14:paraId="35E8D3A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0.08</w:t>
            </w:r>
          </w:p>
        </w:tc>
        <w:tc>
          <w:tcPr>
            <w:tcW w:w="1183" w:type="dxa"/>
            <w:tcBorders>
              <w:top w:val="nil"/>
              <w:left w:val="nil"/>
              <w:bottom w:val="nil"/>
              <w:right w:val="nil"/>
            </w:tcBorders>
            <w:shd w:val="clear" w:color="000000" w:fill="FFFFFF"/>
            <w:noWrap/>
            <w:vAlign w:val="bottom"/>
            <w:hideMark/>
          </w:tcPr>
          <w:p w14:paraId="400D06F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0.35</w:t>
            </w:r>
          </w:p>
        </w:tc>
      </w:tr>
      <w:tr w:rsidR="00765F47" w:rsidRPr="00086601" w14:paraId="03B6934B" w14:textId="77777777" w:rsidTr="00765F47">
        <w:trPr>
          <w:trHeight w:val="285"/>
        </w:trPr>
        <w:tc>
          <w:tcPr>
            <w:tcW w:w="716" w:type="dxa"/>
            <w:tcBorders>
              <w:top w:val="single" w:sz="4" w:space="0" w:color="auto"/>
              <w:left w:val="nil"/>
              <w:bottom w:val="single" w:sz="4" w:space="0" w:color="auto"/>
              <w:right w:val="nil"/>
            </w:tcBorders>
            <w:shd w:val="clear" w:color="000000" w:fill="FFFFFF"/>
            <w:noWrap/>
            <w:vAlign w:val="bottom"/>
            <w:hideMark/>
          </w:tcPr>
          <w:p w14:paraId="3D9183F6" w14:textId="77777777" w:rsidR="00765F47" w:rsidRPr="00086601" w:rsidRDefault="00765F47" w:rsidP="00765F47">
            <w:pPr>
              <w:spacing w:after="0" w:line="240" w:lineRule="auto"/>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Total</w:t>
            </w:r>
          </w:p>
        </w:tc>
        <w:tc>
          <w:tcPr>
            <w:tcW w:w="1412" w:type="dxa"/>
            <w:tcBorders>
              <w:top w:val="single" w:sz="4" w:space="0" w:color="auto"/>
              <w:left w:val="nil"/>
              <w:bottom w:val="single" w:sz="4" w:space="0" w:color="auto"/>
              <w:right w:val="nil"/>
            </w:tcBorders>
            <w:shd w:val="clear" w:color="000000" w:fill="FFFFFF"/>
            <w:noWrap/>
            <w:vAlign w:val="bottom"/>
            <w:hideMark/>
          </w:tcPr>
          <w:p w14:paraId="12805A0C" w14:textId="77777777" w:rsidR="00765F47" w:rsidRPr="00086601" w:rsidRDefault="00765F47" w:rsidP="00765F47">
            <w:pPr>
              <w:spacing w:after="0" w:line="240" w:lineRule="auto"/>
              <w:jc w:val="right"/>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909</w:t>
            </w:r>
          </w:p>
        </w:tc>
        <w:tc>
          <w:tcPr>
            <w:tcW w:w="1055" w:type="dxa"/>
            <w:tcBorders>
              <w:top w:val="single" w:sz="4" w:space="0" w:color="auto"/>
              <w:left w:val="nil"/>
              <w:bottom w:val="single" w:sz="4" w:space="0" w:color="auto"/>
              <w:right w:val="nil"/>
            </w:tcBorders>
            <w:shd w:val="clear" w:color="000000" w:fill="FFFFFF"/>
            <w:noWrap/>
            <w:vAlign w:val="bottom"/>
            <w:hideMark/>
          </w:tcPr>
          <w:p w14:paraId="610B447E" w14:textId="77777777" w:rsidR="00765F47" w:rsidRPr="00086601" w:rsidRDefault="00765F47" w:rsidP="00765F47">
            <w:pPr>
              <w:spacing w:after="0" w:line="240" w:lineRule="auto"/>
              <w:jc w:val="right"/>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99.99</w:t>
            </w:r>
          </w:p>
        </w:tc>
        <w:tc>
          <w:tcPr>
            <w:tcW w:w="769" w:type="dxa"/>
            <w:tcBorders>
              <w:top w:val="single" w:sz="4" w:space="0" w:color="auto"/>
              <w:left w:val="nil"/>
              <w:bottom w:val="single" w:sz="4" w:space="0" w:color="auto"/>
              <w:right w:val="nil"/>
            </w:tcBorders>
            <w:shd w:val="clear" w:color="000000" w:fill="FFFFFF"/>
            <w:noWrap/>
            <w:vAlign w:val="bottom"/>
            <w:hideMark/>
          </w:tcPr>
          <w:p w14:paraId="084F7037" w14:textId="77777777" w:rsidR="00765F47" w:rsidRPr="00086601" w:rsidRDefault="00765F47" w:rsidP="00765F47">
            <w:pPr>
              <w:spacing w:after="0" w:line="240" w:lineRule="auto"/>
              <w:jc w:val="right"/>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49.50</w:t>
            </w:r>
          </w:p>
        </w:tc>
        <w:tc>
          <w:tcPr>
            <w:tcW w:w="985" w:type="dxa"/>
            <w:tcBorders>
              <w:top w:val="single" w:sz="4" w:space="0" w:color="auto"/>
              <w:left w:val="nil"/>
              <w:bottom w:val="single" w:sz="4" w:space="0" w:color="auto"/>
              <w:right w:val="nil"/>
            </w:tcBorders>
            <w:shd w:val="clear" w:color="000000" w:fill="FFFFFF"/>
            <w:noWrap/>
            <w:vAlign w:val="bottom"/>
            <w:hideMark/>
          </w:tcPr>
          <w:p w14:paraId="6A90AAAC" w14:textId="77777777" w:rsidR="00765F47" w:rsidRPr="00086601" w:rsidRDefault="00765F47" w:rsidP="00765F47">
            <w:pPr>
              <w:spacing w:after="0" w:line="240" w:lineRule="auto"/>
              <w:jc w:val="right"/>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0.02</w:t>
            </w:r>
          </w:p>
        </w:tc>
        <w:tc>
          <w:tcPr>
            <w:tcW w:w="1183" w:type="dxa"/>
            <w:tcBorders>
              <w:top w:val="single" w:sz="4" w:space="0" w:color="auto"/>
              <w:left w:val="nil"/>
              <w:bottom w:val="single" w:sz="4" w:space="0" w:color="auto"/>
              <w:right w:val="nil"/>
            </w:tcBorders>
            <w:shd w:val="clear" w:color="000000" w:fill="FFFFFF"/>
            <w:noWrap/>
            <w:vAlign w:val="bottom"/>
            <w:hideMark/>
          </w:tcPr>
          <w:p w14:paraId="4AF06745" w14:textId="77777777" w:rsidR="00765F47" w:rsidRPr="00086601" w:rsidRDefault="00765F47" w:rsidP="00765F47">
            <w:pPr>
              <w:spacing w:after="0" w:line="240" w:lineRule="auto"/>
              <w:jc w:val="right"/>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0.12</w:t>
            </w:r>
          </w:p>
        </w:tc>
      </w:tr>
    </w:tbl>
    <w:p w14:paraId="57E32FAB" w14:textId="6FC3CB9A" w:rsidR="00765F47" w:rsidRPr="00086601" w:rsidRDefault="00765F47" w:rsidP="00765F47">
      <w:pPr>
        <w:spacing w:line="480" w:lineRule="auto"/>
        <w:jc w:val="both"/>
        <w:rPr>
          <w:rFonts w:ascii="Garamond" w:eastAsiaTheme="minorEastAsia" w:hAnsi="Garamond"/>
          <w:b/>
          <w:bCs/>
          <w:sz w:val="24"/>
          <w:szCs w:val="24"/>
        </w:rPr>
      </w:pPr>
    </w:p>
    <w:p w14:paraId="4566C74F" w14:textId="12F8FEFD" w:rsidR="00FA42BB" w:rsidRPr="00086601" w:rsidRDefault="00FA42BB" w:rsidP="00765F47">
      <w:pPr>
        <w:spacing w:line="480" w:lineRule="auto"/>
        <w:jc w:val="both"/>
        <w:rPr>
          <w:rFonts w:ascii="Garamond" w:eastAsiaTheme="minorEastAsia" w:hAnsi="Garamond"/>
          <w:b/>
          <w:bCs/>
          <w:sz w:val="24"/>
          <w:szCs w:val="24"/>
        </w:rPr>
      </w:pPr>
      <w:r w:rsidRPr="00086601">
        <w:rPr>
          <w:rFonts w:ascii="Garamond" w:eastAsiaTheme="minorEastAsia" w:hAnsi="Garamond"/>
          <w:sz w:val="24"/>
          <w:szCs w:val="24"/>
        </w:rPr>
        <w:t>The following table shows the results from the regression model stated in the hypothesis. The table includes the coefficient and p values for the model when DUVOL or NCSKEW were used as the target value. For each respective target used in the model, the R^2 and number of observations are listed.</w:t>
      </w:r>
    </w:p>
    <w:tbl>
      <w:tblPr>
        <w:tblW w:w="5100" w:type="dxa"/>
        <w:tblLook w:val="04A0" w:firstRow="1" w:lastRow="0" w:firstColumn="1" w:lastColumn="0" w:noHBand="0" w:noVBand="1"/>
      </w:tblPr>
      <w:tblGrid>
        <w:gridCol w:w="1013"/>
        <w:gridCol w:w="972"/>
        <w:gridCol w:w="1126"/>
        <w:gridCol w:w="863"/>
        <w:gridCol w:w="1126"/>
      </w:tblGrid>
      <w:tr w:rsidR="00765F47" w:rsidRPr="00086601" w14:paraId="6BC66CD0" w14:textId="77777777" w:rsidTr="00765F47">
        <w:trPr>
          <w:trHeight w:val="285"/>
        </w:trPr>
        <w:tc>
          <w:tcPr>
            <w:tcW w:w="5100" w:type="dxa"/>
            <w:gridSpan w:val="5"/>
            <w:tcBorders>
              <w:top w:val="nil"/>
              <w:left w:val="nil"/>
              <w:bottom w:val="single" w:sz="4" w:space="0" w:color="auto"/>
              <w:right w:val="nil"/>
            </w:tcBorders>
            <w:shd w:val="clear" w:color="000000" w:fill="FFFFFF"/>
            <w:noWrap/>
            <w:vAlign w:val="bottom"/>
            <w:hideMark/>
          </w:tcPr>
          <w:p w14:paraId="707C4DED" w14:textId="77777777" w:rsidR="00765F47" w:rsidRPr="00086601" w:rsidRDefault="00765F47" w:rsidP="00765F47">
            <w:pPr>
              <w:spacing w:after="0" w:line="240" w:lineRule="auto"/>
              <w:jc w:val="center"/>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Hypothesis 4</w:t>
            </w:r>
          </w:p>
        </w:tc>
      </w:tr>
      <w:tr w:rsidR="00765F47" w:rsidRPr="00086601" w14:paraId="7E1D3341" w14:textId="77777777" w:rsidTr="00765F47">
        <w:trPr>
          <w:trHeight w:val="285"/>
        </w:trPr>
        <w:tc>
          <w:tcPr>
            <w:tcW w:w="1013" w:type="dxa"/>
            <w:tcBorders>
              <w:top w:val="nil"/>
              <w:left w:val="nil"/>
              <w:bottom w:val="nil"/>
              <w:right w:val="nil"/>
            </w:tcBorders>
            <w:shd w:val="clear" w:color="000000" w:fill="FFFFFF"/>
            <w:noWrap/>
            <w:vAlign w:val="bottom"/>
            <w:hideMark/>
          </w:tcPr>
          <w:p w14:paraId="3649612C"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 </w:t>
            </w:r>
          </w:p>
        </w:tc>
        <w:tc>
          <w:tcPr>
            <w:tcW w:w="4087" w:type="dxa"/>
            <w:gridSpan w:val="4"/>
            <w:tcBorders>
              <w:top w:val="nil"/>
              <w:left w:val="nil"/>
              <w:bottom w:val="single" w:sz="4" w:space="0" w:color="auto"/>
              <w:right w:val="nil"/>
            </w:tcBorders>
            <w:shd w:val="clear" w:color="000000" w:fill="FFFFFF"/>
            <w:noWrap/>
            <w:vAlign w:val="bottom"/>
            <w:hideMark/>
          </w:tcPr>
          <w:p w14:paraId="3821A755"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Crash Risk Measure</w:t>
            </w:r>
          </w:p>
        </w:tc>
      </w:tr>
      <w:tr w:rsidR="00765F47" w:rsidRPr="00086601" w14:paraId="1DAC0998" w14:textId="77777777" w:rsidTr="00765F47">
        <w:trPr>
          <w:trHeight w:val="285"/>
        </w:trPr>
        <w:tc>
          <w:tcPr>
            <w:tcW w:w="1013" w:type="dxa"/>
            <w:tcBorders>
              <w:top w:val="nil"/>
              <w:left w:val="nil"/>
              <w:bottom w:val="nil"/>
              <w:right w:val="nil"/>
            </w:tcBorders>
            <w:shd w:val="clear" w:color="000000" w:fill="FFFFFF"/>
            <w:noWrap/>
            <w:vAlign w:val="bottom"/>
            <w:hideMark/>
          </w:tcPr>
          <w:p w14:paraId="41443A7A"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 </w:t>
            </w:r>
          </w:p>
        </w:tc>
        <w:tc>
          <w:tcPr>
            <w:tcW w:w="2098" w:type="dxa"/>
            <w:gridSpan w:val="2"/>
            <w:tcBorders>
              <w:top w:val="nil"/>
              <w:left w:val="nil"/>
              <w:bottom w:val="nil"/>
              <w:right w:val="nil"/>
            </w:tcBorders>
            <w:shd w:val="clear" w:color="000000" w:fill="FFFFFF"/>
            <w:noWrap/>
            <w:vAlign w:val="bottom"/>
            <w:hideMark/>
          </w:tcPr>
          <w:p w14:paraId="71842984"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DUVOL</w:t>
            </w:r>
          </w:p>
        </w:tc>
        <w:tc>
          <w:tcPr>
            <w:tcW w:w="1989" w:type="dxa"/>
            <w:gridSpan w:val="2"/>
            <w:tcBorders>
              <w:top w:val="nil"/>
              <w:left w:val="nil"/>
              <w:bottom w:val="nil"/>
              <w:right w:val="nil"/>
            </w:tcBorders>
            <w:shd w:val="clear" w:color="000000" w:fill="FFFFFF"/>
            <w:noWrap/>
            <w:vAlign w:val="bottom"/>
            <w:hideMark/>
          </w:tcPr>
          <w:p w14:paraId="7639ACED"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NCSKEW</w:t>
            </w:r>
          </w:p>
        </w:tc>
      </w:tr>
      <w:tr w:rsidR="00765F47" w:rsidRPr="00086601" w14:paraId="42EA963B" w14:textId="77777777" w:rsidTr="00765F47">
        <w:trPr>
          <w:trHeight w:val="285"/>
        </w:trPr>
        <w:tc>
          <w:tcPr>
            <w:tcW w:w="1013" w:type="dxa"/>
            <w:tcBorders>
              <w:top w:val="single" w:sz="4" w:space="0" w:color="auto"/>
              <w:left w:val="nil"/>
              <w:bottom w:val="single" w:sz="4" w:space="0" w:color="auto"/>
              <w:right w:val="nil"/>
            </w:tcBorders>
            <w:shd w:val="clear" w:color="000000" w:fill="FFFFFF"/>
            <w:noWrap/>
            <w:vAlign w:val="bottom"/>
            <w:hideMark/>
          </w:tcPr>
          <w:p w14:paraId="6BF8CBAE" w14:textId="77777777" w:rsidR="00765F47" w:rsidRPr="00086601" w:rsidRDefault="00765F47" w:rsidP="00765F47">
            <w:pPr>
              <w:spacing w:after="0" w:line="240" w:lineRule="auto"/>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Model</w:t>
            </w:r>
          </w:p>
        </w:tc>
        <w:tc>
          <w:tcPr>
            <w:tcW w:w="972" w:type="dxa"/>
            <w:tcBorders>
              <w:top w:val="single" w:sz="4" w:space="0" w:color="auto"/>
              <w:left w:val="nil"/>
              <w:bottom w:val="single" w:sz="4" w:space="0" w:color="auto"/>
              <w:right w:val="nil"/>
            </w:tcBorders>
            <w:shd w:val="clear" w:color="000000" w:fill="FFFFFF"/>
            <w:noWrap/>
            <w:vAlign w:val="bottom"/>
            <w:hideMark/>
          </w:tcPr>
          <w:p w14:paraId="42AACCA5"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proofErr w:type="spellStart"/>
            <w:r w:rsidRPr="00086601">
              <w:rPr>
                <w:rFonts w:ascii="Garamond" w:eastAsia="Times New Roman" w:hAnsi="Garamond" w:cs="Calibri"/>
                <w:b/>
                <w:bCs/>
                <w:color w:val="000000"/>
                <w:sz w:val="24"/>
                <w:szCs w:val="24"/>
              </w:rPr>
              <w:t>Coef</w:t>
            </w:r>
            <w:proofErr w:type="spellEnd"/>
          </w:p>
        </w:tc>
        <w:tc>
          <w:tcPr>
            <w:tcW w:w="1126" w:type="dxa"/>
            <w:tcBorders>
              <w:top w:val="single" w:sz="4" w:space="0" w:color="auto"/>
              <w:left w:val="nil"/>
              <w:bottom w:val="single" w:sz="4" w:space="0" w:color="auto"/>
              <w:right w:val="nil"/>
            </w:tcBorders>
            <w:shd w:val="clear" w:color="000000" w:fill="FFFFFF"/>
            <w:noWrap/>
            <w:vAlign w:val="bottom"/>
            <w:hideMark/>
          </w:tcPr>
          <w:p w14:paraId="2D79A84A"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p value</w:t>
            </w:r>
          </w:p>
        </w:tc>
        <w:tc>
          <w:tcPr>
            <w:tcW w:w="863" w:type="dxa"/>
            <w:tcBorders>
              <w:top w:val="single" w:sz="4" w:space="0" w:color="auto"/>
              <w:left w:val="nil"/>
              <w:bottom w:val="single" w:sz="4" w:space="0" w:color="auto"/>
              <w:right w:val="nil"/>
            </w:tcBorders>
            <w:shd w:val="clear" w:color="000000" w:fill="FFFFFF"/>
            <w:noWrap/>
            <w:vAlign w:val="bottom"/>
            <w:hideMark/>
          </w:tcPr>
          <w:p w14:paraId="2F39EA43"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proofErr w:type="spellStart"/>
            <w:r w:rsidRPr="00086601">
              <w:rPr>
                <w:rFonts w:ascii="Garamond" w:eastAsia="Times New Roman" w:hAnsi="Garamond" w:cs="Calibri"/>
                <w:b/>
                <w:bCs/>
                <w:color w:val="000000"/>
                <w:sz w:val="24"/>
                <w:szCs w:val="24"/>
              </w:rPr>
              <w:t>Coef</w:t>
            </w:r>
            <w:proofErr w:type="spellEnd"/>
          </w:p>
        </w:tc>
        <w:tc>
          <w:tcPr>
            <w:tcW w:w="1126" w:type="dxa"/>
            <w:tcBorders>
              <w:top w:val="single" w:sz="4" w:space="0" w:color="auto"/>
              <w:left w:val="nil"/>
              <w:bottom w:val="single" w:sz="4" w:space="0" w:color="auto"/>
              <w:right w:val="nil"/>
            </w:tcBorders>
            <w:shd w:val="clear" w:color="000000" w:fill="FFFFFF"/>
            <w:noWrap/>
            <w:vAlign w:val="bottom"/>
            <w:hideMark/>
          </w:tcPr>
          <w:p w14:paraId="5BDCDBD6"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p value</w:t>
            </w:r>
          </w:p>
        </w:tc>
      </w:tr>
      <w:tr w:rsidR="00765F47" w:rsidRPr="00086601" w14:paraId="0CA409CB" w14:textId="77777777" w:rsidTr="00765F47">
        <w:trPr>
          <w:trHeight w:val="285"/>
        </w:trPr>
        <w:tc>
          <w:tcPr>
            <w:tcW w:w="1013" w:type="dxa"/>
            <w:tcBorders>
              <w:top w:val="nil"/>
              <w:left w:val="nil"/>
              <w:bottom w:val="nil"/>
              <w:right w:val="nil"/>
            </w:tcBorders>
            <w:shd w:val="clear" w:color="000000" w:fill="FFFFFF"/>
            <w:noWrap/>
            <w:vAlign w:val="bottom"/>
            <w:hideMark/>
          </w:tcPr>
          <w:p w14:paraId="3C922814"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const</w:t>
            </w:r>
          </w:p>
        </w:tc>
        <w:tc>
          <w:tcPr>
            <w:tcW w:w="972" w:type="dxa"/>
            <w:tcBorders>
              <w:top w:val="nil"/>
              <w:left w:val="nil"/>
              <w:bottom w:val="nil"/>
              <w:right w:val="nil"/>
            </w:tcBorders>
            <w:shd w:val="clear" w:color="000000" w:fill="FFFFFF"/>
            <w:noWrap/>
            <w:vAlign w:val="bottom"/>
            <w:hideMark/>
          </w:tcPr>
          <w:p w14:paraId="4E186E8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-0.003</w:t>
            </w:r>
          </w:p>
        </w:tc>
        <w:tc>
          <w:tcPr>
            <w:tcW w:w="1126" w:type="dxa"/>
            <w:tcBorders>
              <w:top w:val="nil"/>
              <w:left w:val="nil"/>
              <w:bottom w:val="nil"/>
              <w:right w:val="nil"/>
            </w:tcBorders>
            <w:shd w:val="clear" w:color="000000" w:fill="FFFFFF"/>
            <w:noWrap/>
            <w:vAlign w:val="bottom"/>
            <w:hideMark/>
          </w:tcPr>
          <w:p w14:paraId="1A54A35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0.882</w:t>
            </w:r>
          </w:p>
        </w:tc>
        <w:tc>
          <w:tcPr>
            <w:tcW w:w="863" w:type="dxa"/>
            <w:tcBorders>
              <w:top w:val="nil"/>
              <w:left w:val="nil"/>
              <w:bottom w:val="nil"/>
              <w:right w:val="nil"/>
            </w:tcBorders>
            <w:shd w:val="clear" w:color="000000" w:fill="FFFFFF"/>
            <w:noWrap/>
            <w:vAlign w:val="bottom"/>
            <w:hideMark/>
          </w:tcPr>
          <w:p w14:paraId="3C0AC48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0.041</w:t>
            </w:r>
          </w:p>
        </w:tc>
        <w:tc>
          <w:tcPr>
            <w:tcW w:w="1126" w:type="dxa"/>
            <w:tcBorders>
              <w:top w:val="nil"/>
              <w:left w:val="nil"/>
              <w:bottom w:val="nil"/>
              <w:right w:val="nil"/>
            </w:tcBorders>
            <w:shd w:val="clear" w:color="000000" w:fill="FFFFFF"/>
            <w:noWrap/>
            <w:vAlign w:val="bottom"/>
            <w:hideMark/>
          </w:tcPr>
          <w:p w14:paraId="04214D6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0.507</w:t>
            </w:r>
          </w:p>
        </w:tc>
      </w:tr>
      <w:tr w:rsidR="00765F47" w:rsidRPr="00086601" w14:paraId="66BEFC02" w14:textId="77777777" w:rsidTr="00765F47">
        <w:trPr>
          <w:trHeight w:val="285"/>
        </w:trPr>
        <w:tc>
          <w:tcPr>
            <w:tcW w:w="1013" w:type="dxa"/>
            <w:tcBorders>
              <w:top w:val="nil"/>
              <w:left w:val="nil"/>
              <w:bottom w:val="nil"/>
              <w:right w:val="nil"/>
            </w:tcBorders>
            <w:shd w:val="clear" w:color="000000" w:fill="FFFFFF"/>
            <w:noWrap/>
            <w:vAlign w:val="bottom"/>
            <w:hideMark/>
          </w:tcPr>
          <w:p w14:paraId="0C187742"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IDV</w:t>
            </w:r>
          </w:p>
        </w:tc>
        <w:tc>
          <w:tcPr>
            <w:tcW w:w="972" w:type="dxa"/>
            <w:tcBorders>
              <w:top w:val="nil"/>
              <w:left w:val="nil"/>
              <w:bottom w:val="nil"/>
              <w:right w:val="nil"/>
            </w:tcBorders>
            <w:shd w:val="clear" w:color="000000" w:fill="FFFFFF"/>
            <w:noWrap/>
            <w:vAlign w:val="bottom"/>
            <w:hideMark/>
          </w:tcPr>
          <w:p w14:paraId="21A3CF8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0.001</w:t>
            </w:r>
          </w:p>
        </w:tc>
        <w:tc>
          <w:tcPr>
            <w:tcW w:w="1126" w:type="dxa"/>
            <w:tcBorders>
              <w:top w:val="nil"/>
              <w:left w:val="nil"/>
              <w:bottom w:val="nil"/>
              <w:right w:val="nil"/>
            </w:tcBorders>
            <w:shd w:val="clear" w:color="000000" w:fill="FFFFFF"/>
            <w:noWrap/>
            <w:vAlign w:val="bottom"/>
            <w:hideMark/>
          </w:tcPr>
          <w:p w14:paraId="245D62D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0.078</w:t>
            </w:r>
          </w:p>
        </w:tc>
        <w:tc>
          <w:tcPr>
            <w:tcW w:w="863" w:type="dxa"/>
            <w:tcBorders>
              <w:top w:val="nil"/>
              <w:left w:val="nil"/>
              <w:bottom w:val="nil"/>
              <w:right w:val="nil"/>
            </w:tcBorders>
            <w:shd w:val="clear" w:color="000000" w:fill="FFFFFF"/>
            <w:noWrap/>
            <w:vAlign w:val="bottom"/>
            <w:hideMark/>
          </w:tcPr>
          <w:p w14:paraId="2DA64C3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0.002</w:t>
            </w:r>
          </w:p>
        </w:tc>
        <w:tc>
          <w:tcPr>
            <w:tcW w:w="1126" w:type="dxa"/>
            <w:tcBorders>
              <w:top w:val="nil"/>
              <w:left w:val="nil"/>
              <w:bottom w:val="nil"/>
              <w:right w:val="nil"/>
            </w:tcBorders>
            <w:shd w:val="clear" w:color="000000" w:fill="FFFFFF"/>
            <w:noWrap/>
            <w:vAlign w:val="bottom"/>
            <w:hideMark/>
          </w:tcPr>
          <w:p w14:paraId="5FC6BFF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0.171</w:t>
            </w:r>
          </w:p>
        </w:tc>
      </w:tr>
      <w:tr w:rsidR="00765F47" w:rsidRPr="00086601" w14:paraId="11A6292E" w14:textId="77777777" w:rsidTr="00765F47">
        <w:trPr>
          <w:trHeight w:val="285"/>
        </w:trPr>
        <w:tc>
          <w:tcPr>
            <w:tcW w:w="1013" w:type="dxa"/>
            <w:tcBorders>
              <w:top w:val="nil"/>
              <w:left w:val="nil"/>
              <w:bottom w:val="nil"/>
              <w:right w:val="nil"/>
            </w:tcBorders>
            <w:shd w:val="clear" w:color="000000" w:fill="FFFFFF"/>
            <w:noWrap/>
            <w:vAlign w:val="bottom"/>
            <w:hideMark/>
          </w:tcPr>
          <w:p w14:paraId="47D6C90B"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R^2</w:t>
            </w:r>
          </w:p>
        </w:tc>
        <w:tc>
          <w:tcPr>
            <w:tcW w:w="972" w:type="dxa"/>
            <w:tcBorders>
              <w:top w:val="nil"/>
              <w:left w:val="nil"/>
              <w:bottom w:val="nil"/>
              <w:right w:val="nil"/>
            </w:tcBorders>
            <w:shd w:val="clear" w:color="000000" w:fill="FFFFFF"/>
            <w:noWrap/>
            <w:vAlign w:val="bottom"/>
            <w:hideMark/>
          </w:tcPr>
          <w:p w14:paraId="15EB8F8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0.003</w:t>
            </w:r>
          </w:p>
        </w:tc>
        <w:tc>
          <w:tcPr>
            <w:tcW w:w="1126" w:type="dxa"/>
            <w:tcBorders>
              <w:top w:val="nil"/>
              <w:left w:val="nil"/>
              <w:bottom w:val="nil"/>
              <w:right w:val="nil"/>
            </w:tcBorders>
            <w:shd w:val="clear" w:color="000000" w:fill="FFFFFF"/>
            <w:noWrap/>
            <w:vAlign w:val="bottom"/>
            <w:hideMark/>
          </w:tcPr>
          <w:p w14:paraId="08EEE4E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 </w:t>
            </w:r>
          </w:p>
        </w:tc>
        <w:tc>
          <w:tcPr>
            <w:tcW w:w="863" w:type="dxa"/>
            <w:tcBorders>
              <w:top w:val="nil"/>
              <w:left w:val="nil"/>
              <w:bottom w:val="nil"/>
              <w:right w:val="nil"/>
            </w:tcBorders>
            <w:shd w:val="clear" w:color="000000" w:fill="FFFFFF"/>
            <w:noWrap/>
            <w:vAlign w:val="bottom"/>
            <w:hideMark/>
          </w:tcPr>
          <w:p w14:paraId="4FD0FD4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0.002</w:t>
            </w:r>
          </w:p>
        </w:tc>
        <w:tc>
          <w:tcPr>
            <w:tcW w:w="1126" w:type="dxa"/>
            <w:tcBorders>
              <w:top w:val="nil"/>
              <w:left w:val="nil"/>
              <w:bottom w:val="nil"/>
              <w:right w:val="nil"/>
            </w:tcBorders>
            <w:shd w:val="clear" w:color="000000" w:fill="FFFFFF"/>
            <w:noWrap/>
            <w:vAlign w:val="bottom"/>
            <w:hideMark/>
          </w:tcPr>
          <w:p w14:paraId="1F90D0C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 </w:t>
            </w:r>
          </w:p>
        </w:tc>
      </w:tr>
      <w:tr w:rsidR="00765F47" w:rsidRPr="00086601" w14:paraId="165BEA41" w14:textId="77777777" w:rsidTr="00765F47">
        <w:trPr>
          <w:trHeight w:val="285"/>
        </w:trPr>
        <w:tc>
          <w:tcPr>
            <w:tcW w:w="1013" w:type="dxa"/>
            <w:tcBorders>
              <w:top w:val="nil"/>
              <w:left w:val="nil"/>
              <w:bottom w:val="single" w:sz="4" w:space="0" w:color="auto"/>
              <w:right w:val="nil"/>
            </w:tcBorders>
            <w:shd w:val="clear" w:color="000000" w:fill="FFFFFF"/>
            <w:noWrap/>
            <w:vAlign w:val="bottom"/>
            <w:hideMark/>
          </w:tcPr>
          <w:p w14:paraId="2E8676BF" w14:textId="77777777" w:rsidR="00765F47" w:rsidRPr="00086601" w:rsidRDefault="00765F47" w:rsidP="00765F47">
            <w:pPr>
              <w:spacing w:after="0" w:line="240" w:lineRule="auto"/>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n</w:t>
            </w:r>
          </w:p>
        </w:tc>
        <w:tc>
          <w:tcPr>
            <w:tcW w:w="972" w:type="dxa"/>
            <w:tcBorders>
              <w:top w:val="nil"/>
              <w:left w:val="nil"/>
              <w:bottom w:val="single" w:sz="4" w:space="0" w:color="auto"/>
              <w:right w:val="nil"/>
            </w:tcBorders>
            <w:shd w:val="clear" w:color="000000" w:fill="FFFFFF"/>
            <w:noWrap/>
            <w:vAlign w:val="bottom"/>
            <w:hideMark/>
          </w:tcPr>
          <w:p w14:paraId="7786373A" w14:textId="77777777" w:rsidR="00765F47" w:rsidRPr="00086601" w:rsidRDefault="00765F47" w:rsidP="00765F47">
            <w:pPr>
              <w:spacing w:after="0" w:line="240" w:lineRule="auto"/>
              <w:jc w:val="right"/>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909</w:t>
            </w:r>
          </w:p>
        </w:tc>
        <w:tc>
          <w:tcPr>
            <w:tcW w:w="1126" w:type="dxa"/>
            <w:tcBorders>
              <w:top w:val="nil"/>
              <w:left w:val="nil"/>
              <w:bottom w:val="single" w:sz="4" w:space="0" w:color="auto"/>
              <w:right w:val="nil"/>
            </w:tcBorders>
            <w:shd w:val="clear" w:color="000000" w:fill="FFFFFF"/>
            <w:noWrap/>
            <w:vAlign w:val="bottom"/>
            <w:hideMark/>
          </w:tcPr>
          <w:p w14:paraId="7301B4F6" w14:textId="77777777" w:rsidR="00765F47" w:rsidRPr="00086601" w:rsidRDefault="00765F47" w:rsidP="00765F47">
            <w:pPr>
              <w:spacing w:after="0" w:line="240" w:lineRule="auto"/>
              <w:jc w:val="right"/>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 </w:t>
            </w:r>
          </w:p>
        </w:tc>
        <w:tc>
          <w:tcPr>
            <w:tcW w:w="863" w:type="dxa"/>
            <w:tcBorders>
              <w:top w:val="nil"/>
              <w:left w:val="nil"/>
              <w:bottom w:val="single" w:sz="4" w:space="0" w:color="auto"/>
              <w:right w:val="nil"/>
            </w:tcBorders>
            <w:shd w:val="clear" w:color="000000" w:fill="FFFFFF"/>
            <w:noWrap/>
            <w:vAlign w:val="bottom"/>
            <w:hideMark/>
          </w:tcPr>
          <w:p w14:paraId="23883C2D" w14:textId="77777777" w:rsidR="00765F47" w:rsidRPr="00086601" w:rsidRDefault="00765F47" w:rsidP="00765F47">
            <w:pPr>
              <w:spacing w:after="0" w:line="240" w:lineRule="auto"/>
              <w:jc w:val="right"/>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909</w:t>
            </w:r>
          </w:p>
        </w:tc>
        <w:tc>
          <w:tcPr>
            <w:tcW w:w="1126" w:type="dxa"/>
            <w:tcBorders>
              <w:top w:val="nil"/>
              <w:left w:val="nil"/>
              <w:bottom w:val="single" w:sz="4" w:space="0" w:color="auto"/>
              <w:right w:val="nil"/>
            </w:tcBorders>
            <w:shd w:val="clear" w:color="000000" w:fill="FFFFFF"/>
            <w:noWrap/>
            <w:vAlign w:val="bottom"/>
            <w:hideMark/>
          </w:tcPr>
          <w:p w14:paraId="3C79591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 </w:t>
            </w:r>
          </w:p>
        </w:tc>
      </w:tr>
    </w:tbl>
    <w:p w14:paraId="6CD24749" w14:textId="1C025EB3" w:rsidR="00765F47" w:rsidRPr="00086601" w:rsidRDefault="00765F47" w:rsidP="00765F47">
      <w:pPr>
        <w:spacing w:line="480" w:lineRule="auto"/>
        <w:jc w:val="both"/>
        <w:rPr>
          <w:rFonts w:ascii="Garamond" w:eastAsiaTheme="minorEastAsia" w:hAnsi="Garamond"/>
          <w:b/>
          <w:bCs/>
          <w:sz w:val="24"/>
          <w:szCs w:val="24"/>
        </w:rPr>
      </w:pPr>
    </w:p>
    <w:p w14:paraId="39089B5A" w14:textId="72C0A09A" w:rsidR="00FA42BB" w:rsidRPr="00086601" w:rsidRDefault="00FA42BB" w:rsidP="00FA42BB">
      <w:pPr>
        <w:spacing w:line="480" w:lineRule="auto"/>
        <w:jc w:val="both"/>
        <w:rPr>
          <w:rFonts w:ascii="Garamond" w:eastAsiaTheme="minorEastAsia" w:hAnsi="Garamond"/>
          <w:sz w:val="24"/>
          <w:szCs w:val="24"/>
        </w:rPr>
      </w:pPr>
      <w:r w:rsidRPr="00086601">
        <w:rPr>
          <w:rFonts w:ascii="Garamond" w:eastAsiaTheme="minorEastAsia" w:hAnsi="Garamond"/>
          <w:sz w:val="24"/>
          <w:szCs w:val="24"/>
        </w:rPr>
        <w:lastRenderedPageBreak/>
        <w:t>The table above indicates insignificance across either model for all independent variables used at a 95% confidence level. In conclusion, the individualism of a country has no significant relationship with crash risk.</w:t>
      </w:r>
    </w:p>
    <w:p w14:paraId="0EC29C89" w14:textId="3EA15BC5" w:rsidR="00FA42BB" w:rsidRPr="001F758F" w:rsidRDefault="00FA42BB" w:rsidP="001F758F">
      <w:pPr>
        <w:pStyle w:val="Heading3"/>
        <w:spacing w:after="240"/>
        <w:rPr>
          <w:rFonts w:ascii="Garamond" w:eastAsiaTheme="minorEastAsia" w:hAnsi="Garamond"/>
          <w:b/>
          <w:bCs/>
        </w:rPr>
      </w:pPr>
      <w:r w:rsidRPr="001F758F">
        <w:rPr>
          <w:rFonts w:ascii="Garamond" w:eastAsiaTheme="minorEastAsia" w:hAnsi="Garamond"/>
          <w:b/>
          <w:bCs/>
          <w:color w:val="000000" w:themeColor="text1"/>
        </w:rPr>
        <w:t>Hypothesis 5: The effects of a country’s uncertainty avoidance, planning horizon, and crash risk</w:t>
      </w:r>
    </w:p>
    <w:p w14:paraId="21F7C335" w14:textId="0CF0D80B" w:rsidR="00FA42BB" w:rsidRPr="00086601" w:rsidRDefault="00FA42BB" w:rsidP="00FA42BB">
      <w:pPr>
        <w:spacing w:line="480" w:lineRule="auto"/>
        <w:rPr>
          <w:rFonts w:ascii="Garamond" w:hAnsi="Garamond"/>
          <w:sz w:val="24"/>
          <w:szCs w:val="24"/>
        </w:rPr>
      </w:pPr>
      <w:r w:rsidRPr="00086601">
        <w:rPr>
          <w:rFonts w:ascii="Garamond" w:hAnsi="Garamond"/>
          <w:sz w:val="24"/>
          <w:szCs w:val="24"/>
        </w:rPr>
        <w:t>The hypothesis was analyzed at the aggregate level of every country’s crash risk, uncertainty avoidance, and long</w:t>
      </w:r>
      <w:r w:rsidR="006A1D85" w:rsidRPr="00086601">
        <w:rPr>
          <w:rFonts w:ascii="Garamond" w:hAnsi="Garamond"/>
          <w:sz w:val="24"/>
          <w:szCs w:val="24"/>
        </w:rPr>
        <w:t>-</w:t>
      </w:r>
      <w:r w:rsidRPr="00086601">
        <w:rPr>
          <w:rFonts w:ascii="Garamond" w:hAnsi="Garamond"/>
          <w:sz w:val="24"/>
          <w:szCs w:val="24"/>
        </w:rPr>
        <w:t>term orientation index for years available in the period 2000 to 2019. The table below shows the sample of data distributed over the time period. The table also shows the number of observations in each year, the weight that the observations of each year have over the entire period, and average annual values for UAI, LTO, DUVOL, and NCSKEW.</w:t>
      </w:r>
    </w:p>
    <w:tbl>
      <w:tblPr>
        <w:tblW w:w="7140" w:type="dxa"/>
        <w:tblLook w:val="04A0" w:firstRow="1" w:lastRow="0" w:firstColumn="1" w:lastColumn="0" w:noHBand="0" w:noVBand="1"/>
      </w:tblPr>
      <w:tblGrid>
        <w:gridCol w:w="759"/>
        <w:gridCol w:w="1463"/>
        <w:gridCol w:w="1094"/>
        <w:gridCol w:w="797"/>
        <w:gridCol w:w="797"/>
        <w:gridCol w:w="1089"/>
        <w:gridCol w:w="1252"/>
      </w:tblGrid>
      <w:tr w:rsidR="00765F47" w:rsidRPr="00086601" w14:paraId="5EDA81AE" w14:textId="77777777" w:rsidTr="00765F47">
        <w:trPr>
          <w:trHeight w:val="285"/>
        </w:trPr>
        <w:tc>
          <w:tcPr>
            <w:tcW w:w="7140" w:type="dxa"/>
            <w:gridSpan w:val="7"/>
            <w:tcBorders>
              <w:top w:val="nil"/>
              <w:left w:val="nil"/>
              <w:bottom w:val="single" w:sz="4" w:space="0" w:color="auto"/>
              <w:right w:val="nil"/>
            </w:tcBorders>
            <w:shd w:val="clear" w:color="auto" w:fill="auto"/>
            <w:noWrap/>
            <w:vAlign w:val="bottom"/>
            <w:hideMark/>
          </w:tcPr>
          <w:p w14:paraId="184D0C38" w14:textId="77777777" w:rsidR="00765F47" w:rsidRPr="00086601" w:rsidRDefault="00765F47" w:rsidP="00765F47">
            <w:pPr>
              <w:spacing w:after="0" w:line="240" w:lineRule="auto"/>
              <w:jc w:val="center"/>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Hypothesis 5</w:t>
            </w:r>
          </w:p>
        </w:tc>
      </w:tr>
      <w:tr w:rsidR="00765F47" w:rsidRPr="00086601" w14:paraId="451761E8" w14:textId="77777777" w:rsidTr="00765F47">
        <w:trPr>
          <w:trHeight w:val="285"/>
        </w:trPr>
        <w:tc>
          <w:tcPr>
            <w:tcW w:w="741" w:type="dxa"/>
            <w:tcBorders>
              <w:top w:val="nil"/>
              <w:left w:val="nil"/>
              <w:bottom w:val="single" w:sz="4" w:space="0" w:color="auto"/>
              <w:right w:val="nil"/>
            </w:tcBorders>
            <w:shd w:val="clear" w:color="000000" w:fill="FFFFFF"/>
            <w:noWrap/>
            <w:vAlign w:val="bottom"/>
            <w:hideMark/>
          </w:tcPr>
          <w:p w14:paraId="7FADD908" w14:textId="77777777" w:rsidR="00765F47" w:rsidRPr="00086601" w:rsidRDefault="00765F47" w:rsidP="00765F47">
            <w:pPr>
              <w:spacing w:after="0" w:line="240" w:lineRule="auto"/>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Year</w:t>
            </w:r>
          </w:p>
        </w:tc>
        <w:tc>
          <w:tcPr>
            <w:tcW w:w="1463" w:type="dxa"/>
            <w:tcBorders>
              <w:top w:val="nil"/>
              <w:left w:val="nil"/>
              <w:bottom w:val="single" w:sz="4" w:space="0" w:color="auto"/>
              <w:right w:val="nil"/>
            </w:tcBorders>
            <w:shd w:val="clear" w:color="000000" w:fill="FFFFFF"/>
            <w:noWrap/>
            <w:vAlign w:val="bottom"/>
            <w:hideMark/>
          </w:tcPr>
          <w:p w14:paraId="4B6C0C87"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Frequency</w:t>
            </w:r>
          </w:p>
        </w:tc>
        <w:tc>
          <w:tcPr>
            <w:tcW w:w="1094" w:type="dxa"/>
            <w:tcBorders>
              <w:top w:val="nil"/>
              <w:left w:val="nil"/>
              <w:bottom w:val="single" w:sz="4" w:space="0" w:color="auto"/>
              <w:right w:val="nil"/>
            </w:tcBorders>
            <w:shd w:val="clear" w:color="000000" w:fill="FFFFFF"/>
            <w:noWrap/>
            <w:vAlign w:val="bottom"/>
            <w:hideMark/>
          </w:tcPr>
          <w:p w14:paraId="0B29845E"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Percent</w:t>
            </w:r>
          </w:p>
        </w:tc>
        <w:tc>
          <w:tcPr>
            <w:tcW w:w="797" w:type="dxa"/>
            <w:tcBorders>
              <w:top w:val="nil"/>
              <w:left w:val="nil"/>
              <w:bottom w:val="single" w:sz="4" w:space="0" w:color="auto"/>
              <w:right w:val="nil"/>
            </w:tcBorders>
            <w:shd w:val="clear" w:color="000000" w:fill="FFFFFF"/>
            <w:noWrap/>
            <w:vAlign w:val="bottom"/>
            <w:hideMark/>
          </w:tcPr>
          <w:p w14:paraId="52C7BE26"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UAI</w:t>
            </w:r>
          </w:p>
        </w:tc>
        <w:tc>
          <w:tcPr>
            <w:tcW w:w="797" w:type="dxa"/>
            <w:tcBorders>
              <w:top w:val="nil"/>
              <w:left w:val="nil"/>
              <w:bottom w:val="single" w:sz="4" w:space="0" w:color="auto"/>
              <w:right w:val="nil"/>
            </w:tcBorders>
            <w:shd w:val="clear" w:color="000000" w:fill="FFFFFF"/>
            <w:noWrap/>
            <w:vAlign w:val="bottom"/>
            <w:hideMark/>
          </w:tcPr>
          <w:p w14:paraId="53D693E4"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LTO</w:t>
            </w:r>
          </w:p>
        </w:tc>
        <w:tc>
          <w:tcPr>
            <w:tcW w:w="1021" w:type="dxa"/>
            <w:tcBorders>
              <w:top w:val="nil"/>
              <w:left w:val="nil"/>
              <w:bottom w:val="single" w:sz="4" w:space="0" w:color="auto"/>
              <w:right w:val="nil"/>
            </w:tcBorders>
            <w:shd w:val="clear" w:color="000000" w:fill="FFFFFF"/>
            <w:noWrap/>
            <w:vAlign w:val="bottom"/>
            <w:hideMark/>
          </w:tcPr>
          <w:p w14:paraId="69F474BB"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DUVOL</w:t>
            </w:r>
          </w:p>
        </w:tc>
        <w:tc>
          <w:tcPr>
            <w:tcW w:w="1227" w:type="dxa"/>
            <w:tcBorders>
              <w:top w:val="nil"/>
              <w:left w:val="nil"/>
              <w:bottom w:val="single" w:sz="4" w:space="0" w:color="auto"/>
              <w:right w:val="nil"/>
            </w:tcBorders>
            <w:shd w:val="clear" w:color="000000" w:fill="FFFFFF"/>
            <w:noWrap/>
            <w:vAlign w:val="bottom"/>
            <w:hideMark/>
          </w:tcPr>
          <w:p w14:paraId="622F2125"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NCSKEW</w:t>
            </w:r>
          </w:p>
        </w:tc>
      </w:tr>
      <w:tr w:rsidR="00765F47" w:rsidRPr="00086601" w14:paraId="691181DD" w14:textId="77777777" w:rsidTr="00765F47">
        <w:trPr>
          <w:trHeight w:val="285"/>
        </w:trPr>
        <w:tc>
          <w:tcPr>
            <w:tcW w:w="741" w:type="dxa"/>
            <w:tcBorders>
              <w:top w:val="nil"/>
              <w:left w:val="nil"/>
              <w:bottom w:val="nil"/>
              <w:right w:val="nil"/>
            </w:tcBorders>
            <w:shd w:val="clear" w:color="000000" w:fill="FFFFFF"/>
            <w:noWrap/>
            <w:vAlign w:val="bottom"/>
            <w:hideMark/>
          </w:tcPr>
          <w:p w14:paraId="2D13D67A"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2000</w:t>
            </w:r>
          </w:p>
        </w:tc>
        <w:tc>
          <w:tcPr>
            <w:tcW w:w="1463" w:type="dxa"/>
            <w:tcBorders>
              <w:top w:val="nil"/>
              <w:left w:val="nil"/>
              <w:bottom w:val="nil"/>
              <w:right w:val="nil"/>
            </w:tcBorders>
            <w:shd w:val="clear" w:color="000000" w:fill="FFFFFF"/>
            <w:noWrap/>
            <w:vAlign w:val="bottom"/>
            <w:hideMark/>
          </w:tcPr>
          <w:p w14:paraId="6D17CDF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33</w:t>
            </w:r>
          </w:p>
        </w:tc>
        <w:tc>
          <w:tcPr>
            <w:tcW w:w="1094" w:type="dxa"/>
            <w:tcBorders>
              <w:top w:val="nil"/>
              <w:left w:val="nil"/>
              <w:bottom w:val="nil"/>
              <w:right w:val="nil"/>
            </w:tcBorders>
            <w:shd w:val="clear" w:color="000000" w:fill="FFFFFF"/>
            <w:noWrap/>
            <w:vAlign w:val="bottom"/>
            <w:hideMark/>
          </w:tcPr>
          <w:p w14:paraId="4544D5F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4.88</w:t>
            </w:r>
          </w:p>
        </w:tc>
        <w:tc>
          <w:tcPr>
            <w:tcW w:w="797" w:type="dxa"/>
            <w:tcBorders>
              <w:top w:val="nil"/>
              <w:left w:val="nil"/>
              <w:bottom w:val="nil"/>
              <w:right w:val="nil"/>
            </w:tcBorders>
            <w:shd w:val="clear" w:color="000000" w:fill="FFFFFF"/>
            <w:noWrap/>
            <w:vAlign w:val="bottom"/>
            <w:hideMark/>
          </w:tcPr>
          <w:p w14:paraId="7CD24EB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59.03</w:t>
            </w:r>
          </w:p>
        </w:tc>
        <w:tc>
          <w:tcPr>
            <w:tcW w:w="797" w:type="dxa"/>
            <w:tcBorders>
              <w:top w:val="nil"/>
              <w:left w:val="nil"/>
              <w:bottom w:val="nil"/>
              <w:right w:val="nil"/>
            </w:tcBorders>
            <w:shd w:val="clear" w:color="000000" w:fill="FFFFFF"/>
            <w:noWrap/>
            <w:vAlign w:val="bottom"/>
            <w:hideMark/>
          </w:tcPr>
          <w:p w14:paraId="2B22630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42.70</w:t>
            </w:r>
          </w:p>
        </w:tc>
        <w:tc>
          <w:tcPr>
            <w:tcW w:w="1021" w:type="dxa"/>
            <w:tcBorders>
              <w:top w:val="nil"/>
              <w:left w:val="nil"/>
              <w:bottom w:val="nil"/>
              <w:right w:val="nil"/>
            </w:tcBorders>
            <w:shd w:val="clear" w:color="000000" w:fill="FFFFFF"/>
            <w:noWrap/>
            <w:vAlign w:val="bottom"/>
            <w:hideMark/>
          </w:tcPr>
          <w:p w14:paraId="613CCA8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-0.07</w:t>
            </w:r>
          </w:p>
        </w:tc>
        <w:tc>
          <w:tcPr>
            <w:tcW w:w="1227" w:type="dxa"/>
            <w:tcBorders>
              <w:top w:val="nil"/>
              <w:left w:val="nil"/>
              <w:bottom w:val="nil"/>
              <w:right w:val="nil"/>
            </w:tcBorders>
            <w:shd w:val="clear" w:color="000000" w:fill="FFFFFF"/>
            <w:noWrap/>
            <w:vAlign w:val="bottom"/>
            <w:hideMark/>
          </w:tcPr>
          <w:p w14:paraId="743324A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-0.20</w:t>
            </w:r>
          </w:p>
        </w:tc>
      </w:tr>
      <w:tr w:rsidR="00765F47" w:rsidRPr="00086601" w14:paraId="1E5057CC" w14:textId="77777777" w:rsidTr="00765F47">
        <w:trPr>
          <w:trHeight w:val="285"/>
        </w:trPr>
        <w:tc>
          <w:tcPr>
            <w:tcW w:w="741" w:type="dxa"/>
            <w:tcBorders>
              <w:top w:val="nil"/>
              <w:left w:val="nil"/>
              <w:bottom w:val="nil"/>
              <w:right w:val="nil"/>
            </w:tcBorders>
            <w:shd w:val="clear" w:color="000000" w:fill="FFFFFF"/>
            <w:noWrap/>
            <w:vAlign w:val="bottom"/>
            <w:hideMark/>
          </w:tcPr>
          <w:p w14:paraId="5FAFF6D7"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2001</w:t>
            </w:r>
          </w:p>
        </w:tc>
        <w:tc>
          <w:tcPr>
            <w:tcW w:w="1463" w:type="dxa"/>
            <w:tcBorders>
              <w:top w:val="nil"/>
              <w:left w:val="nil"/>
              <w:bottom w:val="nil"/>
              <w:right w:val="nil"/>
            </w:tcBorders>
            <w:shd w:val="clear" w:color="000000" w:fill="FFFFFF"/>
            <w:noWrap/>
            <w:vAlign w:val="bottom"/>
            <w:hideMark/>
          </w:tcPr>
          <w:p w14:paraId="7C9D841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33</w:t>
            </w:r>
          </w:p>
        </w:tc>
        <w:tc>
          <w:tcPr>
            <w:tcW w:w="1094" w:type="dxa"/>
            <w:tcBorders>
              <w:top w:val="nil"/>
              <w:left w:val="nil"/>
              <w:bottom w:val="nil"/>
              <w:right w:val="nil"/>
            </w:tcBorders>
            <w:shd w:val="clear" w:color="000000" w:fill="FFFFFF"/>
            <w:noWrap/>
            <w:vAlign w:val="bottom"/>
            <w:hideMark/>
          </w:tcPr>
          <w:p w14:paraId="41E1A5C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4.88</w:t>
            </w:r>
          </w:p>
        </w:tc>
        <w:tc>
          <w:tcPr>
            <w:tcW w:w="797" w:type="dxa"/>
            <w:tcBorders>
              <w:top w:val="nil"/>
              <w:left w:val="nil"/>
              <w:bottom w:val="nil"/>
              <w:right w:val="nil"/>
            </w:tcBorders>
            <w:shd w:val="clear" w:color="000000" w:fill="FFFFFF"/>
            <w:noWrap/>
            <w:vAlign w:val="bottom"/>
            <w:hideMark/>
          </w:tcPr>
          <w:p w14:paraId="08A2608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59.03</w:t>
            </w:r>
          </w:p>
        </w:tc>
        <w:tc>
          <w:tcPr>
            <w:tcW w:w="797" w:type="dxa"/>
            <w:tcBorders>
              <w:top w:val="nil"/>
              <w:left w:val="nil"/>
              <w:bottom w:val="nil"/>
              <w:right w:val="nil"/>
            </w:tcBorders>
            <w:shd w:val="clear" w:color="000000" w:fill="FFFFFF"/>
            <w:noWrap/>
            <w:vAlign w:val="bottom"/>
            <w:hideMark/>
          </w:tcPr>
          <w:p w14:paraId="585EA1B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42.70</w:t>
            </w:r>
          </w:p>
        </w:tc>
        <w:tc>
          <w:tcPr>
            <w:tcW w:w="1021" w:type="dxa"/>
            <w:tcBorders>
              <w:top w:val="nil"/>
              <w:left w:val="nil"/>
              <w:bottom w:val="nil"/>
              <w:right w:val="nil"/>
            </w:tcBorders>
            <w:shd w:val="clear" w:color="000000" w:fill="FFFFFF"/>
            <w:noWrap/>
            <w:vAlign w:val="bottom"/>
            <w:hideMark/>
          </w:tcPr>
          <w:p w14:paraId="416FC96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0.19</w:t>
            </w:r>
          </w:p>
        </w:tc>
        <w:tc>
          <w:tcPr>
            <w:tcW w:w="1227" w:type="dxa"/>
            <w:tcBorders>
              <w:top w:val="nil"/>
              <w:left w:val="nil"/>
              <w:bottom w:val="nil"/>
              <w:right w:val="nil"/>
            </w:tcBorders>
            <w:shd w:val="clear" w:color="000000" w:fill="FFFFFF"/>
            <w:noWrap/>
            <w:vAlign w:val="bottom"/>
            <w:hideMark/>
          </w:tcPr>
          <w:p w14:paraId="788EEE1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1.08</w:t>
            </w:r>
          </w:p>
        </w:tc>
      </w:tr>
      <w:tr w:rsidR="00765F47" w:rsidRPr="00086601" w14:paraId="6276F165" w14:textId="77777777" w:rsidTr="00765F47">
        <w:trPr>
          <w:trHeight w:val="285"/>
        </w:trPr>
        <w:tc>
          <w:tcPr>
            <w:tcW w:w="741" w:type="dxa"/>
            <w:tcBorders>
              <w:top w:val="nil"/>
              <w:left w:val="nil"/>
              <w:bottom w:val="nil"/>
              <w:right w:val="nil"/>
            </w:tcBorders>
            <w:shd w:val="clear" w:color="000000" w:fill="FFFFFF"/>
            <w:noWrap/>
            <w:vAlign w:val="bottom"/>
            <w:hideMark/>
          </w:tcPr>
          <w:p w14:paraId="0B45018F"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2002</w:t>
            </w:r>
          </w:p>
        </w:tc>
        <w:tc>
          <w:tcPr>
            <w:tcW w:w="1463" w:type="dxa"/>
            <w:tcBorders>
              <w:top w:val="nil"/>
              <w:left w:val="nil"/>
              <w:bottom w:val="nil"/>
              <w:right w:val="nil"/>
            </w:tcBorders>
            <w:shd w:val="clear" w:color="000000" w:fill="FFFFFF"/>
            <w:noWrap/>
            <w:vAlign w:val="bottom"/>
            <w:hideMark/>
          </w:tcPr>
          <w:p w14:paraId="7159734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33</w:t>
            </w:r>
          </w:p>
        </w:tc>
        <w:tc>
          <w:tcPr>
            <w:tcW w:w="1094" w:type="dxa"/>
            <w:tcBorders>
              <w:top w:val="nil"/>
              <w:left w:val="nil"/>
              <w:bottom w:val="nil"/>
              <w:right w:val="nil"/>
            </w:tcBorders>
            <w:shd w:val="clear" w:color="000000" w:fill="FFFFFF"/>
            <w:noWrap/>
            <w:vAlign w:val="bottom"/>
            <w:hideMark/>
          </w:tcPr>
          <w:p w14:paraId="0FA7A08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4.88</w:t>
            </w:r>
          </w:p>
        </w:tc>
        <w:tc>
          <w:tcPr>
            <w:tcW w:w="797" w:type="dxa"/>
            <w:tcBorders>
              <w:top w:val="nil"/>
              <w:left w:val="nil"/>
              <w:bottom w:val="nil"/>
              <w:right w:val="nil"/>
            </w:tcBorders>
            <w:shd w:val="clear" w:color="000000" w:fill="FFFFFF"/>
            <w:noWrap/>
            <w:vAlign w:val="bottom"/>
            <w:hideMark/>
          </w:tcPr>
          <w:p w14:paraId="2CC6A7D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59.03</w:t>
            </w:r>
          </w:p>
        </w:tc>
        <w:tc>
          <w:tcPr>
            <w:tcW w:w="797" w:type="dxa"/>
            <w:tcBorders>
              <w:top w:val="nil"/>
              <w:left w:val="nil"/>
              <w:bottom w:val="nil"/>
              <w:right w:val="nil"/>
            </w:tcBorders>
            <w:shd w:val="clear" w:color="000000" w:fill="FFFFFF"/>
            <w:noWrap/>
            <w:vAlign w:val="bottom"/>
            <w:hideMark/>
          </w:tcPr>
          <w:p w14:paraId="5C210D6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42.70</w:t>
            </w:r>
          </w:p>
        </w:tc>
        <w:tc>
          <w:tcPr>
            <w:tcW w:w="1021" w:type="dxa"/>
            <w:tcBorders>
              <w:top w:val="nil"/>
              <w:left w:val="nil"/>
              <w:bottom w:val="nil"/>
              <w:right w:val="nil"/>
            </w:tcBorders>
            <w:shd w:val="clear" w:color="000000" w:fill="FFFFFF"/>
            <w:noWrap/>
            <w:vAlign w:val="bottom"/>
            <w:hideMark/>
          </w:tcPr>
          <w:p w14:paraId="7B0B709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0.04</w:t>
            </w:r>
          </w:p>
        </w:tc>
        <w:tc>
          <w:tcPr>
            <w:tcW w:w="1227" w:type="dxa"/>
            <w:tcBorders>
              <w:top w:val="nil"/>
              <w:left w:val="nil"/>
              <w:bottom w:val="nil"/>
              <w:right w:val="nil"/>
            </w:tcBorders>
            <w:shd w:val="clear" w:color="000000" w:fill="FFFFFF"/>
            <w:noWrap/>
            <w:vAlign w:val="bottom"/>
            <w:hideMark/>
          </w:tcPr>
          <w:p w14:paraId="00EB6B1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0.06</w:t>
            </w:r>
          </w:p>
        </w:tc>
      </w:tr>
      <w:tr w:rsidR="00765F47" w:rsidRPr="00086601" w14:paraId="52199D32" w14:textId="77777777" w:rsidTr="00765F47">
        <w:trPr>
          <w:trHeight w:val="285"/>
        </w:trPr>
        <w:tc>
          <w:tcPr>
            <w:tcW w:w="741" w:type="dxa"/>
            <w:tcBorders>
              <w:top w:val="nil"/>
              <w:left w:val="nil"/>
              <w:bottom w:val="nil"/>
              <w:right w:val="nil"/>
            </w:tcBorders>
            <w:shd w:val="clear" w:color="000000" w:fill="FFFFFF"/>
            <w:noWrap/>
            <w:vAlign w:val="bottom"/>
            <w:hideMark/>
          </w:tcPr>
          <w:p w14:paraId="08178C75"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2003</w:t>
            </w:r>
          </w:p>
        </w:tc>
        <w:tc>
          <w:tcPr>
            <w:tcW w:w="1463" w:type="dxa"/>
            <w:tcBorders>
              <w:top w:val="nil"/>
              <w:left w:val="nil"/>
              <w:bottom w:val="nil"/>
              <w:right w:val="nil"/>
            </w:tcBorders>
            <w:shd w:val="clear" w:color="000000" w:fill="FFFFFF"/>
            <w:noWrap/>
            <w:vAlign w:val="bottom"/>
            <w:hideMark/>
          </w:tcPr>
          <w:p w14:paraId="0A741E8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33</w:t>
            </w:r>
          </w:p>
        </w:tc>
        <w:tc>
          <w:tcPr>
            <w:tcW w:w="1094" w:type="dxa"/>
            <w:tcBorders>
              <w:top w:val="nil"/>
              <w:left w:val="nil"/>
              <w:bottom w:val="nil"/>
              <w:right w:val="nil"/>
            </w:tcBorders>
            <w:shd w:val="clear" w:color="000000" w:fill="FFFFFF"/>
            <w:noWrap/>
            <w:vAlign w:val="bottom"/>
            <w:hideMark/>
          </w:tcPr>
          <w:p w14:paraId="23C2DE9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4.88</w:t>
            </w:r>
          </w:p>
        </w:tc>
        <w:tc>
          <w:tcPr>
            <w:tcW w:w="797" w:type="dxa"/>
            <w:tcBorders>
              <w:top w:val="nil"/>
              <w:left w:val="nil"/>
              <w:bottom w:val="nil"/>
              <w:right w:val="nil"/>
            </w:tcBorders>
            <w:shd w:val="clear" w:color="000000" w:fill="FFFFFF"/>
            <w:noWrap/>
            <w:vAlign w:val="bottom"/>
            <w:hideMark/>
          </w:tcPr>
          <w:p w14:paraId="05E2AC7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59.03</w:t>
            </w:r>
          </w:p>
        </w:tc>
        <w:tc>
          <w:tcPr>
            <w:tcW w:w="797" w:type="dxa"/>
            <w:tcBorders>
              <w:top w:val="nil"/>
              <w:left w:val="nil"/>
              <w:bottom w:val="nil"/>
              <w:right w:val="nil"/>
            </w:tcBorders>
            <w:shd w:val="clear" w:color="000000" w:fill="FFFFFF"/>
            <w:noWrap/>
            <w:vAlign w:val="bottom"/>
            <w:hideMark/>
          </w:tcPr>
          <w:p w14:paraId="63FE0D2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42.70</w:t>
            </w:r>
          </w:p>
        </w:tc>
        <w:tc>
          <w:tcPr>
            <w:tcW w:w="1021" w:type="dxa"/>
            <w:tcBorders>
              <w:top w:val="nil"/>
              <w:left w:val="nil"/>
              <w:bottom w:val="nil"/>
              <w:right w:val="nil"/>
            </w:tcBorders>
            <w:shd w:val="clear" w:color="000000" w:fill="FFFFFF"/>
            <w:noWrap/>
            <w:vAlign w:val="bottom"/>
            <w:hideMark/>
          </w:tcPr>
          <w:p w14:paraId="244B10B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0.03</w:t>
            </w:r>
          </w:p>
        </w:tc>
        <w:tc>
          <w:tcPr>
            <w:tcW w:w="1227" w:type="dxa"/>
            <w:tcBorders>
              <w:top w:val="nil"/>
              <w:left w:val="nil"/>
              <w:bottom w:val="nil"/>
              <w:right w:val="nil"/>
            </w:tcBorders>
            <w:shd w:val="clear" w:color="000000" w:fill="FFFFFF"/>
            <w:noWrap/>
            <w:vAlign w:val="bottom"/>
            <w:hideMark/>
          </w:tcPr>
          <w:p w14:paraId="6ECD393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0.03</w:t>
            </w:r>
          </w:p>
        </w:tc>
      </w:tr>
      <w:tr w:rsidR="00765F47" w:rsidRPr="00086601" w14:paraId="4F43F7A0" w14:textId="77777777" w:rsidTr="00765F47">
        <w:trPr>
          <w:trHeight w:val="285"/>
        </w:trPr>
        <w:tc>
          <w:tcPr>
            <w:tcW w:w="741" w:type="dxa"/>
            <w:tcBorders>
              <w:top w:val="nil"/>
              <w:left w:val="nil"/>
              <w:bottom w:val="nil"/>
              <w:right w:val="nil"/>
            </w:tcBorders>
            <w:shd w:val="clear" w:color="000000" w:fill="FFFFFF"/>
            <w:noWrap/>
            <w:vAlign w:val="bottom"/>
            <w:hideMark/>
          </w:tcPr>
          <w:p w14:paraId="3BB05E4E"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2004</w:t>
            </w:r>
          </w:p>
        </w:tc>
        <w:tc>
          <w:tcPr>
            <w:tcW w:w="1463" w:type="dxa"/>
            <w:tcBorders>
              <w:top w:val="nil"/>
              <w:left w:val="nil"/>
              <w:bottom w:val="nil"/>
              <w:right w:val="nil"/>
            </w:tcBorders>
            <w:shd w:val="clear" w:color="000000" w:fill="FFFFFF"/>
            <w:noWrap/>
            <w:vAlign w:val="bottom"/>
            <w:hideMark/>
          </w:tcPr>
          <w:p w14:paraId="781EB9B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33</w:t>
            </w:r>
          </w:p>
        </w:tc>
        <w:tc>
          <w:tcPr>
            <w:tcW w:w="1094" w:type="dxa"/>
            <w:tcBorders>
              <w:top w:val="nil"/>
              <w:left w:val="nil"/>
              <w:bottom w:val="nil"/>
              <w:right w:val="nil"/>
            </w:tcBorders>
            <w:shd w:val="clear" w:color="000000" w:fill="FFFFFF"/>
            <w:noWrap/>
            <w:vAlign w:val="bottom"/>
            <w:hideMark/>
          </w:tcPr>
          <w:p w14:paraId="4DC68F9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4.88</w:t>
            </w:r>
          </w:p>
        </w:tc>
        <w:tc>
          <w:tcPr>
            <w:tcW w:w="797" w:type="dxa"/>
            <w:tcBorders>
              <w:top w:val="nil"/>
              <w:left w:val="nil"/>
              <w:bottom w:val="nil"/>
              <w:right w:val="nil"/>
            </w:tcBorders>
            <w:shd w:val="clear" w:color="000000" w:fill="FFFFFF"/>
            <w:noWrap/>
            <w:vAlign w:val="bottom"/>
            <w:hideMark/>
          </w:tcPr>
          <w:p w14:paraId="557FA16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59.03</w:t>
            </w:r>
          </w:p>
        </w:tc>
        <w:tc>
          <w:tcPr>
            <w:tcW w:w="797" w:type="dxa"/>
            <w:tcBorders>
              <w:top w:val="nil"/>
              <w:left w:val="nil"/>
              <w:bottom w:val="nil"/>
              <w:right w:val="nil"/>
            </w:tcBorders>
            <w:shd w:val="clear" w:color="000000" w:fill="FFFFFF"/>
            <w:noWrap/>
            <w:vAlign w:val="bottom"/>
            <w:hideMark/>
          </w:tcPr>
          <w:p w14:paraId="1C5F7E1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42.70</w:t>
            </w:r>
          </w:p>
        </w:tc>
        <w:tc>
          <w:tcPr>
            <w:tcW w:w="1021" w:type="dxa"/>
            <w:tcBorders>
              <w:top w:val="nil"/>
              <w:left w:val="nil"/>
              <w:bottom w:val="nil"/>
              <w:right w:val="nil"/>
            </w:tcBorders>
            <w:shd w:val="clear" w:color="000000" w:fill="FFFFFF"/>
            <w:noWrap/>
            <w:vAlign w:val="bottom"/>
            <w:hideMark/>
          </w:tcPr>
          <w:p w14:paraId="1675803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-0.03</w:t>
            </w:r>
          </w:p>
        </w:tc>
        <w:tc>
          <w:tcPr>
            <w:tcW w:w="1227" w:type="dxa"/>
            <w:tcBorders>
              <w:top w:val="nil"/>
              <w:left w:val="nil"/>
              <w:bottom w:val="nil"/>
              <w:right w:val="nil"/>
            </w:tcBorders>
            <w:shd w:val="clear" w:color="000000" w:fill="FFFFFF"/>
            <w:noWrap/>
            <w:vAlign w:val="bottom"/>
            <w:hideMark/>
          </w:tcPr>
          <w:p w14:paraId="34C39BF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-0.19</w:t>
            </w:r>
          </w:p>
        </w:tc>
      </w:tr>
      <w:tr w:rsidR="00765F47" w:rsidRPr="00086601" w14:paraId="5175DF57" w14:textId="77777777" w:rsidTr="00765F47">
        <w:trPr>
          <w:trHeight w:val="285"/>
        </w:trPr>
        <w:tc>
          <w:tcPr>
            <w:tcW w:w="741" w:type="dxa"/>
            <w:tcBorders>
              <w:top w:val="nil"/>
              <w:left w:val="nil"/>
              <w:bottom w:val="nil"/>
              <w:right w:val="nil"/>
            </w:tcBorders>
            <w:shd w:val="clear" w:color="000000" w:fill="FFFFFF"/>
            <w:noWrap/>
            <w:vAlign w:val="bottom"/>
            <w:hideMark/>
          </w:tcPr>
          <w:p w14:paraId="7D7F903C"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2005</w:t>
            </w:r>
          </w:p>
        </w:tc>
        <w:tc>
          <w:tcPr>
            <w:tcW w:w="1463" w:type="dxa"/>
            <w:tcBorders>
              <w:top w:val="nil"/>
              <w:left w:val="nil"/>
              <w:bottom w:val="nil"/>
              <w:right w:val="nil"/>
            </w:tcBorders>
            <w:shd w:val="clear" w:color="000000" w:fill="FFFFFF"/>
            <w:noWrap/>
            <w:vAlign w:val="bottom"/>
            <w:hideMark/>
          </w:tcPr>
          <w:p w14:paraId="21CD493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33</w:t>
            </w:r>
          </w:p>
        </w:tc>
        <w:tc>
          <w:tcPr>
            <w:tcW w:w="1094" w:type="dxa"/>
            <w:tcBorders>
              <w:top w:val="nil"/>
              <w:left w:val="nil"/>
              <w:bottom w:val="nil"/>
              <w:right w:val="nil"/>
            </w:tcBorders>
            <w:shd w:val="clear" w:color="000000" w:fill="FFFFFF"/>
            <w:noWrap/>
            <w:vAlign w:val="bottom"/>
            <w:hideMark/>
          </w:tcPr>
          <w:p w14:paraId="5B7E300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4.88</w:t>
            </w:r>
          </w:p>
        </w:tc>
        <w:tc>
          <w:tcPr>
            <w:tcW w:w="797" w:type="dxa"/>
            <w:tcBorders>
              <w:top w:val="nil"/>
              <w:left w:val="nil"/>
              <w:bottom w:val="nil"/>
              <w:right w:val="nil"/>
            </w:tcBorders>
            <w:shd w:val="clear" w:color="000000" w:fill="FFFFFF"/>
            <w:noWrap/>
            <w:vAlign w:val="bottom"/>
            <w:hideMark/>
          </w:tcPr>
          <w:p w14:paraId="130531B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59.03</w:t>
            </w:r>
          </w:p>
        </w:tc>
        <w:tc>
          <w:tcPr>
            <w:tcW w:w="797" w:type="dxa"/>
            <w:tcBorders>
              <w:top w:val="nil"/>
              <w:left w:val="nil"/>
              <w:bottom w:val="nil"/>
              <w:right w:val="nil"/>
            </w:tcBorders>
            <w:shd w:val="clear" w:color="000000" w:fill="FFFFFF"/>
            <w:noWrap/>
            <w:vAlign w:val="bottom"/>
            <w:hideMark/>
          </w:tcPr>
          <w:p w14:paraId="49521E8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42.70</w:t>
            </w:r>
          </w:p>
        </w:tc>
        <w:tc>
          <w:tcPr>
            <w:tcW w:w="1021" w:type="dxa"/>
            <w:tcBorders>
              <w:top w:val="nil"/>
              <w:left w:val="nil"/>
              <w:bottom w:val="nil"/>
              <w:right w:val="nil"/>
            </w:tcBorders>
            <w:shd w:val="clear" w:color="000000" w:fill="FFFFFF"/>
            <w:noWrap/>
            <w:vAlign w:val="bottom"/>
            <w:hideMark/>
          </w:tcPr>
          <w:p w14:paraId="6E69754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0.02</w:t>
            </w:r>
          </w:p>
        </w:tc>
        <w:tc>
          <w:tcPr>
            <w:tcW w:w="1227" w:type="dxa"/>
            <w:tcBorders>
              <w:top w:val="nil"/>
              <w:left w:val="nil"/>
              <w:bottom w:val="nil"/>
              <w:right w:val="nil"/>
            </w:tcBorders>
            <w:shd w:val="clear" w:color="000000" w:fill="FFFFFF"/>
            <w:noWrap/>
            <w:vAlign w:val="bottom"/>
            <w:hideMark/>
          </w:tcPr>
          <w:p w14:paraId="5EC5485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0.01</w:t>
            </w:r>
          </w:p>
        </w:tc>
      </w:tr>
      <w:tr w:rsidR="00765F47" w:rsidRPr="00086601" w14:paraId="552BB361" w14:textId="77777777" w:rsidTr="00765F47">
        <w:trPr>
          <w:trHeight w:val="285"/>
        </w:trPr>
        <w:tc>
          <w:tcPr>
            <w:tcW w:w="741" w:type="dxa"/>
            <w:tcBorders>
              <w:top w:val="nil"/>
              <w:left w:val="nil"/>
              <w:bottom w:val="nil"/>
              <w:right w:val="nil"/>
            </w:tcBorders>
            <w:shd w:val="clear" w:color="000000" w:fill="FFFFFF"/>
            <w:noWrap/>
            <w:vAlign w:val="bottom"/>
            <w:hideMark/>
          </w:tcPr>
          <w:p w14:paraId="3205F85B"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2006</w:t>
            </w:r>
          </w:p>
        </w:tc>
        <w:tc>
          <w:tcPr>
            <w:tcW w:w="1463" w:type="dxa"/>
            <w:tcBorders>
              <w:top w:val="nil"/>
              <w:left w:val="nil"/>
              <w:bottom w:val="nil"/>
              <w:right w:val="nil"/>
            </w:tcBorders>
            <w:shd w:val="clear" w:color="000000" w:fill="FFFFFF"/>
            <w:noWrap/>
            <w:vAlign w:val="bottom"/>
            <w:hideMark/>
          </w:tcPr>
          <w:p w14:paraId="2A15762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33</w:t>
            </w:r>
          </w:p>
        </w:tc>
        <w:tc>
          <w:tcPr>
            <w:tcW w:w="1094" w:type="dxa"/>
            <w:tcBorders>
              <w:top w:val="nil"/>
              <w:left w:val="nil"/>
              <w:bottom w:val="nil"/>
              <w:right w:val="nil"/>
            </w:tcBorders>
            <w:shd w:val="clear" w:color="000000" w:fill="FFFFFF"/>
            <w:noWrap/>
            <w:vAlign w:val="bottom"/>
            <w:hideMark/>
          </w:tcPr>
          <w:p w14:paraId="1463824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4.88</w:t>
            </w:r>
          </w:p>
        </w:tc>
        <w:tc>
          <w:tcPr>
            <w:tcW w:w="797" w:type="dxa"/>
            <w:tcBorders>
              <w:top w:val="nil"/>
              <w:left w:val="nil"/>
              <w:bottom w:val="nil"/>
              <w:right w:val="nil"/>
            </w:tcBorders>
            <w:shd w:val="clear" w:color="000000" w:fill="FFFFFF"/>
            <w:noWrap/>
            <w:vAlign w:val="bottom"/>
            <w:hideMark/>
          </w:tcPr>
          <w:p w14:paraId="4888AC4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59.03</w:t>
            </w:r>
          </w:p>
        </w:tc>
        <w:tc>
          <w:tcPr>
            <w:tcW w:w="797" w:type="dxa"/>
            <w:tcBorders>
              <w:top w:val="nil"/>
              <w:left w:val="nil"/>
              <w:bottom w:val="nil"/>
              <w:right w:val="nil"/>
            </w:tcBorders>
            <w:shd w:val="clear" w:color="000000" w:fill="FFFFFF"/>
            <w:noWrap/>
            <w:vAlign w:val="bottom"/>
            <w:hideMark/>
          </w:tcPr>
          <w:p w14:paraId="3E4660F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42.70</w:t>
            </w:r>
          </w:p>
        </w:tc>
        <w:tc>
          <w:tcPr>
            <w:tcW w:w="1021" w:type="dxa"/>
            <w:tcBorders>
              <w:top w:val="nil"/>
              <w:left w:val="nil"/>
              <w:bottom w:val="nil"/>
              <w:right w:val="nil"/>
            </w:tcBorders>
            <w:shd w:val="clear" w:color="000000" w:fill="FFFFFF"/>
            <w:noWrap/>
            <w:vAlign w:val="bottom"/>
            <w:hideMark/>
          </w:tcPr>
          <w:p w14:paraId="2D027B2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-0.06</w:t>
            </w:r>
          </w:p>
        </w:tc>
        <w:tc>
          <w:tcPr>
            <w:tcW w:w="1227" w:type="dxa"/>
            <w:tcBorders>
              <w:top w:val="nil"/>
              <w:left w:val="nil"/>
              <w:bottom w:val="nil"/>
              <w:right w:val="nil"/>
            </w:tcBorders>
            <w:shd w:val="clear" w:color="000000" w:fill="FFFFFF"/>
            <w:noWrap/>
            <w:vAlign w:val="bottom"/>
            <w:hideMark/>
          </w:tcPr>
          <w:p w14:paraId="533C8E4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-0.21</w:t>
            </w:r>
          </w:p>
        </w:tc>
      </w:tr>
      <w:tr w:rsidR="00765F47" w:rsidRPr="00086601" w14:paraId="2DAE9647" w14:textId="77777777" w:rsidTr="00765F47">
        <w:trPr>
          <w:trHeight w:val="285"/>
        </w:trPr>
        <w:tc>
          <w:tcPr>
            <w:tcW w:w="741" w:type="dxa"/>
            <w:tcBorders>
              <w:top w:val="nil"/>
              <w:left w:val="nil"/>
              <w:bottom w:val="nil"/>
              <w:right w:val="nil"/>
            </w:tcBorders>
            <w:shd w:val="clear" w:color="000000" w:fill="FFFFFF"/>
            <w:noWrap/>
            <w:vAlign w:val="bottom"/>
            <w:hideMark/>
          </w:tcPr>
          <w:p w14:paraId="088D6BCE"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2007</w:t>
            </w:r>
          </w:p>
        </w:tc>
        <w:tc>
          <w:tcPr>
            <w:tcW w:w="1463" w:type="dxa"/>
            <w:tcBorders>
              <w:top w:val="nil"/>
              <w:left w:val="nil"/>
              <w:bottom w:val="nil"/>
              <w:right w:val="nil"/>
            </w:tcBorders>
            <w:shd w:val="clear" w:color="000000" w:fill="FFFFFF"/>
            <w:noWrap/>
            <w:vAlign w:val="bottom"/>
            <w:hideMark/>
          </w:tcPr>
          <w:p w14:paraId="346D6FF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33</w:t>
            </w:r>
          </w:p>
        </w:tc>
        <w:tc>
          <w:tcPr>
            <w:tcW w:w="1094" w:type="dxa"/>
            <w:tcBorders>
              <w:top w:val="nil"/>
              <w:left w:val="nil"/>
              <w:bottom w:val="nil"/>
              <w:right w:val="nil"/>
            </w:tcBorders>
            <w:shd w:val="clear" w:color="000000" w:fill="FFFFFF"/>
            <w:noWrap/>
            <w:vAlign w:val="bottom"/>
            <w:hideMark/>
          </w:tcPr>
          <w:p w14:paraId="656D1E0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4.88</w:t>
            </w:r>
          </w:p>
        </w:tc>
        <w:tc>
          <w:tcPr>
            <w:tcW w:w="797" w:type="dxa"/>
            <w:tcBorders>
              <w:top w:val="nil"/>
              <w:left w:val="nil"/>
              <w:bottom w:val="nil"/>
              <w:right w:val="nil"/>
            </w:tcBorders>
            <w:shd w:val="clear" w:color="000000" w:fill="FFFFFF"/>
            <w:noWrap/>
            <w:vAlign w:val="bottom"/>
            <w:hideMark/>
          </w:tcPr>
          <w:p w14:paraId="262722A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59.03</w:t>
            </w:r>
          </w:p>
        </w:tc>
        <w:tc>
          <w:tcPr>
            <w:tcW w:w="797" w:type="dxa"/>
            <w:tcBorders>
              <w:top w:val="nil"/>
              <w:left w:val="nil"/>
              <w:bottom w:val="nil"/>
              <w:right w:val="nil"/>
            </w:tcBorders>
            <w:shd w:val="clear" w:color="000000" w:fill="FFFFFF"/>
            <w:noWrap/>
            <w:vAlign w:val="bottom"/>
            <w:hideMark/>
          </w:tcPr>
          <w:p w14:paraId="46694E8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42.70</w:t>
            </w:r>
          </w:p>
        </w:tc>
        <w:tc>
          <w:tcPr>
            <w:tcW w:w="1021" w:type="dxa"/>
            <w:tcBorders>
              <w:top w:val="nil"/>
              <w:left w:val="nil"/>
              <w:bottom w:val="nil"/>
              <w:right w:val="nil"/>
            </w:tcBorders>
            <w:shd w:val="clear" w:color="000000" w:fill="FFFFFF"/>
            <w:noWrap/>
            <w:vAlign w:val="bottom"/>
            <w:hideMark/>
          </w:tcPr>
          <w:p w14:paraId="50F5DC5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0.06</w:t>
            </w:r>
          </w:p>
        </w:tc>
        <w:tc>
          <w:tcPr>
            <w:tcW w:w="1227" w:type="dxa"/>
            <w:tcBorders>
              <w:top w:val="nil"/>
              <w:left w:val="nil"/>
              <w:bottom w:val="nil"/>
              <w:right w:val="nil"/>
            </w:tcBorders>
            <w:shd w:val="clear" w:color="000000" w:fill="FFFFFF"/>
            <w:noWrap/>
            <w:vAlign w:val="bottom"/>
            <w:hideMark/>
          </w:tcPr>
          <w:p w14:paraId="0313E7C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0.17</w:t>
            </w:r>
          </w:p>
        </w:tc>
      </w:tr>
      <w:tr w:rsidR="00765F47" w:rsidRPr="00086601" w14:paraId="5E5B2D6A" w14:textId="77777777" w:rsidTr="00765F47">
        <w:trPr>
          <w:trHeight w:val="285"/>
        </w:trPr>
        <w:tc>
          <w:tcPr>
            <w:tcW w:w="741" w:type="dxa"/>
            <w:tcBorders>
              <w:top w:val="nil"/>
              <w:left w:val="nil"/>
              <w:bottom w:val="nil"/>
              <w:right w:val="nil"/>
            </w:tcBorders>
            <w:shd w:val="clear" w:color="000000" w:fill="FFFFFF"/>
            <w:noWrap/>
            <w:vAlign w:val="bottom"/>
            <w:hideMark/>
          </w:tcPr>
          <w:p w14:paraId="1DC8005B"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2008</w:t>
            </w:r>
          </w:p>
        </w:tc>
        <w:tc>
          <w:tcPr>
            <w:tcW w:w="1463" w:type="dxa"/>
            <w:tcBorders>
              <w:top w:val="nil"/>
              <w:left w:val="nil"/>
              <w:bottom w:val="nil"/>
              <w:right w:val="nil"/>
            </w:tcBorders>
            <w:shd w:val="clear" w:color="000000" w:fill="FFFFFF"/>
            <w:noWrap/>
            <w:vAlign w:val="bottom"/>
            <w:hideMark/>
          </w:tcPr>
          <w:p w14:paraId="1CC2766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33</w:t>
            </w:r>
          </w:p>
        </w:tc>
        <w:tc>
          <w:tcPr>
            <w:tcW w:w="1094" w:type="dxa"/>
            <w:tcBorders>
              <w:top w:val="nil"/>
              <w:left w:val="nil"/>
              <w:bottom w:val="nil"/>
              <w:right w:val="nil"/>
            </w:tcBorders>
            <w:shd w:val="clear" w:color="000000" w:fill="FFFFFF"/>
            <w:noWrap/>
            <w:vAlign w:val="bottom"/>
            <w:hideMark/>
          </w:tcPr>
          <w:p w14:paraId="6B44407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4.88</w:t>
            </w:r>
          </w:p>
        </w:tc>
        <w:tc>
          <w:tcPr>
            <w:tcW w:w="797" w:type="dxa"/>
            <w:tcBorders>
              <w:top w:val="nil"/>
              <w:left w:val="nil"/>
              <w:bottom w:val="nil"/>
              <w:right w:val="nil"/>
            </w:tcBorders>
            <w:shd w:val="clear" w:color="000000" w:fill="FFFFFF"/>
            <w:noWrap/>
            <w:vAlign w:val="bottom"/>
            <w:hideMark/>
          </w:tcPr>
          <w:p w14:paraId="346A6EF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59.03</w:t>
            </w:r>
          </w:p>
        </w:tc>
        <w:tc>
          <w:tcPr>
            <w:tcW w:w="797" w:type="dxa"/>
            <w:tcBorders>
              <w:top w:val="nil"/>
              <w:left w:val="nil"/>
              <w:bottom w:val="nil"/>
              <w:right w:val="nil"/>
            </w:tcBorders>
            <w:shd w:val="clear" w:color="000000" w:fill="FFFFFF"/>
            <w:noWrap/>
            <w:vAlign w:val="bottom"/>
            <w:hideMark/>
          </w:tcPr>
          <w:p w14:paraId="72301A9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42.70</w:t>
            </w:r>
          </w:p>
        </w:tc>
        <w:tc>
          <w:tcPr>
            <w:tcW w:w="1021" w:type="dxa"/>
            <w:tcBorders>
              <w:top w:val="nil"/>
              <w:left w:val="nil"/>
              <w:bottom w:val="nil"/>
              <w:right w:val="nil"/>
            </w:tcBorders>
            <w:shd w:val="clear" w:color="000000" w:fill="FFFFFF"/>
            <w:noWrap/>
            <w:vAlign w:val="bottom"/>
            <w:hideMark/>
          </w:tcPr>
          <w:p w14:paraId="3A795F1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0.10</w:t>
            </w:r>
          </w:p>
        </w:tc>
        <w:tc>
          <w:tcPr>
            <w:tcW w:w="1227" w:type="dxa"/>
            <w:tcBorders>
              <w:top w:val="nil"/>
              <w:left w:val="nil"/>
              <w:bottom w:val="nil"/>
              <w:right w:val="nil"/>
            </w:tcBorders>
            <w:shd w:val="clear" w:color="000000" w:fill="FFFFFF"/>
            <w:noWrap/>
            <w:vAlign w:val="bottom"/>
            <w:hideMark/>
          </w:tcPr>
          <w:p w14:paraId="5D42950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0.35</w:t>
            </w:r>
          </w:p>
        </w:tc>
      </w:tr>
      <w:tr w:rsidR="00765F47" w:rsidRPr="00086601" w14:paraId="0398EE2E" w14:textId="77777777" w:rsidTr="00765F47">
        <w:trPr>
          <w:trHeight w:val="285"/>
        </w:trPr>
        <w:tc>
          <w:tcPr>
            <w:tcW w:w="741" w:type="dxa"/>
            <w:tcBorders>
              <w:top w:val="nil"/>
              <w:left w:val="nil"/>
              <w:bottom w:val="nil"/>
              <w:right w:val="nil"/>
            </w:tcBorders>
            <w:shd w:val="clear" w:color="000000" w:fill="FFFFFF"/>
            <w:noWrap/>
            <w:vAlign w:val="bottom"/>
            <w:hideMark/>
          </w:tcPr>
          <w:p w14:paraId="6AEA247B"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2009</w:t>
            </w:r>
          </w:p>
        </w:tc>
        <w:tc>
          <w:tcPr>
            <w:tcW w:w="1463" w:type="dxa"/>
            <w:tcBorders>
              <w:top w:val="nil"/>
              <w:left w:val="nil"/>
              <w:bottom w:val="nil"/>
              <w:right w:val="nil"/>
            </w:tcBorders>
            <w:shd w:val="clear" w:color="000000" w:fill="FFFFFF"/>
            <w:noWrap/>
            <w:vAlign w:val="bottom"/>
            <w:hideMark/>
          </w:tcPr>
          <w:p w14:paraId="33866EE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34</w:t>
            </w:r>
          </w:p>
        </w:tc>
        <w:tc>
          <w:tcPr>
            <w:tcW w:w="1094" w:type="dxa"/>
            <w:tcBorders>
              <w:top w:val="nil"/>
              <w:left w:val="nil"/>
              <w:bottom w:val="nil"/>
              <w:right w:val="nil"/>
            </w:tcBorders>
            <w:shd w:val="clear" w:color="000000" w:fill="FFFFFF"/>
            <w:noWrap/>
            <w:vAlign w:val="bottom"/>
            <w:hideMark/>
          </w:tcPr>
          <w:p w14:paraId="475892A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5.03</w:t>
            </w:r>
          </w:p>
        </w:tc>
        <w:tc>
          <w:tcPr>
            <w:tcW w:w="797" w:type="dxa"/>
            <w:tcBorders>
              <w:top w:val="nil"/>
              <w:left w:val="nil"/>
              <w:bottom w:val="nil"/>
              <w:right w:val="nil"/>
            </w:tcBorders>
            <w:shd w:val="clear" w:color="000000" w:fill="FFFFFF"/>
            <w:noWrap/>
            <w:vAlign w:val="bottom"/>
            <w:hideMark/>
          </w:tcPr>
          <w:p w14:paraId="2BFF774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58.18</w:t>
            </w:r>
          </w:p>
        </w:tc>
        <w:tc>
          <w:tcPr>
            <w:tcW w:w="797" w:type="dxa"/>
            <w:tcBorders>
              <w:top w:val="nil"/>
              <w:left w:val="nil"/>
              <w:bottom w:val="nil"/>
              <w:right w:val="nil"/>
            </w:tcBorders>
            <w:shd w:val="clear" w:color="000000" w:fill="FFFFFF"/>
            <w:noWrap/>
            <w:vAlign w:val="bottom"/>
            <w:hideMark/>
          </w:tcPr>
          <w:p w14:paraId="02907BE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43.79</w:t>
            </w:r>
          </w:p>
        </w:tc>
        <w:tc>
          <w:tcPr>
            <w:tcW w:w="1021" w:type="dxa"/>
            <w:tcBorders>
              <w:top w:val="nil"/>
              <w:left w:val="nil"/>
              <w:bottom w:val="nil"/>
              <w:right w:val="nil"/>
            </w:tcBorders>
            <w:shd w:val="clear" w:color="000000" w:fill="FFFFFF"/>
            <w:noWrap/>
            <w:vAlign w:val="bottom"/>
            <w:hideMark/>
          </w:tcPr>
          <w:p w14:paraId="7BEDDF7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-0.04</w:t>
            </w:r>
          </w:p>
        </w:tc>
        <w:tc>
          <w:tcPr>
            <w:tcW w:w="1227" w:type="dxa"/>
            <w:tcBorders>
              <w:top w:val="nil"/>
              <w:left w:val="nil"/>
              <w:bottom w:val="nil"/>
              <w:right w:val="nil"/>
            </w:tcBorders>
            <w:shd w:val="clear" w:color="000000" w:fill="FFFFFF"/>
            <w:noWrap/>
            <w:vAlign w:val="bottom"/>
            <w:hideMark/>
          </w:tcPr>
          <w:p w14:paraId="6FA40D2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-0.12</w:t>
            </w:r>
          </w:p>
        </w:tc>
      </w:tr>
      <w:tr w:rsidR="00765F47" w:rsidRPr="00086601" w14:paraId="5402F26C" w14:textId="77777777" w:rsidTr="00765F47">
        <w:trPr>
          <w:trHeight w:val="285"/>
        </w:trPr>
        <w:tc>
          <w:tcPr>
            <w:tcW w:w="741" w:type="dxa"/>
            <w:tcBorders>
              <w:top w:val="nil"/>
              <w:left w:val="nil"/>
              <w:bottom w:val="nil"/>
              <w:right w:val="nil"/>
            </w:tcBorders>
            <w:shd w:val="clear" w:color="000000" w:fill="FFFFFF"/>
            <w:noWrap/>
            <w:vAlign w:val="bottom"/>
            <w:hideMark/>
          </w:tcPr>
          <w:p w14:paraId="1CF614EF"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2010</w:t>
            </w:r>
          </w:p>
        </w:tc>
        <w:tc>
          <w:tcPr>
            <w:tcW w:w="1463" w:type="dxa"/>
            <w:tcBorders>
              <w:top w:val="nil"/>
              <w:left w:val="nil"/>
              <w:bottom w:val="nil"/>
              <w:right w:val="nil"/>
            </w:tcBorders>
            <w:shd w:val="clear" w:color="000000" w:fill="FFFFFF"/>
            <w:noWrap/>
            <w:vAlign w:val="bottom"/>
            <w:hideMark/>
          </w:tcPr>
          <w:p w14:paraId="278DCD7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34</w:t>
            </w:r>
          </w:p>
        </w:tc>
        <w:tc>
          <w:tcPr>
            <w:tcW w:w="1094" w:type="dxa"/>
            <w:tcBorders>
              <w:top w:val="nil"/>
              <w:left w:val="nil"/>
              <w:bottom w:val="nil"/>
              <w:right w:val="nil"/>
            </w:tcBorders>
            <w:shd w:val="clear" w:color="000000" w:fill="FFFFFF"/>
            <w:noWrap/>
            <w:vAlign w:val="bottom"/>
            <w:hideMark/>
          </w:tcPr>
          <w:p w14:paraId="06105AB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5.03</w:t>
            </w:r>
          </w:p>
        </w:tc>
        <w:tc>
          <w:tcPr>
            <w:tcW w:w="797" w:type="dxa"/>
            <w:tcBorders>
              <w:top w:val="nil"/>
              <w:left w:val="nil"/>
              <w:bottom w:val="nil"/>
              <w:right w:val="nil"/>
            </w:tcBorders>
            <w:shd w:val="clear" w:color="000000" w:fill="FFFFFF"/>
            <w:noWrap/>
            <w:vAlign w:val="bottom"/>
            <w:hideMark/>
          </w:tcPr>
          <w:p w14:paraId="3C7534C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58.18</w:t>
            </w:r>
          </w:p>
        </w:tc>
        <w:tc>
          <w:tcPr>
            <w:tcW w:w="797" w:type="dxa"/>
            <w:tcBorders>
              <w:top w:val="nil"/>
              <w:left w:val="nil"/>
              <w:bottom w:val="nil"/>
              <w:right w:val="nil"/>
            </w:tcBorders>
            <w:shd w:val="clear" w:color="000000" w:fill="FFFFFF"/>
            <w:noWrap/>
            <w:vAlign w:val="bottom"/>
            <w:hideMark/>
          </w:tcPr>
          <w:p w14:paraId="7776EB1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43.79</w:t>
            </w:r>
          </w:p>
        </w:tc>
        <w:tc>
          <w:tcPr>
            <w:tcW w:w="1021" w:type="dxa"/>
            <w:tcBorders>
              <w:top w:val="nil"/>
              <w:left w:val="nil"/>
              <w:bottom w:val="nil"/>
              <w:right w:val="nil"/>
            </w:tcBorders>
            <w:shd w:val="clear" w:color="000000" w:fill="FFFFFF"/>
            <w:noWrap/>
            <w:vAlign w:val="bottom"/>
            <w:hideMark/>
          </w:tcPr>
          <w:p w14:paraId="2825DD0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0.04</w:t>
            </w:r>
          </w:p>
        </w:tc>
        <w:tc>
          <w:tcPr>
            <w:tcW w:w="1227" w:type="dxa"/>
            <w:tcBorders>
              <w:top w:val="nil"/>
              <w:left w:val="nil"/>
              <w:bottom w:val="nil"/>
              <w:right w:val="nil"/>
            </w:tcBorders>
            <w:shd w:val="clear" w:color="000000" w:fill="FFFFFF"/>
            <w:noWrap/>
            <w:vAlign w:val="bottom"/>
            <w:hideMark/>
          </w:tcPr>
          <w:p w14:paraId="4F9CF8D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0.19</w:t>
            </w:r>
          </w:p>
        </w:tc>
      </w:tr>
      <w:tr w:rsidR="00765F47" w:rsidRPr="00086601" w14:paraId="544A04CC" w14:textId="77777777" w:rsidTr="00765F47">
        <w:trPr>
          <w:trHeight w:val="285"/>
        </w:trPr>
        <w:tc>
          <w:tcPr>
            <w:tcW w:w="741" w:type="dxa"/>
            <w:tcBorders>
              <w:top w:val="nil"/>
              <w:left w:val="nil"/>
              <w:bottom w:val="nil"/>
              <w:right w:val="nil"/>
            </w:tcBorders>
            <w:shd w:val="clear" w:color="000000" w:fill="FFFFFF"/>
            <w:noWrap/>
            <w:vAlign w:val="bottom"/>
            <w:hideMark/>
          </w:tcPr>
          <w:p w14:paraId="101AFA6B"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2011</w:t>
            </w:r>
          </w:p>
        </w:tc>
        <w:tc>
          <w:tcPr>
            <w:tcW w:w="1463" w:type="dxa"/>
            <w:tcBorders>
              <w:top w:val="nil"/>
              <w:left w:val="nil"/>
              <w:bottom w:val="nil"/>
              <w:right w:val="nil"/>
            </w:tcBorders>
            <w:shd w:val="clear" w:color="000000" w:fill="FFFFFF"/>
            <w:noWrap/>
            <w:vAlign w:val="bottom"/>
            <w:hideMark/>
          </w:tcPr>
          <w:p w14:paraId="7605A4E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34</w:t>
            </w:r>
          </w:p>
        </w:tc>
        <w:tc>
          <w:tcPr>
            <w:tcW w:w="1094" w:type="dxa"/>
            <w:tcBorders>
              <w:top w:val="nil"/>
              <w:left w:val="nil"/>
              <w:bottom w:val="nil"/>
              <w:right w:val="nil"/>
            </w:tcBorders>
            <w:shd w:val="clear" w:color="000000" w:fill="FFFFFF"/>
            <w:noWrap/>
            <w:vAlign w:val="bottom"/>
            <w:hideMark/>
          </w:tcPr>
          <w:p w14:paraId="5193F71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5.03</w:t>
            </w:r>
          </w:p>
        </w:tc>
        <w:tc>
          <w:tcPr>
            <w:tcW w:w="797" w:type="dxa"/>
            <w:tcBorders>
              <w:top w:val="nil"/>
              <w:left w:val="nil"/>
              <w:bottom w:val="nil"/>
              <w:right w:val="nil"/>
            </w:tcBorders>
            <w:shd w:val="clear" w:color="000000" w:fill="FFFFFF"/>
            <w:noWrap/>
            <w:vAlign w:val="bottom"/>
            <w:hideMark/>
          </w:tcPr>
          <w:p w14:paraId="347A86E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58.18</w:t>
            </w:r>
          </w:p>
        </w:tc>
        <w:tc>
          <w:tcPr>
            <w:tcW w:w="797" w:type="dxa"/>
            <w:tcBorders>
              <w:top w:val="nil"/>
              <w:left w:val="nil"/>
              <w:bottom w:val="nil"/>
              <w:right w:val="nil"/>
            </w:tcBorders>
            <w:shd w:val="clear" w:color="000000" w:fill="FFFFFF"/>
            <w:noWrap/>
            <w:vAlign w:val="bottom"/>
            <w:hideMark/>
          </w:tcPr>
          <w:p w14:paraId="5B96B83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43.79</w:t>
            </w:r>
          </w:p>
        </w:tc>
        <w:tc>
          <w:tcPr>
            <w:tcW w:w="1021" w:type="dxa"/>
            <w:tcBorders>
              <w:top w:val="nil"/>
              <w:left w:val="nil"/>
              <w:bottom w:val="nil"/>
              <w:right w:val="nil"/>
            </w:tcBorders>
            <w:shd w:val="clear" w:color="000000" w:fill="FFFFFF"/>
            <w:noWrap/>
            <w:vAlign w:val="bottom"/>
            <w:hideMark/>
          </w:tcPr>
          <w:p w14:paraId="4026F85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0.06</w:t>
            </w:r>
          </w:p>
        </w:tc>
        <w:tc>
          <w:tcPr>
            <w:tcW w:w="1227" w:type="dxa"/>
            <w:tcBorders>
              <w:top w:val="nil"/>
              <w:left w:val="nil"/>
              <w:bottom w:val="nil"/>
              <w:right w:val="nil"/>
            </w:tcBorders>
            <w:shd w:val="clear" w:color="000000" w:fill="FFFFFF"/>
            <w:noWrap/>
            <w:vAlign w:val="bottom"/>
            <w:hideMark/>
          </w:tcPr>
          <w:p w14:paraId="3211147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0.22</w:t>
            </w:r>
          </w:p>
        </w:tc>
      </w:tr>
      <w:tr w:rsidR="00765F47" w:rsidRPr="00086601" w14:paraId="3B904DA6" w14:textId="77777777" w:rsidTr="00765F47">
        <w:trPr>
          <w:trHeight w:val="285"/>
        </w:trPr>
        <w:tc>
          <w:tcPr>
            <w:tcW w:w="741" w:type="dxa"/>
            <w:tcBorders>
              <w:top w:val="nil"/>
              <w:left w:val="nil"/>
              <w:bottom w:val="nil"/>
              <w:right w:val="nil"/>
            </w:tcBorders>
            <w:shd w:val="clear" w:color="000000" w:fill="FFFFFF"/>
            <w:noWrap/>
            <w:vAlign w:val="bottom"/>
            <w:hideMark/>
          </w:tcPr>
          <w:p w14:paraId="36A6E678"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2012</w:t>
            </w:r>
          </w:p>
        </w:tc>
        <w:tc>
          <w:tcPr>
            <w:tcW w:w="1463" w:type="dxa"/>
            <w:tcBorders>
              <w:top w:val="nil"/>
              <w:left w:val="nil"/>
              <w:bottom w:val="nil"/>
              <w:right w:val="nil"/>
            </w:tcBorders>
            <w:shd w:val="clear" w:color="000000" w:fill="FFFFFF"/>
            <w:noWrap/>
            <w:vAlign w:val="bottom"/>
            <w:hideMark/>
          </w:tcPr>
          <w:p w14:paraId="3BE453B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34</w:t>
            </w:r>
          </w:p>
        </w:tc>
        <w:tc>
          <w:tcPr>
            <w:tcW w:w="1094" w:type="dxa"/>
            <w:tcBorders>
              <w:top w:val="nil"/>
              <w:left w:val="nil"/>
              <w:bottom w:val="nil"/>
              <w:right w:val="nil"/>
            </w:tcBorders>
            <w:shd w:val="clear" w:color="000000" w:fill="FFFFFF"/>
            <w:noWrap/>
            <w:vAlign w:val="bottom"/>
            <w:hideMark/>
          </w:tcPr>
          <w:p w14:paraId="416BC62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5.03</w:t>
            </w:r>
          </w:p>
        </w:tc>
        <w:tc>
          <w:tcPr>
            <w:tcW w:w="797" w:type="dxa"/>
            <w:tcBorders>
              <w:top w:val="nil"/>
              <w:left w:val="nil"/>
              <w:bottom w:val="nil"/>
              <w:right w:val="nil"/>
            </w:tcBorders>
            <w:shd w:val="clear" w:color="000000" w:fill="FFFFFF"/>
            <w:noWrap/>
            <w:vAlign w:val="bottom"/>
            <w:hideMark/>
          </w:tcPr>
          <w:p w14:paraId="5E9DB4F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58.18</w:t>
            </w:r>
          </w:p>
        </w:tc>
        <w:tc>
          <w:tcPr>
            <w:tcW w:w="797" w:type="dxa"/>
            <w:tcBorders>
              <w:top w:val="nil"/>
              <w:left w:val="nil"/>
              <w:bottom w:val="nil"/>
              <w:right w:val="nil"/>
            </w:tcBorders>
            <w:shd w:val="clear" w:color="000000" w:fill="FFFFFF"/>
            <w:noWrap/>
            <w:vAlign w:val="bottom"/>
            <w:hideMark/>
          </w:tcPr>
          <w:p w14:paraId="63351A2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43.79</w:t>
            </w:r>
          </w:p>
        </w:tc>
        <w:tc>
          <w:tcPr>
            <w:tcW w:w="1021" w:type="dxa"/>
            <w:tcBorders>
              <w:top w:val="nil"/>
              <w:left w:val="nil"/>
              <w:bottom w:val="nil"/>
              <w:right w:val="nil"/>
            </w:tcBorders>
            <w:shd w:val="clear" w:color="000000" w:fill="FFFFFF"/>
            <w:noWrap/>
            <w:vAlign w:val="bottom"/>
            <w:hideMark/>
          </w:tcPr>
          <w:p w14:paraId="073A79D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-0.03</w:t>
            </w:r>
          </w:p>
        </w:tc>
        <w:tc>
          <w:tcPr>
            <w:tcW w:w="1227" w:type="dxa"/>
            <w:tcBorders>
              <w:top w:val="nil"/>
              <w:left w:val="nil"/>
              <w:bottom w:val="nil"/>
              <w:right w:val="nil"/>
            </w:tcBorders>
            <w:shd w:val="clear" w:color="000000" w:fill="FFFFFF"/>
            <w:noWrap/>
            <w:vAlign w:val="bottom"/>
            <w:hideMark/>
          </w:tcPr>
          <w:p w14:paraId="6960A46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-0.10</w:t>
            </w:r>
          </w:p>
        </w:tc>
      </w:tr>
      <w:tr w:rsidR="00765F47" w:rsidRPr="00086601" w14:paraId="4D05E775" w14:textId="77777777" w:rsidTr="00765F47">
        <w:trPr>
          <w:trHeight w:val="285"/>
        </w:trPr>
        <w:tc>
          <w:tcPr>
            <w:tcW w:w="741" w:type="dxa"/>
            <w:tcBorders>
              <w:top w:val="nil"/>
              <w:left w:val="nil"/>
              <w:bottom w:val="nil"/>
              <w:right w:val="nil"/>
            </w:tcBorders>
            <w:shd w:val="clear" w:color="000000" w:fill="FFFFFF"/>
            <w:noWrap/>
            <w:vAlign w:val="bottom"/>
            <w:hideMark/>
          </w:tcPr>
          <w:p w14:paraId="29FFBCA9"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2013</w:t>
            </w:r>
          </w:p>
        </w:tc>
        <w:tc>
          <w:tcPr>
            <w:tcW w:w="1463" w:type="dxa"/>
            <w:tcBorders>
              <w:top w:val="nil"/>
              <w:left w:val="nil"/>
              <w:bottom w:val="nil"/>
              <w:right w:val="nil"/>
            </w:tcBorders>
            <w:shd w:val="clear" w:color="000000" w:fill="FFFFFF"/>
            <w:noWrap/>
            <w:vAlign w:val="bottom"/>
            <w:hideMark/>
          </w:tcPr>
          <w:p w14:paraId="52F573B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34</w:t>
            </w:r>
          </w:p>
        </w:tc>
        <w:tc>
          <w:tcPr>
            <w:tcW w:w="1094" w:type="dxa"/>
            <w:tcBorders>
              <w:top w:val="nil"/>
              <w:left w:val="nil"/>
              <w:bottom w:val="nil"/>
              <w:right w:val="nil"/>
            </w:tcBorders>
            <w:shd w:val="clear" w:color="000000" w:fill="FFFFFF"/>
            <w:noWrap/>
            <w:vAlign w:val="bottom"/>
            <w:hideMark/>
          </w:tcPr>
          <w:p w14:paraId="2D640E0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5.03</w:t>
            </w:r>
          </w:p>
        </w:tc>
        <w:tc>
          <w:tcPr>
            <w:tcW w:w="797" w:type="dxa"/>
            <w:tcBorders>
              <w:top w:val="nil"/>
              <w:left w:val="nil"/>
              <w:bottom w:val="nil"/>
              <w:right w:val="nil"/>
            </w:tcBorders>
            <w:shd w:val="clear" w:color="000000" w:fill="FFFFFF"/>
            <w:noWrap/>
            <w:vAlign w:val="bottom"/>
            <w:hideMark/>
          </w:tcPr>
          <w:p w14:paraId="727B6D1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58.18</w:t>
            </w:r>
          </w:p>
        </w:tc>
        <w:tc>
          <w:tcPr>
            <w:tcW w:w="797" w:type="dxa"/>
            <w:tcBorders>
              <w:top w:val="nil"/>
              <w:left w:val="nil"/>
              <w:bottom w:val="nil"/>
              <w:right w:val="nil"/>
            </w:tcBorders>
            <w:shd w:val="clear" w:color="000000" w:fill="FFFFFF"/>
            <w:noWrap/>
            <w:vAlign w:val="bottom"/>
            <w:hideMark/>
          </w:tcPr>
          <w:p w14:paraId="04144AC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43.79</w:t>
            </w:r>
          </w:p>
        </w:tc>
        <w:tc>
          <w:tcPr>
            <w:tcW w:w="1021" w:type="dxa"/>
            <w:tcBorders>
              <w:top w:val="nil"/>
              <w:left w:val="nil"/>
              <w:bottom w:val="nil"/>
              <w:right w:val="nil"/>
            </w:tcBorders>
            <w:shd w:val="clear" w:color="000000" w:fill="FFFFFF"/>
            <w:noWrap/>
            <w:vAlign w:val="bottom"/>
            <w:hideMark/>
          </w:tcPr>
          <w:p w14:paraId="19852B8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0.13</w:t>
            </w:r>
          </w:p>
        </w:tc>
        <w:tc>
          <w:tcPr>
            <w:tcW w:w="1227" w:type="dxa"/>
            <w:tcBorders>
              <w:top w:val="nil"/>
              <w:left w:val="nil"/>
              <w:bottom w:val="nil"/>
              <w:right w:val="nil"/>
            </w:tcBorders>
            <w:shd w:val="clear" w:color="000000" w:fill="FFFFFF"/>
            <w:noWrap/>
            <w:vAlign w:val="bottom"/>
            <w:hideMark/>
          </w:tcPr>
          <w:p w14:paraId="24E3AA3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0.54</w:t>
            </w:r>
          </w:p>
        </w:tc>
      </w:tr>
      <w:tr w:rsidR="00765F47" w:rsidRPr="00086601" w14:paraId="10F593AF" w14:textId="77777777" w:rsidTr="00765F47">
        <w:trPr>
          <w:trHeight w:val="285"/>
        </w:trPr>
        <w:tc>
          <w:tcPr>
            <w:tcW w:w="741" w:type="dxa"/>
            <w:tcBorders>
              <w:top w:val="nil"/>
              <w:left w:val="nil"/>
              <w:bottom w:val="nil"/>
              <w:right w:val="nil"/>
            </w:tcBorders>
            <w:shd w:val="clear" w:color="000000" w:fill="FFFFFF"/>
            <w:noWrap/>
            <w:vAlign w:val="bottom"/>
            <w:hideMark/>
          </w:tcPr>
          <w:p w14:paraId="768D476C"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2014</w:t>
            </w:r>
          </w:p>
        </w:tc>
        <w:tc>
          <w:tcPr>
            <w:tcW w:w="1463" w:type="dxa"/>
            <w:tcBorders>
              <w:top w:val="nil"/>
              <w:left w:val="nil"/>
              <w:bottom w:val="nil"/>
              <w:right w:val="nil"/>
            </w:tcBorders>
            <w:shd w:val="clear" w:color="000000" w:fill="FFFFFF"/>
            <w:noWrap/>
            <w:vAlign w:val="bottom"/>
            <w:hideMark/>
          </w:tcPr>
          <w:p w14:paraId="24F9E4D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34</w:t>
            </w:r>
          </w:p>
        </w:tc>
        <w:tc>
          <w:tcPr>
            <w:tcW w:w="1094" w:type="dxa"/>
            <w:tcBorders>
              <w:top w:val="nil"/>
              <w:left w:val="nil"/>
              <w:bottom w:val="nil"/>
              <w:right w:val="nil"/>
            </w:tcBorders>
            <w:shd w:val="clear" w:color="000000" w:fill="FFFFFF"/>
            <w:noWrap/>
            <w:vAlign w:val="bottom"/>
            <w:hideMark/>
          </w:tcPr>
          <w:p w14:paraId="21CD91A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5.03</w:t>
            </w:r>
          </w:p>
        </w:tc>
        <w:tc>
          <w:tcPr>
            <w:tcW w:w="797" w:type="dxa"/>
            <w:tcBorders>
              <w:top w:val="nil"/>
              <w:left w:val="nil"/>
              <w:bottom w:val="nil"/>
              <w:right w:val="nil"/>
            </w:tcBorders>
            <w:shd w:val="clear" w:color="000000" w:fill="FFFFFF"/>
            <w:noWrap/>
            <w:vAlign w:val="bottom"/>
            <w:hideMark/>
          </w:tcPr>
          <w:p w14:paraId="665A9E2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58.18</w:t>
            </w:r>
          </w:p>
        </w:tc>
        <w:tc>
          <w:tcPr>
            <w:tcW w:w="797" w:type="dxa"/>
            <w:tcBorders>
              <w:top w:val="nil"/>
              <w:left w:val="nil"/>
              <w:bottom w:val="nil"/>
              <w:right w:val="nil"/>
            </w:tcBorders>
            <w:shd w:val="clear" w:color="000000" w:fill="FFFFFF"/>
            <w:noWrap/>
            <w:vAlign w:val="bottom"/>
            <w:hideMark/>
          </w:tcPr>
          <w:p w14:paraId="3D72CF4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43.79</w:t>
            </w:r>
          </w:p>
        </w:tc>
        <w:tc>
          <w:tcPr>
            <w:tcW w:w="1021" w:type="dxa"/>
            <w:tcBorders>
              <w:top w:val="nil"/>
              <w:left w:val="nil"/>
              <w:bottom w:val="nil"/>
              <w:right w:val="nil"/>
            </w:tcBorders>
            <w:shd w:val="clear" w:color="000000" w:fill="FFFFFF"/>
            <w:noWrap/>
            <w:vAlign w:val="bottom"/>
            <w:hideMark/>
          </w:tcPr>
          <w:p w14:paraId="7886DA1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0.07</w:t>
            </w:r>
          </w:p>
        </w:tc>
        <w:tc>
          <w:tcPr>
            <w:tcW w:w="1227" w:type="dxa"/>
            <w:tcBorders>
              <w:top w:val="nil"/>
              <w:left w:val="nil"/>
              <w:bottom w:val="nil"/>
              <w:right w:val="nil"/>
            </w:tcBorders>
            <w:shd w:val="clear" w:color="000000" w:fill="FFFFFF"/>
            <w:noWrap/>
            <w:vAlign w:val="bottom"/>
            <w:hideMark/>
          </w:tcPr>
          <w:p w14:paraId="6868A10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0.41</w:t>
            </w:r>
          </w:p>
        </w:tc>
      </w:tr>
      <w:tr w:rsidR="00765F47" w:rsidRPr="00086601" w14:paraId="1D55BD6D" w14:textId="77777777" w:rsidTr="00765F47">
        <w:trPr>
          <w:trHeight w:val="285"/>
        </w:trPr>
        <w:tc>
          <w:tcPr>
            <w:tcW w:w="741" w:type="dxa"/>
            <w:tcBorders>
              <w:top w:val="nil"/>
              <w:left w:val="nil"/>
              <w:bottom w:val="nil"/>
              <w:right w:val="nil"/>
            </w:tcBorders>
            <w:shd w:val="clear" w:color="000000" w:fill="FFFFFF"/>
            <w:noWrap/>
            <w:vAlign w:val="bottom"/>
            <w:hideMark/>
          </w:tcPr>
          <w:p w14:paraId="382F5EC4"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2015</w:t>
            </w:r>
          </w:p>
        </w:tc>
        <w:tc>
          <w:tcPr>
            <w:tcW w:w="1463" w:type="dxa"/>
            <w:tcBorders>
              <w:top w:val="nil"/>
              <w:left w:val="nil"/>
              <w:bottom w:val="nil"/>
              <w:right w:val="nil"/>
            </w:tcBorders>
            <w:shd w:val="clear" w:color="000000" w:fill="FFFFFF"/>
            <w:noWrap/>
            <w:vAlign w:val="bottom"/>
            <w:hideMark/>
          </w:tcPr>
          <w:p w14:paraId="0C5355E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35</w:t>
            </w:r>
          </w:p>
        </w:tc>
        <w:tc>
          <w:tcPr>
            <w:tcW w:w="1094" w:type="dxa"/>
            <w:tcBorders>
              <w:top w:val="nil"/>
              <w:left w:val="nil"/>
              <w:bottom w:val="nil"/>
              <w:right w:val="nil"/>
            </w:tcBorders>
            <w:shd w:val="clear" w:color="000000" w:fill="FFFFFF"/>
            <w:noWrap/>
            <w:vAlign w:val="bottom"/>
            <w:hideMark/>
          </w:tcPr>
          <w:p w14:paraId="74134A7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5.18</w:t>
            </w:r>
          </w:p>
        </w:tc>
        <w:tc>
          <w:tcPr>
            <w:tcW w:w="797" w:type="dxa"/>
            <w:tcBorders>
              <w:top w:val="nil"/>
              <w:left w:val="nil"/>
              <w:bottom w:val="nil"/>
              <w:right w:val="nil"/>
            </w:tcBorders>
            <w:shd w:val="clear" w:color="000000" w:fill="FFFFFF"/>
            <w:noWrap/>
            <w:vAlign w:val="bottom"/>
            <w:hideMark/>
          </w:tcPr>
          <w:p w14:paraId="231BD4D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58.23</w:t>
            </w:r>
          </w:p>
        </w:tc>
        <w:tc>
          <w:tcPr>
            <w:tcW w:w="797" w:type="dxa"/>
            <w:tcBorders>
              <w:top w:val="nil"/>
              <w:left w:val="nil"/>
              <w:bottom w:val="nil"/>
              <w:right w:val="nil"/>
            </w:tcBorders>
            <w:shd w:val="clear" w:color="000000" w:fill="FFFFFF"/>
            <w:noWrap/>
            <w:vAlign w:val="bottom"/>
            <w:hideMark/>
          </w:tcPr>
          <w:p w14:paraId="7DC1762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43.69</w:t>
            </w:r>
          </w:p>
        </w:tc>
        <w:tc>
          <w:tcPr>
            <w:tcW w:w="1021" w:type="dxa"/>
            <w:tcBorders>
              <w:top w:val="nil"/>
              <w:left w:val="nil"/>
              <w:bottom w:val="nil"/>
              <w:right w:val="nil"/>
            </w:tcBorders>
            <w:shd w:val="clear" w:color="000000" w:fill="FFFFFF"/>
            <w:noWrap/>
            <w:vAlign w:val="bottom"/>
            <w:hideMark/>
          </w:tcPr>
          <w:p w14:paraId="01DE908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-0.04</w:t>
            </w:r>
          </w:p>
        </w:tc>
        <w:tc>
          <w:tcPr>
            <w:tcW w:w="1227" w:type="dxa"/>
            <w:tcBorders>
              <w:top w:val="nil"/>
              <w:left w:val="nil"/>
              <w:bottom w:val="nil"/>
              <w:right w:val="nil"/>
            </w:tcBorders>
            <w:shd w:val="clear" w:color="000000" w:fill="FFFFFF"/>
            <w:noWrap/>
            <w:vAlign w:val="bottom"/>
            <w:hideMark/>
          </w:tcPr>
          <w:p w14:paraId="525B8DA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-0.16</w:t>
            </w:r>
          </w:p>
        </w:tc>
      </w:tr>
      <w:tr w:rsidR="00765F47" w:rsidRPr="00086601" w14:paraId="676655D7" w14:textId="77777777" w:rsidTr="00765F47">
        <w:trPr>
          <w:trHeight w:val="285"/>
        </w:trPr>
        <w:tc>
          <w:tcPr>
            <w:tcW w:w="741" w:type="dxa"/>
            <w:tcBorders>
              <w:top w:val="nil"/>
              <w:left w:val="nil"/>
              <w:bottom w:val="nil"/>
              <w:right w:val="nil"/>
            </w:tcBorders>
            <w:shd w:val="clear" w:color="000000" w:fill="FFFFFF"/>
            <w:noWrap/>
            <w:vAlign w:val="bottom"/>
            <w:hideMark/>
          </w:tcPr>
          <w:p w14:paraId="7D50B7D7"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2016</w:t>
            </w:r>
          </w:p>
        </w:tc>
        <w:tc>
          <w:tcPr>
            <w:tcW w:w="1463" w:type="dxa"/>
            <w:tcBorders>
              <w:top w:val="nil"/>
              <w:left w:val="nil"/>
              <w:bottom w:val="nil"/>
              <w:right w:val="nil"/>
            </w:tcBorders>
            <w:shd w:val="clear" w:color="000000" w:fill="FFFFFF"/>
            <w:noWrap/>
            <w:vAlign w:val="bottom"/>
            <w:hideMark/>
          </w:tcPr>
          <w:p w14:paraId="1CA9AA9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35</w:t>
            </w:r>
          </w:p>
        </w:tc>
        <w:tc>
          <w:tcPr>
            <w:tcW w:w="1094" w:type="dxa"/>
            <w:tcBorders>
              <w:top w:val="nil"/>
              <w:left w:val="nil"/>
              <w:bottom w:val="nil"/>
              <w:right w:val="nil"/>
            </w:tcBorders>
            <w:shd w:val="clear" w:color="000000" w:fill="FFFFFF"/>
            <w:noWrap/>
            <w:vAlign w:val="bottom"/>
            <w:hideMark/>
          </w:tcPr>
          <w:p w14:paraId="34033E7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5.18</w:t>
            </w:r>
          </w:p>
        </w:tc>
        <w:tc>
          <w:tcPr>
            <w:tcW w:w="797" w:type="dxa"/>
            <w:tcBorders>
              <w:top w:val="nil"/>
              <w:left w:val="nil"/>
              <w:bottom w:val="nil"/>
              <w:right w:val="nil"/>
            </w:tcBorders>
            <w:shd w:val="clear" w:color="000000" w:fill="FFFFFF"/>
            <w:noWrap/>
            <w:vAlign w:val="bottom"/>
            <w:hideMark/>
          </w:tcPr>
          <w:p w14:paraId="7B7F8D7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58.23</w:t>
            </w:r>
          </w:p>
        </w:tc>
        <w:tc>
          <w:tcPr>
            <w:tcW w:w="797" w:type="dxa"/>
            <w:tcBorders>
              <w:top w:val="nil"/>
              <w:left w:val="nil"/>
              <w:bottom w:val="nil"/>
              <w:right w:val="nil"/>
            </w:tcBorders>
            <w:shd w:val="clear" w:color="000000" w:fill="FFFFFF"/>
            <w:noWrap/>
            <w:vAlign w:val="bottom"/>
            <w:hideMark/>
          </w:tcPr>
          <w:p w14:paraId="6762868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43.69</w:t>
            </w:r>
          </w:p>
        </w:tc>
        <w:tc>
          <w:tcPr>
            <w:tcW w:w="1021" w:type="dxa"/>
            <w:tcBorders>
              <w:top w:val="nil"/>
              <w:left w:val="nil"/>
              <w:bottom w:val="nil"/>
              <w:right w:val="nil"/>
            </w:tcBorders>
            <w:shd w:val="clear" w:color="000000" w:fill="FFFFFF"/>
            <w:noWrap/>
            <w:vAlign w:val="bottom"/>
            <w:hideMark/>
          </w:tcPr>
          <w:p w14:paraId="49CF34A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-0.02</w:t>
            </w:r>
          </w:p>
        </w:tc>
        <w:tc>
          <w:tcPr>
            <w:tcW w:w="1227" w:type="dxa"/>
            <w:tcBorders>
              <w:top w:val="nil"/>
              <w:left w:val="nil"/>
              <w:bottom w:val="nil"/>
              <w:right w:val="nil"/>
            </w:tcBorders>
            <w:shd w:val="clear" w:color="000000" w:fill="FFFFFF"/>
            <w:noWrap/>
            <w:vAlign w:val="bottom"/>
            <w:hideMark/>
          </w:tcPr>
          <w:p w14:paraId="2D245F3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0.06</w:t>
            </w:r>
          </w:p>
        </w:tc>
      </w:tr>
      <w:tr w:rsidR="00765F47" w:rsidRPr="00086601" w14:paraId="56E1ADA8" w14:textId="77777777" w:rsidTr="00765F47">
        <w:trPr>
          <w:trHeight w:val="285"/>
        </w:trPr>
        <w:tc>
          <w:tcPr>
            <w:tcW w:w="741" w:type="dxa"/>
            <w:tcBorders>
              <w:top w:val="nil"/>
              <w:left w:val="nil"/>
              <w:bottom w:val="nil"/>
              <w:right w:val="nil"/>
            </w:tcBorders>
            <w:shd w:val="clear" w:color="000000" w:fill="FFFFFF"/>
            <w:noWrap/>
            <w:vAlign w:val="bottom"/>
            <w:hideMark/>
          </w:tcPr>
          <w:p w14:paraId="5BF7F92A"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2017</w:t>
            </w:r>
          </w:p>
        </w:tc>
        <w:tc>
          <w:tcPr>
            <w:tcW w:w="1463" w:type="dxa"/>
            <w:tcBorders>
              <w:top w:val="nil"/>
              <w:left w:val="nil"/>
              <w:bottom w:val="nil"/>
              <w:right w:val="nil"/>
            </w:tcBorders>
            <w:shd w:val="clear" w:color="000000" w:fill="FFFFFF"/>
            <w:noWrap/>
            <w:vAlign w:val="bottom"/>
            <w:hideMark/>
          </w:tcPr>
          <w:p w14:paraId="531E94D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35</w:t>
            </w:r>
          </w:p>
        </w:tc>
        <w:tc>
          <w:tcPr>
            <w:tcW w:w="1094" w:type="dxa"/>
            <w:tcBorders>
              <w:top w:val="nil"/>
              <w:left w:val="nil"/>
              <w:bottom w:val="nil"/>
              <w:right w:val="nil"/>
            </w:tcBorders>
            <w:shd w:val="clear" w:color="000000" w:fill="FFFFFF"/>
            <w:noWrap/>
            <w:vAlign w:val="bottom"/>
            <w:hideMark/>
          </w:tcPr>
          <w:p w14:paraId="57414BC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5.18</w:t>
            </w:r>
          </w:p>
        </w:tc>
        <w:tc>
          <w:tcPr>
            <w:tcW w:w="797" w:type="dxa"/>
            <w:tcBorders>
              <w:top w:val="nil"/>
              <w:left w:val="nil"/>
              <w:bottom w:val="nil"/>
              <w:right w:val="nil"/>
            </w:tcBorders>
            <w:shd w:val="clear" w:color="000000" w:fill="FFFFFF"/>
            <w:noWrap/>
            <w:vAlign w:val="bottom"/>
            <w:hideMark/>
          </w:tcPr>
          <w:p w14:paraId="7F060B2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58.23</w:t>
            </w:r>
          </w:p>
        </w:tc>
        <w:tc>
          <w:tcPr>
            <w:tcW w:w="797" w:type="dxa"/>
            <w:tcBorders>
              <w:top w:val="nil"/>
              <w:left w:val="nil"/>
              <w:bottom w:val="nil"/>
              <w:right w:val="nil"/>
            </w:tcBorders>
            <w:shd w:val="clear" w:color="000000" w:fill="FFFFFF"/>
            <w:noWrap/>
            <w:vAlign w:val="bottom"/>
            <w:hideMark/>
          </w:tcPr>
          <w:p w14:paraId="25E6D7E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43.69</w:t>
            </w:r>
          </w:p>
        </w:tc>
        <w:tc>
          <w:tcPr>
            <w:tcW w:w="1021" w:type="dxa"/>
            <w:tcBorders>
              <w:top w:val="nil"/>
              <w:left w:val="nil"/>
              <w:bottom w:val="nil"/>
              <w:right w:val="nil"/>
            </w:tcBorders>
            <w:shd w:val="clear" w:color="000000" w:fill="FFFFFF"/>
            <w:noWrap/>
            <w:vAlign w:val="bottom"/>
            <w:hideMark/>
          </w:tcPr>
          <w:p w14:paraId="23F5486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-0.02</w:t>
            </w:r>
          </w:p>
        </w:tc>
        <w:tc>
          <w:tcPr>
            <w:tcW w:w="1227" w:type="dxa"/>
            <w:tcBorders>
              <w:top w:val="nil"/>
              <w:left w:val="nil"/>
              <w:bottom w:val="nil"/>
              <w:right w:val="nil"/>
            </w:tcBorders>
            <w:shd w:val="clear" w:color="000000" w:fill="FFFFFF"/>
            <w:noWrap/>
            <w:vAlign w:val="bottom"/>
            <w:hideMark/>
          </w:tcPr>
          <w:p w14:paraId="13E86E7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-0.11</w:t>
            </w:r>
          </w:p>
        </w:tc>
      </w:tr>
      <w:tr w:rsidR="00765F47" w:rsidRPr="00086601" w14:paraId="242E0C85" w14:textId="77777777" w:rsidTr="00765F47">
        <w:trPr>
          <w:trHeight w:val="285"/>
        </w:trPr>
        <w:tc>
          <w:tcPr>
            <w:tcW w:w="741" w:type="dxa"/>
            <w:tcBorders>
              <w:top w:val="nil"/>
              <w:left w:val="nil"/>
              <w:bottom w:val="nil"/>
              <w:right w:val="nil"/>
            </w:tcBorders>
            <w:shd w:val="clear" w:color="000000" w:fill="FFFFFF"/>
            <w:noWrap/>
            <w:vAlign w:val="bottom"/>
            <w:hideMark/>
          </w:tcPr>
          <w:p w14:paraId="2ACFE03F"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2018</w:t>
            </w:r>
          </w:p>
        </w:tc>
        <w:tc>
          <w:tcPr>
            <w:tcW w:w="1463" w:type="dxa"/>
            <w:tcBorders>
              <w:top w:val="nil"/>
              <w:left w:val="nil"/>
              <w:bottom w:val="nil"/>
              <w:right w:val="nil"/>
            </w:tcBorders>
            <w:shd w:val="clear" w:color="000000" w:fill="FFFFFF"/>
            <w:noWrap/>
            <w:vAlign w:val="bottom"/>
            <w:hideMark/>
          </w:tcPr>
          <w:p w14:paraId="03DA9F0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35</w:t>
            </w:r>
          </w:p>
        </w:tc>
        <w:tc>
          <w:tcPr>
            <w:tcW w:w="1094" w:type="dxa"/>
            <w:tcBorders>
              <w:top w:val="nil"/>
              <w:left w:val="nil"/>
              <w:bottom w:val="nil"/>
              <w:right w:val="nil"/>
            </w:tcBorders>
            <w:shd w:val="clear" w:color="000000" w:fill="FFFFFF"/>
            <w:noWrap/>
            <w:vAlign w:val="bottom"/>
            <w:hideMark/>
          </w:tcPr>
          <w:p w14:paraId="7514076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5.18</w:t>
            </w:r>
          </w:p>
        </w:tc>
        <w:tc>
          <w:tcPr>
            <w:tcW w:w="797" w:type="dxa"/>
            <w:tcBorders>
              <w:top w:val="nil"/>
              <w:left w:val="nil"/>
              <w:bottom w:val="nil"/>
              <w:right w:val="nil"/>
            </w:tcBorders>
            <w:shd w:val="clear" w:color="000000" w:fill="FFFFFF"/>
            <w:noWrap/>
            <w:vAlign w:val="bottom"/>
            <w:hideMark/>
          </w:tcPr>
          <w:p w14:paraId="1C6D63F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58.23</w:t>
            </w:r>
          </w:p>
        </w:tc>
        <w:tc>
          <w:tcPr>
            <w:tcW w:w="797" w:type="dxa"/>
            <w:tcBorders>
              <w:top w:val="nil"/>
              <w:left w:val="nil"/>
              <w:bottom w:val="nil"/>
              <w:right w:val="nil"/>
            </w:tcBorders>
            <w:shd w:val="clear" w:color="000000" w:fill="FFFFFF"/>
            <w:noWrap/>
            <w:vAlign w:val="bottom"/>
            <w:hideMark/>
          </w:tcPr>
          <w:p w14:paraId="2BA101A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43.69</w:t>
            </w:r>
          </w:p>
        </w:tc>
        <w:tc>
          <w:tcPr>
            <w:tcW w:w="1021" w:type="dxa"/>
            <w:tcBorders>
              <w:top w:val="nil"/>
              <w:left w:val="nil"/>
              <w:bottom w:val="nil"/>
              <w:right w:val="nil"/>
            </w:tcBorders>
            <w:shd w:val="clear" w:color="000000" w:fill="FFFFFF"/>
            <w:noWrap/>
            <w:vAlign w:val="bottom"/>
            <w:hideMark/>
          </w:tcPr>
          <w:p w14:paraId="5ACA28D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0.04</w:t>
            </w:r>
          </w:p>
        </w:tc>
        <w:tc>
          <w:tcPr>
            <w:tcW w:w="1227" w:type="dxa"/>
            <w:tcBorders>
              <w:top w:val="nil"/>
              <w:left w:val="nil"/>
              <w:bottom w:val="nil"/>
              <w:right w:val="nil"/>
            </w:tcBorders>
            <w:shd w:val="clear" w:color="000000" w:fill="FFFFFF"/>
            <w:noWrap/>
            <w:vAlign w:val="bottom"/>
            <w:hideMark/>
          </w:tcPr>
          <w:p w14:paraId="188E3FB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0.23</w:t>
            </w:r>
          </w:p>
        </w:tc>
      </w:tr>
      <w:tr w:rsidR="00765F47" w:rsidRPr="00086601" w14:paraId="0AC2FB74" w14:textId="77777777" w:rsidTr="00765F47">
        <w:trPr>
          <w:trHeight w:val="285"/>
        </w:trPr>
        <w:tc>
          <w:tcPr>
            <w:tcW w:w="741" w:type="dxa"/>
            <w:tcBorders>
              <w:top w:val="nil"/>
              <w:left w:val="nil"/>
              <w:bottom w:val="nil"/>
              <w:right w:val="nil"/>
            </w:tcBorders>
            <w:shd w:val="clear" w:color="000000" w:fill="FFFFFF"/>
            <w:noWrap/>
            <w:vAlign w:val="bottom"/>
            <w:hideMark/>
          </w:tcPr>
          <w:p w14:paraId="15A30C08"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2019</w:t>
            </w:r>
          </w:p>
        </w:tc>
        <w:tc>
          <w:tcPr>
            <w:tcW w:w="1463" w:type="dxa"/>
            <w:tcBorders>
              <w:top w:val="nil"/>
              <w:left w:val="nil"/>
              <w:bottom w:val="nil"/>
              <w:right w:val="nil"/>
            </w:tcBorders>
            <w:shd w:val="clear" w:color="000000" w:fill="FFFFFF"/>
            <w:noWrap/>
            <w:vAlign w:val="bottom"/>
            <w:hideMark/>
          </w:tcPr>
          <w:p w14:paraId="2B114DD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35</w:t>
            </w:r>
          </w:p>
        </w:tc>
        <w:tc>
          <w:tcPr>
            <w:tcW w:w="1094" w:type="dxa"/>
            <w:tcBorders>
              <w:top w:val="nil"/>
              <w:left w:val="nil"/>
              <w:bottom w:val="nil"/>
              <w:right w:val="nil"/>
            </w:tcBorders>
            <w:shd w:val="clear" w:color="000000" w:fill="FFFFFF"/>
            <w:noWrap/>
            <w:vAlign w:val="bottom"/>
            <w:hideMark/>
          </w:tcPr>
          <w:p w14:paraId="51E4477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5.18</w:t>
            </w:r>
          </w:p>
        </w:tc>
        <w:tc>
          <w:tcPr>
            <w:tcW w:w="797" w:type="dxa"/>
            <w:tcBorders>
              <w:top w:val="nil"/>
              <w:left w:val="nil"/>
              <w:bottom w:val="nil"/>
              <w:right w:val="nil"/>
            </w:tcBorders>
            <w:shd w:val="clear" w:color="000000" w:fill="FFFFFF"/>
            <w:noWrap/>
            <w:vAlign w:val="bottom"/>
            <w:hideMark/>
          </w:tcPr>
          <w:p w14:paraId="3D974F1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58.23</w:t>
            </w:r>
          </w:p>
        </w:tc>
        <w:tc>
          <w:tcPr>
            <w:tcW w:w="797" w:type="dxa"/>
            <w:tcBorders>
              <w:top w:val="nil"/>
              <w:left w:val="nil"/>
              <w:bottom w:val="nil"/>
              <w:right w:val="nil"/>
            </w:tcBorders>
            <w:shd w:val="clear" w:color="000000" w:fill="FFFFFF"/>
            <w:noWrap/>
            <w:vAlign w:val="bottom"/>
            <w:hideMark/>
          </w:tcPr>
          <w:p w14:paraId="70C2068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43.69</w:t>
            </w:r>
          </w:p>
        </w:tc>
        <w:tc>
          <w:tcPr>
            <w:tcW w:w="1021" w:type="dxa"/>
            <w:tcBorders>
              <w:top w:val="nil"/>
              <w:left w:val="nil"/>
              <w:bottom w:val="nil"/>
              <w:right w:val="nil"/>
            </w:tcBorders>
            <w:shd w:val="clear" w:color="000000" w:fill="FFFFFF"/>
            <w:noWrap/>
            <w:vAlign w:val="bottom"/>
            <w:hideMark/>
          </w:tcPr>
          <w:p w14:paraId="5E81A62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0.09</w:t>
            </w:r>
          </w:p>
        </w:tc>
        <w:tc>
          <w:tcPr>
            <w:tcW w:w="1227" w:type="dxa"/>
            <w:tcBorders>
              <w:top w:val="nil"/>
              <w:left w:val="nil"/>
              <w:bottom w:val="nil"/>
              <w:right w:val="nil"/>
            </w:tcBorders>
            <w:shd w:val="clear" w:color="000000" w:fill="FFFFFF"/>
            <w:noWrap/>
            <w:vAlign w:val="bottom"/>
            <w:hideMark/>
          </w:tcPr>
          <w:p w14:paraId="2ED05E6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0.37</w:t>
            </w:r>
          </w:p>
        </w:tc>
      </w:tr>
      <w:tr w:rsidR="00765F47" w:rsidRPr="00086601" w14:paraId="7B17ECAB" w14:textId="77777777" w:rsidTr="00765F47">
        <w:trPr>
          <w:trHeight w:val="285"/>
        </w:trPr>
        <w:tc>
          <w:tcPr>
            <w:tcW w:w="741" w:type="dxa"/>
            <w:tcBorders>
              <w:top w:val="single" w:sz="4" w:space="0" w:color="auto"/>
              <w:left w:val="nil"/>
              <w:bottom w:val="single" w:sz="4" w:space="0" w:color="auto"/>
              <w:right w:val="nil"/>
            </w:tcBorders>
            <w:shd w:val="clear" w:color="000000" w:fill="FFFFFF"/>
            <w:noWrap/>
            <w:vAlign w:val="bottom"/>
            <w:hideMark/>
          </w:tcPr>
          <w:p w14:paraId="753536AD" w14:textId="77777777" w:rsidR="00765F47" w:rsidRPr="00086601" w:rsidRDefault="00765F47" w:rsidP="00765F47">
            <w:pPr>
              <w:spacing w:after="0" w:line="240" w:lineRule="auto"/>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Total</w:t>
            </w:r>
          </w:p>
        </w:tc>
        <w:tc>
          <w:tcPr>
            <w:tcW w:w="1463" w:type="dxa"/>
            <w:tcBorders>
              <w:top w:val="single" w:sz="4" w:space="0" w:color="auto"/>
              <w:left w:val="nil"/>
              <w:bottom w:val="single" w:sz="4" w:space="0" w:color="auto"/>
              <w:right w:val="nil"/>
            </w:tcBorders>
            <w:shd w:val="clear" w:color="000000" w:fill="FFFFFF"/>
            <w:noWrap/>
            <w:vAlign w:val="bottom"/>
            <w:hideMark/>
          </w:tcPr>
          <w:p w14:paraId="157F8B21" w14:textId="77777777" w:rsidR="00765F47" w:rsidRPr="00086601" w:rsidRDefault="00765F47" w:rsidP="00765F47">
            <w:pPr>
              <w:spacing w:after="0" w:line="240" w:lineRule="auto"/>
              <w:jc w:val="right"/>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676</w:t>
            </w:r>
          </w:p>
        </w:tc>
        <w:tc>
          <w:tcPr>
            <w:tcW w:w="1094" w:type="dxa"/>
            <w:tcBorders>
              <w:top w:val="single" w:sz="4" w:space="0" w:color="auto"/>
              <w:left w:val="nil"/>
              <w:bottom w:val="single" w:sz="4" w:space="0" w:color="auto"/>
              <w:right w:val="nil"/>
            </w:tcBorders>
            <w:shd w:val="clear" w:color="000000" w:fill="FFFFFF"/>
            <w:noWrap/>
            <w:vAlign w:val="bottom"/>
            <w:hideMark/>
          </w:tcPr>
          <w:p w14:paraId="59092344" w14:textId="77777777" w:rsidR="00765F47" w:rsidRPr="00086601" w:rsidRDefault="00765F47" w:rsidP="00765F47">
            <w:pPr>
              <w:spacing w:after="0" w:line="240" w:lineRule="auto"/>
              <w:jc w:val="right"/>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100</w:t>
            </w:r>
          </w:p>
        </w:tc>
        <w:tc>
          <w:tcPr>
            <w:tcW w:w="797" w:type="dxa"/>
            <w:tcBorders>
              <w:top w:val="single" w:sz="4" w:space="0" w:color="auto"/>
              <w:left w:val="nil"/>
              <w:bottom w:val="single" w:sz="4" w:space="0" w:color="auto"/>
              <w:right w:val="nil"/>
            </w:tcBorders>
            <w:shd w:val="clear" w:color="000000" w:fill="FFFFFF"/>
            <w:noWrap/>
            <w:vAlign w:val="bottom"/>
            <w:hideMark/>
          </w:tcPr>
          <w:p w14:paraId="4E9ABCF9" w14:textId="77777777" w:rsidR="00765F47" w:rsidRPr="00086601" w:rsidRDefault="00765F47" w:rsidP="00765F47">
            <w:pPr>
              <w:spacing w:after="0" w:line="240" w:lineRule="auto"/>
              <w:jc w:val="right"/>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58.57</w:t>
            </w:r>
          </w:p>
        </w:tc>
        <w:tc>
          <w:tcPr>
            <w:tcW w:w="797" w:type="dxa"/>
            <w:tcBorders>
              <w:top w:val="single" w:sz="4" w:space="0" w:color="auto"/>
              <w:left w:val="nil"/>
              <w:bottom w:val="single" w:sz="4" w:space="0" w:color="auto"/>
              <w:right w:val="nil"/>
            </w:tcBorders>
            <w:shd w:val="clear" w:color="000000" w:fill="FFFFFF"/>
            <w:noWrap/>
            <w:vAlign w:val="bottom"/>
            <w:hideMark/>
          </w:tcPr>
          <w:p w14:paraId="21506B0F" w14:textId="77777777" w:rsidR="00765F47" w:rsidRPr="00086601" w:rsidRDefault="00765F47" w:rsidP="00765F47">
            <w:pPr>
              <w:spacing w:after="0" w:line="240" w:lineRule="auto"/>
              <w:jc w:val="right"/>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43.27</w:t>
            </w:r>
          </w:p>
        </w:tc>
        <w:tc>
          <w:tcPr>
            <w:tcW w:w="1021" w:type="dxa"/>
            <w:tcBorders>
              <w:top w:val="single" w:sz="4" w:space="0" w:color="auto"/>
              <w:left w:val="nil"/>
              <w:bottom w:val="single" w:sz="4" w:space="0" w:color="auto"/>
              <w:right w:val="nil"/>
            </w:tcBorders>
            <w:shd w:val="clear" w:color="000000" w:fill="FFFFFF"/>
            <w:noWrap/>
            <w:vAlign w:val="bottom"/>
            <w:hideMark/>
          </w:tcPr>
          <w:p w14:paraId="2527E6AF" w14:textId="77777777" w:rsidR="00765F47" w:rsidRPr="00086601" w:rsidRDefault="00765F47" w:rsidP="00765F47">
            <w:pPr>
              <w:spacing w:after="0" w:line="240" w:lineRule="auto"/>
              <w:jc w:val="right"/>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0.03</w:t>
            </w:r>
          </w:p>
        </w:tc>
        <w:tc>
          <w:tcPr>
            <w:tcW w:w="1227" w:type="dxa"/>
            <w:tcBorders>
              <w:top w:val="single" w:sz="4" w:space="0" w:color="auto"/>
              <w:left w:val="nil"/>
              <w:bottom w:val="single" w:sz="4" w:space="0" w:color="auto"/>
              <w:right w:val="nil"/>
            </w:tcBorders>
            <w:shd w:val="clear" w:color="000000" w:fill="FFFFFF"/>
            <w:noWrap/>
            <w:vAlign w:val="bottom"/>
            <w:hideMark/>
          </w:tcPr>
          <w:p w14:paraId="06C97EF3" w14:textId="77777777" w:rsidR="00765F47" w:rsidRPr="00086601" w:rsidRDefault="00765F47" w:rsidP="00765F47">
            <w:pPr>
              <w:spacing w:after="0" w:line="240" w:lineRule="auto"/>
              <w:jc w:val="right"/>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0.13</w:t>
            </w:r>
          </w:p>
        </w:tc>
      </w:tr>
    </w:tbl>
    <w:p w14:paraId="2F226D11" w14:textId="3D6DFDAE" w:rsidR="00765F47" w:rsidRPr="00086601" w:rsidRDefault="00765F47" w:rsidP="00765F47">
      <w:pPr>
        <w:spacing w:line="480" w:lineRule="auto"/>
        <w:jc w:val="both"/>
        <w:rPr>
          <w:rFonts w:ascii="Garamond" w:eastAsiaTheme="minorEastAsia" w:hAnsi="Garamond"/>
          <w:b/>
          <w:bCs/>
          <w:sz w:val="24"/>
          <w:szCs w:val="24"/>
        </w:rPr>
      </w:pPr>
    </w:p>
    <w:p w14:paraId="3FA9CF4F" w14:textId="6526FBEB" w:rsidR="00FA42BB" w:rsidRPr="00086601" w:rsidRDefault="00FA42BB" w:rsidP="00765F47">
      <w:pPr>
        <w:spacing w:line="480" w:lineRule="auto"/>
        <w:jc w:val="both"/>
        <w:rPr>
          <w:rFonts w:ascii="Garamond" w:eastAsiaTheme="minorEastAsia" w:hAnsi="Garamond"/>
          <w:b/>
          <w:bCs/>
          <w:sz w:val="24"/>
          <w:szCs w:val="24"/>
        </w:rPr>
      </w:pPr>
      <w:r w:rsidRPr="00086601">
        <w:rPr>
          <w:rFonts w:ascii="Garamond" w:eastAsiaTheme="minorEastAsia" w:hAnsi="Garamond"/>
          <w:sz w:val="24"/>
          <w:szCs w:val="24"/>
        </w:rPr>
        <w:lastRenderedPageBreak/>
        <w:t>The following table shows the results from the regression model stated in the hypothesis. The table includes the coefficient and p values for the model when DUVOL or NCSKEW were used as the target value. For each respective target used in the model, the R^2 and number of observations are listed.</w:t>
      </w:r>
    </w:p>
    <w:tbl>
      <w:tblPr>
        <w:tblW w:w="5101" w:type="dxa"/>
        <w:tblLook w:val="04A0" w:firstRow="1" w:lastRow="0" w:firstColumn="1" w:lastColumn="0" w:noHBand="0" w:noVBand="1"/>
      </w:tblPr>
      <w:tblGrid>
        <w:gridCol w:w="1035"/>
        <w:gridCol w:w="882"/>
        <w:gridCol w:w="1151"/>
        <w:gridCol w:w="882"/>
        <w:gridCol w:w="1151"/>
      </w:tblGrid>
      <w:tr w:rsidR="00765F47" w:rsidRPr="00086601" w14:paraId="20F2F083" w14:textId="77777777" w:rsidTr="00765F47">
        <w:trPr>
          <w:trHeight w:val="285"/>
        </w:trPr>
        <w:tc>
          <w:tcPr>
            <w:tcW w:w="5101" w:type="dxa"/>
            <w:gridSpan w:val="5"/>
            <w:tcBorders>
              <w:top w:val="nil"/>
              <w:left w:val="nil"/>
              <w:bottom w:val="single" w:sz="4" w:space="0" w:color="auto"/>
              <w:right w:val="nil"/>
            </w:tcBorders>
            <w:shd w:val="clear" w:color="000000" w:fill="FFFFFF"/>
            <w:noWrap/>
            <w:vAlign w:val="bottom"/>
            <w:hideMark/>
          </w:tcPr>
          <w:p w14:paraId="2BEC3D28" w14:textId="77777777" w:rsidR="00765F47" w:rsidRPr="00086601" w:rsidRDefault="00765F47" w:rsidP="00765F47">
            <w:pPr>
              <w:spacing w:after="0" w:line="240" w:lineRule="auto"/>
              <w:jc w:val="center"/>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Hypothesis 5</w:t>
            </w:r>
          </w:p>
        </w:tc>
      </w:tr>
      <w:tr w:rsidR="00765F47" w:rsidRPr="00086601" w14:paraId="0338FCD6" w14:textId="77777777" w:rsidTr="00765F47">
        <w:trPr>
          <w:trHeight w:val="285"/>
        </w:trPr>
        <w:tc>
          <w:tcPr>
            <w:tcW w:w="1035" w:type="dxa"/>
            <w:tcBorders>
              <w:top w:val="nil"/>
              <w:left w:val="nil"/>
              <w:bottom w:val="nil"/>
              <w:right w:val="nil"/>
            </w:tcBorders>
            <w:shd w:val="clear" w:color="000000" w:fill="FFFFFF"/>
            <w:noWrap/>
            <w:vAlign w:val="bottom"/>
            <w:hideMark/>
          </w:tcPr>
          <w:p w14:paraId="2301A849"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 </w:t>
            </w:r>
          </w:p>
        </w:tc>
        <w:tc>
          <w:tcPr>
            <w:tcW w:w="4066" w:type="dxa"/>
            <w:gridSpan w:val="4"/>
            <w:tcBorders>
              <w:top w:val="nil"/>
              <w:left w:val="nil"/>
              <w:bottom w:val="single" w:sz="4" w:space="0" w:color="auto"/>
              <w:right w:val="nil"/>
            </w:tcBorders>
            <w:shd w:val="clear" w:color="000000" w:fill="FFFFFF"/>
            <w:noWrap/>
            <w:vAlign w:val="bottom"/>
            <w:hideMark/>
          </w:tcPr>
          <w:p w14:paraId="11A1B211"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Crash Risk Measure</w:t>
            </w:r>
          </w:p>
        </w:tc>
      </w:tr>
      <w:tr w:rsidR="00765F47" w:rsidRPr="00086601" w14:paraId="7C7717CB" w14:textId="77777777" w:rsidTr="00765F47">
        <w:trPr>
          <w:trHeight w:val="285"/>
        </w:trPr>
        <w:tc>
          <w:tcPr>
            <w:tcW w:w="1035" w:type="dxa"/>
            <w:tcBorders>
              <w:top w:val="nil"/>
              <w:left w:val="nil"/>
              <w:bottom w:val="nil"/>
              <w:right w:val="nil"/>
            </w:tcBorders>
            <w:shd w:val="clear" w:color="000000" w:fill="FFFFFF"/>
            <w:noWrap/>
            <w:vAlign w:val="bottom"/>
            <w:hideMark/>
          </w:tcPr>
          <w:p w14:paraId="3C485C3C"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 </w:t>
            </w:r>
          </w:p>
        </w:tc>
        <w:tc>
          <w:tcPr>
            <w:tcW w:w="2033" w:type="dxa"/>
            <w:gridSpan w:val="2"/>
            <w:tcBorders>
              <w:top w:val="nil"/>
              <w:left w:val="nil"/>
              <w:bottom w:val="nil"/>
              <w:right w:val="nil"/>
            </w:tcBorders>
            <w:shd w:val="clear" w:color="000000" w:fill="FFFFFF"/>
            <w:noWrap/>
            <w:vAlign w:val="bottom"/>
            <w:hideMark/>
          </w:tcPr>
          <w:p w14:paraId="3F073002"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DUVOL</w:t>
            </w:r>
          </w:p>
        </w:tc>
        <w:tc>
          <w:tcPr>
            <w:tcW w:w="2033" w:type="dxa"/>
            <w:gridSpan w:val="2"/>
            <w:tcBorders>
              <w:top w:val="nil"/>
              <w:left w:val="nil"/>
              <w:bottom w:val="nil"/>
              <w:right w:val="nil"/>
            </w:tcBorders>
            <w:shd w:val="clear" w:color="000000" w:fill="FFFFFF"/>
            <w:noWrap/>
            <w:vAlign w:val="bottom"/>
            <w:hideMark/>
          </w:tcPr>
          <w:p w14:paraId="11C98EC7"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NCSKEW</w:t>
            </w:r>
          </w:p>
        </w:tc>
      </w:tr>
      <w:tr w:rsidR="00765F47" w:rsidRPr="00086601" w14:paraId="11FF2DDF" w14:textId="77777777" w:rsidTr="00765F47">
        <w:trPr>
          <w:trHeight w:val="285"/>
        </w:trPr>
        <w:tc>
          <w:tcPr>
            <w:tcW w:w="1035" w:type="dxa"/>
            <w:tcBorders>
              <w:top w:val="single" w:sz="4" w:space="0" w:color="auto"/>
              <w:left w:val="nil"/>
              <w:bottom w:val="single" w:sz="4" w:space="0" w:color="auto"/>
              <w:right w:val="nil"/>
            </w:tcBorders>
            <w:shd w:val="clear" w:color="000000" w:fill="FFFFFF"/>
            <w:noWrap/>
            <w:vAlign w:val="bottom"/>
            <w:hideMark/>
          </w:tcPr>
          <w:p w14:paraId="7FD8CD17" w14:textId="77777777" w:rsidR="00765F47" w:rsidRPr="00086601" w:rsidRDefault="00765F47" w:rsidP="00765F47">
            <w:pPr>
              <w:spacing w:after="0" w:line="240" w:lineRule="auto"/>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Model</w:t>
            </w:r>
          </w:p>
        </w:tc>
        <w:tc>
          <w:tcPr>
            <w:tcW w:w="882" w:type="dxa"/>
            <w:tcBorders>
              <w:top w:val="single" w:sz="4" w:space="0" w:color="auto"/>
              <w:left w:val="nil"/>
              <w:bottom w:val="single" w:sz="4" w:space="0" w:color="auto"/>
              <w:right w:val="nil"/>
            </w:tcBorders>
            <w:shd w:val="clear" w:color="000000" w:fill="FFFFFF"/>
            <w:noWrap/>
            <w:vAlign w:val="bottom"/>
            <w:hideMark/>
          </w:tcPr>
          <w:p w14:paraId="3B40DF6C"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proofErr w:type="spellStart"/>
            <w:r w:rsidRPr="00086601">
              <w:rPr>
                <w:rFonts w:ascii="Garamond" w:eastAsia="Times New Roman" w:hAnsi="Garamond" w:cs="Calibri"/>
                <w:b/>
                <w:bCs/>
                <w:color w:val="000000"/>
                <w:sz w:val="24"/>
                <w:szCs w:val="24"/>
              </w:rPr>
              <w:t>Coef</w:t>
            </w:r>
            <w:proofErr w:type="spellEnd"/>
          </w:p>
        </w:tc>
        <w:tc>
          <w:tcPr>
            <w:tcW w:w="1151" w:type="dxa"/>
            <w:tcBorders>
              <w:top w:val="single" w:sz="4" w:space="0" w:color="auto"/>
              <w:left w:val="nil"/>
              <w:bottom w:val="single" w:sz="4" w:space="0" w:color="auto"/>
              <w:right w:val="nil"/>
            </w:tcBorders>
            <w:shd w:val="clear" w:color="000000" w:fill="FFFFFF"/>
            <w:noWrap/>
            <w:vAlign w:val="bottom"/>
            <w:hideMark/>
          </w:tcPr>
          <w:p w14:paraId="42C7F3A6"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p value</w:t>
            </w:r>
          </w:p>
        </w:tc>
        <w:tc>
          <w:tcPr>
            <w:tcW w:w="882" w:type="dxa"/>
            <w:tcBorders>
              <w:top w:val="single" w:sz="4" w:space="0" w:color="auto"/>
              <w:left w:val="nil"/>
              <w:bottom w:val="single" w:sz="4" w:space="0" w:color="auto"/>
              <w:right w:val="nil"/>
            </w:tcBorders>
            <w:shd w:val="clear" w:color="000000" w:fill="FFFFFF"/>
            <w:noWrap/>
            <w:vAlign w:val="bottom"/>
            <w:hideMark/>
          </w:tcPr>
          <w:p w14:paraId="0BDAF0BD"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proofErr w:type="spellStart"/>
            <w:r w:rsidRPr="00086601">
              <w:rPr>
                <w:rFonts w:ascii="Garamond" w:eastAsia="Times New Roman" w:hAnsi="Garamond" w:cs="Calibri"/>
                <w:b/>
                <w:bCs/>
                <w:color w:val="000000"/>
                <w:sz w:val="24"/>
                <w:szCs w:val="24"/>
              </w:rPr>
              <w:t>Coef</w:t>
            </w:r>
            <w:proofErr w:type="spellEnd"/>
          </w:p>
        </w:tc>
        <w:tc>
          <w:tcPr>
            <w:tcW w:w="1151" w:type="dxa"/>
            <w:tcBorders>
              <w:top w:val="single" w:sz="4" w:space="0" w:color="auto"/>
              <w:left w:val="nil"/>
              <w:bottom w:val="single" w:sz="4" w:space="0" w:color="auto"/>
              <w:right w:val="nil"/>
            </w:tcBorders>
            <w:shd w:val="clear" w:color="000000" w:fill="FFFFFF"/>
            <w:noWrap/>
            <w:vAlign w:val="bottom"/>
            <w:hideMark/>
          </w:tcPr>
          <w:p w14:paraId="6952366F"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p value</w:t>
            </w:r>
          </w:p>
        </w:tc>
      </w:tr>
      <w:tr w:rsidR="00765F47" w:rsidRPr="00086601" w14:paraId="236888DD" w14:textId="77777777" w:rsidTr="00765F47">
        <w:trPr>
          <w:trHeight w:val="285"/>
        </w:trPr>
        <w:tc>
          <w:tcPr>
            <w:tcW w:w="1035" w:type="dxa"/>
            <w:tcBorders>
              <w:top w:val="nil"/>
              <w:left w:val="nil"/>
              <w:bottom w:val="nil"/>
              <w:right w:val="nil"/>
            </w:tcBorders>
            <w:shd w:val="clear" w:color="000000" w:fill="FFFFFF"/>
            <w:noWrap/>
            <w:vAlign w:val="bottom"/>
            <w:hideMark/>
          </w:tcPr>
          <w:p w14:paraId="058F8CEC" w14:textId="1AB272FA" w:rsidR="00765F47" w:rsidRPr="00086601" w:rsidRDefault="00FA42BB"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C</w:t>
            </w:r>
            <w:r w:rsidR="00765F47" w:rsidRPr="00086601">
              <w:rPr>
                <w:rFonts w:ascii="Garamond" w:eastAsia="Times New Roman" w:hAnsi="Garamond" w:cs="Calibri"/>
                <w:color w:val="000000"/>
                <w:sz w:val="24"/>
                <w:szCs w:val="24"/>
              </w:rPr>
              <w:t>onst</w:t>
            </w:r>
          </w:p>
        </w:tc>
        <w:tc>
          <w:tcPr>
            <w:tcW w:w="882" w:type="dxa"/>
            <w:tcBorders>
              <w:top w:val="nil"/>
              <w:left w:val="nil"/>
              <w:bottom w:val="nil"/>
              <w:right w:val="nil"/>
            </w:tcBorders>
            <w:shd w:val="clear" w:color="000000" w:fill="FFFFFF"/>
            <w:noWrap/>
            <w:vAlign w:val="bottom"/>
            <w:hideMark/>
          </w:tcPr>
          <w:p w14:paraId="6F1DE31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0.016</w:t>
            </w:r>
          </w:p>
        </w:tc>
        <w:tc>
          <w:tcPr>
            <w:tcW w:w="1151" w:type="dxa"/>
            <w:tcBorders>
              <w:top w:val="nil"/>
              <w:left w:val="nil"/>
              <w:bottom w:val="nil"/>
              <w:right w:val="nil"/>
            </w:tcBorders>
            <w:shd w:val="clear" w:color="000000" w:fill="FFFFFF"/>
            <w:noWrap/>
            <w:vAlign w:val="bottom"/>
            <w:hideMark/>
          </w:tcPr>
          <w:p w14:paraId="689DF3B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0.606</w:t>
            </w:r>
          </w:p>
        </w:tc>
        <w:tc>
          <w:tcPr>
            <w:tcW w:w="882" w:type="dxa"/>
            <w:tcBorders>
              <w:top w:val="nil"/>
              <w:left w:val="nil"/>
              <w:bottom w:val="nil"/>
              <w:right w:val="nil"/>
            </w:tcBorders>
            <w:shd w:val="clear" w:color="000000" w:fill="FFFFFF"/>
            <w:noWrap/>
            <w:vAlign w:val="bottom"/>
            <w:hideMark/>
          </w:tcPr>
          <w:p w14:paraId="0E9CD31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0.087</w:t>
            </w:r>
          </w:p>
        </w:tc>
        <w:tc>
          <w:tcPr>
            <w:tcW w:w="1151" w:type="dxa"/>
            <w:tcBorders>
              <w:top w:val="nil"/>
              <w:left w:val="nil"/>
              <w:bottom w:val="nil"/>
              <w:right w:val="nil"/>
            </w:tcBorders>
            <w:shd w:val="clear" w:color="000000" w:fill="FFFFFF"/>
            <w:noWrap/>
            <w:vAlign w:val="bottom"/>
            <w:hideMark/>
          </w:tcPr>
          <w:p w14:paraId="315BA22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0.453</w:t>
            </w:r>
          </w:p>
        </w:tc>
      </w:tr>
      <w:tr w:rsidR="00765F47" w:rsidRPr="00086601" w14:paraId="39B91E28" w14:textId="77777777" w:rsidTr="00765F47">
        <w:trPr>
          <w:trHeight w:val="285"/>
        </w:trPr>
        <w:tc>
          <w:tcPr>
            <w:tcW w:w="1035" w:type="dxa"/>
            <w:tcBorders>
              <w:top w:val="nil"/>
              <w:left w:val="nil"/>
              <w:bottom w:val="nil"/>
              <w:right w:val="nil"/>
            </w:tcBorders>
            <w:shd w:val="clear" w:color="000000" w:fill="FFFFFF"/>
            <w:noWrap/>
            <w:vAlign w:val="bottom"/>
            <w:hideMark/>
          </w:tcPr>
          <w:p w14:paraId="7C573FD4"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UAI</w:t>
            </w:r>
          </w:p>
        </w:tc>
        <w:tc>
          <w:tcPr>
            <w:tcW w:w="882" w:type="dxa"/>
            <w:tcBorders>
              <w:top w:val="nil"/>
              <w:left w:val="nil"/>
              <w:bottom w:val="nil"/>
              <w:right w:val="nil"/>
            </w:tcBorders>
            <w:shd w:val="clear" w:color="000000" w:fill="FFFFFF"/>
            <w:noWrap/>
            <w:vAlign w:val="bottom"/>
            <w:hideMark/>
          </w:tcPr>
          <w:p w14:paraId="3A38950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0.000</w:t>
            </w:r>
          </w:p>
        </w:tc>
        <w:tc>
          <w:tcPr>
            <w:tcW w:w="1151" w:type="dxa"/>
            <w:tcBorders>
              <w:top w:val="nil"/>
              <w:left w:val="nil"/>
              <w:bottom w:val="nil"/>
              <w:right w:val="nil"/>
            </w:tcBorders>
            <w:shd w:val="clear" w:color="000000" w:fill="FFFFFF"/>
            <w:noWrap/>
            <w:vAlign w:val="bottom"/>
            <w:hideMark/>
          </w:tcPr>
          <w:p w14:paraId="27BA5F3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0.826</w:t>
            </w:r>
          </w:p>
        </w:tc>
        <w:tc>
          <w:tcPr>
            <w:tcW w:w="882" w:type="dxa"/>
            <w:tcBorders>
              <w:top w:val="nil"/>
              <w:left w:val="nil"/>
              <w:bottom w:val="nil"/>
              <w:right w:val="nil"/>
            </w:tcBorders>
            <w:shd w:val="clear" w:color="000000" w:fill="FFFFFF"/>
            <w:noWrap/>
            <w:vAlign w:val="bottom"/>
            <w:hideMark/>
          </w:tcPr>
          <w:p w14:paraId="33E2F4B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0.001</w:t>
            </w:r>
          </w:p>
        </w:tc>
        <w:tc>
          <w:tcPr>
            <w:tcW w:w="1151" w:type="dxa"/>
            <w:tcBorders>
              <w:top w:val="nil"/>
              <w:left w:val="nil"/>
              <w:bottom w:val="nil"/>
              <w:right w:val="nil"/>
            </w:tcBorders>
            <w:shd w:val="clear" w:color="000000" w:fill="FFFFFF"/>
            <w:noWrap/>
            <w:vAlign w:val="bottom"/>
            <w:hideMark/>
          </w:tcPr>
          <w:p w14:paraId="24D27AA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0.457</w:t>
            </w:r>
          </w:p>
        </w:tc>
      </w:tr>
      <w:tr w:rsidR="00765F47" w:rsidRPr="00086601" w14:paraId="5F503CB5" w14:textId="77777777" w:rsidTr="00765F47">
        <w:trPr>
          <w:trHeight w:val="285"/>
        </w:trPr>
        <w:tc>
          <w:tcPr>
            <w:tcW w:w="1035" w:type="dxa"/>
            <w:tcBorders>
              <w:top w:val="nil"/>
              <w:left w:val="nil"/>
              <w:bottom w:val="nil"/>
              <w:right w:val="nil"/>
            </w:tcBorders>
            <w:shd w:val="clear" w:color="000000" w:fill="FFFFFF"/>
            <w:noWrap/>
            <w:vAlign w:val="bottom"/>
            <w:hideMark/>
          </w:tcPr>
          <w:p w14:paraId="0DC6C02C"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LTO</w:t>
            </w:r>
          </w:p>
        </w:tc>
        <w:tc>
          <w:tcPr>
            <w:tcW w:w="882" w:type="dxa"/>
            <w:tcBorders>
              <w:top w:val="nil"/>
              <w:left w:val="nil"/>
              <w:bottom w:val="nil"/>
              <w:right w:val="nil"/>
            </w:tcBorders>
            <w:shd w:val="clear" w:color="000000" w:fill="FFFFFF"/>
            <w:noWrap/>
            <w:vAlign w:val="bottom"/>
            <w:hideMark/>
          </w:tcPr>
          <w:p w14:paraId="1CC7111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0.000</w:t>
            </w:r>
          </w:p>
        </w:tc>
        <w:tc>
          <w:tcPr>
            <w:tcW w:w="1151" w:type="dxa"/>
            <w:tcBorders>
              <w:top w:val="nil"/>
              <w:left w:val="nil"/>
              <w:bottom w:val="nil"/>
              <w:right w:val="nil"/>
            </w:tcBorders>
            <w:shd w:val="clear" w:color="000000" w:fill="FFFFFF"/>
            <w:noWrap/>
            <w:vAlign w:val="bottom"/>
            <w:hideMark/>
          </w:tcPr>
          <w:p w14:paraId="1BE715D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0.647</w:t>
            </w:r>
          </w:p>
        </w:tc>
        <w:tc>
          <w:tcPr>
            <w:tcW w:w="882" w:type="dxa"/>
            <w:tcBorders>
              <w:top w:val="nil"/>
              <w:left w:val="nil"/>
              <w:bottom w:val="nil"/>
              <w:right w:val="nil"/>
            </w:tcBorders>
            <w:shd w:val="clear" w:color="000000" w:fill="FFFFFF"/>
            <w:noWrap/>
            <w:vAlign w:val="bottom"/>
            <w:hideMark/>
          </w:tcPr>
          <w:p w14:paraId="0B3DB05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0.000</w:t>
            </w:r>
          </w:p>
        </w:tc>
        <w:tc>
          <w:tcPr>
            <w:tcW w:w="1151" w:type="dxa"/>
            <w:tcBorders>
              <w:top w:val="nil"/>
              <w:left w:val="nil"/>
              <w:bottom w:val="nil"/>
              <w:right w:val="nil"/>
            </w:tcBorders>
            <w:shd w:val="clear" w:color="000000" w:fill="FFFFFF"/>
            <w:noWrap/>
            <w:vAlign w:val="bottom"/>
            <w:hideMark/>
          </w:tcPr>
          <w:p w14:paraId="58A2241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0.794</w:t>
            </w:r>
          </w:p>
        </w:tc>
      </w:tr>
      <w:tr w:rsidR="00765F47" w:rsidRPr="00086601" w14:paraId="3E4313B2" w14:textId="77777777" w:rsidTr="00765F47">
        <w:trPr>
          <w:trHeight w:val="285"/>
        </w:trPr>
        <w:tc>
          <w:tcPr>
            <w:tcW w:w="1035" w:type="dxa"/>
            <w:tcBorders>
              <w:top w:val="nil"/>
              <w:left w:val="nil"/>
              <w:bottom w:val="nil"/>
              <w:right w:val="nil"/>
            </w:tcBorders>
            <w:shd w:val="clear" w:color="000000" w:fill="FFFFFF"/>
            <w:noWrap/>
            <w:vAlign w:val="bottom"/>
            <w:hideMark/>
          </w:tcPr>
          <w:p w14:paraId="2435D33B" w14:textId="77777777" w:rsidR="00765F47" w:rsidRPr="00086601" w:rsidRDefault="00765F47" w:rsidP="00765F47">
            <w:pPr>
              <w:spacing w:after="0" w:line="240" w:lineRule="auto"/>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R^2</w:t>
            </w:r>
          </w:p>
        </w:tc>
        <w:tc>
          <w:tcPr>
            <w:tcW w:w="882" w:type="dxa"/>
            <w:tcBorders>
              <w:top w:val="nil"/>
              <w:left w:val="nil"/>
              <w:bottom w:val="nil"/>
              <w:right w:val="nil"/>
            </w:tcBorders>
            <w:shd w:val="clear" w:color="000000" w:fill="FFFFFF"/>
            <w:noWrap/>
            <w:vAlign w:val="bottom"/>
            <w:hideMark/>
          </w:tcPr>
          <w:p w14:paraId="3FF5525B" w14:textId="77777777" w:rsidR="00765F47" w:rsidRPr="00086601" w:rsidRDefault="00765F47" w:rsidP="00765F47">
            <w:pPr>
              <w:spacing w:after="0" w:line="240" w:lineRule="auto"/>
              <w:jc w:val="right"/>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0</w:t>
            </w:r>
          </w:p>
        </w:tc>
        <w:tc>
          <w:tcPr>
            <w:tcW w:w="1151" w:type="dxa"/>
            <w:tcBorders>
              <w:top w:val="nil"/>
              <w:left w:val="nil"/>
              <w:bottom w:val="nil"/>
              <w:right w:val="nil"/>
            </w:tcBorders>
            <w:shd w:val="clear" w:color="000000" w:fill="FFFFFF"/>
            <w:noWrap/>
            <w:vAlign w:val="bottom"/>
            <w:hideMark/>
          </w:tcPr>
          <w:p w14:paraId="41653152" w14:textId="77777777" w:rsidR="00765F47" w:rsidRPr="00086601" w:rsidRDefault="00765F47" w:rsidP="00765F47">
            <w:pPr>
              <w:spacing w:after="0" w:line="240" w:lineRule="auto"/>
              <w:jc w:val="right"/>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 </w:t>
            </w:r>
          </w:p>
        </w:tc>
        <w:tc>
          <w:tcPr>
            <w:tcW w:w="882" w:type="dxa"/>
            <w:tcBorders>
              <w:top w:val="nil"/>
              <w:left w:val="nil"/>
              <w:bottom w:val="nil"/>
              <w:right w:val="nil"/>
            </w:tcBorders>
            <w:shd w:val="clear" w:color="000000" w:fill="FFFFFF"/>
            <w:noWrap/>
            <w:vAlign w:val="bottom"/>
            <w:hideMark/>
          </w:tcPr>
          <w:p w14:paraId="6221DC78" w14:textId="77777777" w:rsidR="00765F47" w:rsidRPr="00086601" w:rsidRDefault="00765F47" w:rsidP="00765F47">
            <w:pPr>
              <w:spacing w:after="0" w:line="240" w:lineRule="auto"/>
              <w:jc w:val="right"/>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0.001</w:t>
            </w:r>
          </w:p>
        </w:tc>
        <w:tc>
          <w:tcPr>
            <w:tcW w:w="1151" w:type="dxa"/>
            <w:tcBorders>
              <w:top w:val="nil"/>
              <w:left w:val="nil"/>
              <w:bottom w:val="nil"/>
              <w:right w:val="nil"/>
            </w:tcBorders>
            <w:shd w:val="clear" w:color="000000" w:fill="FFFFFF"/>
            <w:noWrap/>
            <w:vAlign w:val="bottom"/>
            <w:hideMark/>
          </w:tcPr>
          <w:p w14:paraId="4813E4F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 </w:t>
            </w:r>
          </w:p>
        </w:tc>
      </w:tr>
      <w:tr w:rsidR="00765F47" w:rsidRPr="00086601" w14:paraId="440FC3D3" w14:textId="77777777" w:rsidTr="00765F47">
        <w:trPr>
          <w:trHeight w:val="285"/>
        </w:trPr>
        <w:tc>
          <w:tcPr>
            <w:tcW w:w="1035" w:type="dxa"/>
            <w:tcBorders>
              <w:top w:val="nil"/>
              <w:left w:val="nil"/>
              <w:bottom w:val="single" w:sz="4" w:space="0" w:color="auto"/>
              <w:right w:val="nil"/>
            </w:tcBorders>
            <w:shd w:val="clear" w:color="000000" w:fill="FFFFFF"/>
            <w:noWrap/>
            <w:vAlign w:val="bottom"/>
            <w:hideMark/>
          </w:tcPr>
          <w:p w14:paraId="2E577034" w14:textId="77777777" w:rsidR="00765F47" w:rsidRPr="00086601" w:rsidRDefault="00765F47" w:rsidP="00765F47">
            <w:pPr>
              <w:spacing w:after="0" w:line="240" w:lineRule="auto"/>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n</w:t>
            </w:r>
          </w:p>
        </w:tc>
        <w:tc>
          <w:tcPr>
            <w:tcW w:w="882" w:type="dxa"/>
            <w:tcBorders>
              <w:top w:val="nil"/>
              <w:left w:val="nil"/>
              <w:bottom w:val="single" w:sz="4" w:space="0" w:color="auto"/>
              <w:right w:val="nil"/>
            </w:tcBorders>
            <w:shd w:val="clear" w:color="000000" w:fill="FFFFFF"/>
            <w:noWrap/>
            <w:vAlign w:val="bottom"/>
            <w:hideMark/>
          </w:tcPr>
          <w:p w14:paraId="6B783AE1" w14:textId="77777777" w:rsidR="00765F47" w:rsidRPr="00086601" w:rsidRDefault="00765F47" w:rsidP="00765F47">
            <w:pPr>
              <w:spacing w:after="0" w:line="240" w:lineRule="auto"/>
              <w:jc w:val="right"/>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676</w:t>
            </w:r>
          </w:p>
        </w:tc>
        <w:tc>
          <w:tcPr>
            <w:tcW w:w="1151" w:type="dxa"/>
            <w:tcBorders>
              <w:top w:val="nil"/>
              <w:left w:val="nil"/>
              <w:bottom w:val="single" w:sz="4" w:space="0" w:color="auto"/>
              <w:right w:val="nil"/>
            </w:tcBorders>
            <w:shd w:val="clear" w:color="000000" w:fill="FFFFFF"/>
            <w:noWrap/>
            <w:vAlign w:val="bottom"/>
            <w:hideMark/>
          </w:tcPr>
          <w:p w14:paraId="7E77A838" w14:textId="77777777" w:rsidR="00765F47" w:rsidRPr="00086601" w:rsidRDefault="00765F47" w:rsidP="00765F47">
            <w:pPr>
              <w:spacing w:after="0" w:line="240" w:lineRule="auto"/>
              <w:jc w:val="right"/>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 </w:t>
            </w:r>
          </w:p>
        </w:tc>
        <w:tc>
          <w:tcPr>
            <w:tcW w:w="882" w:type="dxa"/>
            <w:tcBorders>
              <w:top w:val="nil"/>
              <w:left w:val="nil"/>
              <w:bottom w:val="single" w:sz="4" w:space="0" w:color="auto"/>
              <w:right w:val="nil"/>
            </w:tcBorders>
            <w:shd w:val="clear" w:color="000000" w:fill="FFFFFF"/>
            <w:noWrap/>
            <w:vAlign w:val="bottom"/>
            <w:hideMark/>
          </w:tcPr>
          <w:p w14:paraId="4F7D6E7E" w14:textId="77777777" w:rsidR="00765F47" w:rsidRPr="00086601" w:rsidRDefault="00765F47" w:rsidP="00765F47">
            <w:pPr>
              <w:spacing w:after="0" w:line="240" w:lineRule="auto"/>
              <w:jc w:val="right"/>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676</w:t>
            </w:r>
          </w:p>
        </w:tc>
        <w:tc>
          <w:tcPr>
            <w:tcW w:w="1151" w:type="dxa"/>
            <w:tcBorders>
              <w:top w:val="nil"/>
              <w:left w:val="nil"/>
              <w:bottom w:val="single" w:sz="4" w:space="0" w:color="auto"/>
              <w:right w:val="nil"/>
            </w:tcBorders>
            <w:shd w:val="clear" w:color="000000" w:fill="FFFFFF"/>
            <w:noWrap/>
            <w:vAlign w:val="bottom"/>
            <w:hideMark/>
          </w:tcPr>
          <w:p w14:paraId="1A04C53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 </w:t>
            </w:r>
          </w:p>
        </w:tc>
      </w:tr>
    </w:tbl>
    <w:p w14:paraId="148228D8" w14:textId="301541D1" w:rsidR="00765F47" w:rsidRPr="00086601" w:rsidRDefault="00765F47" w:rsidP="00765F47">
      <w:pPr>
        <w:spacing w:line="480" w:lineRule="auto"/>
        <w:jc w:val="both"/>
        <w:rPr>
          <w:rFonts w:ascii="Garamond" w:eastAsiaTheme="minorEastAsia" w:hAnsi="Garamond"/>
          <w:b/>
          <w:bCs/>
          <w:sz w:val="24"/>
          <w:szCs w:val="24"/>
        </w:rPr>
      </w:pPr>
    </w:p>
    <w:p w14:paraId="79B7D3B3" w14:textId="7ACABA42" w:rsidR="00FA42BB" w:rsidRPr="00086601" w:rsidRDefault="00FA42BB" w:rsidP="00FA42BB">
      <w:pPr>
        <w:spacing w:line="480" w:lineRule="auto"/>
        <w:jc w:val="both"/>
        <w:rPr>
          <w:rFonts w:ascii="Garamond" w:eastAsiaTheme="minorEastAsia" w:hAnsi="Garamond"/>
          <w:sz w:val="24"/>
          <w:szCs w:val="24"/>
        </w:rPr>
      </w:pPr>
      <w:r w:rsidRPr="00086601">
        <w:rPr>
          <w:rFonts w:ascii="Garamond" w:eastAsiaTheme="minorEastAsia" w:hAnsi="Garamond"/>
          <w:sz w:val="24"/>
          <w:szCs w:val="24"/>
        </w:rPr>
        <w:t>The table above indicates insignificance across either model for all independent variables used at a 95% confidence level. In conclusion, the tendency to avoid uncertainty and long-term orientation of a country has no significant relationship with crash risk.</w:t>
      </w:r>
    </w:p>
    <w:p w14:paraId="3A8ACBC3" w14:textId="73E22FD1" w:rsidR="00FA42BB" w:rsidRPr="001F758F" w:rsidRDefault="00FA42BB" w:rsidP="001F758F">
      <w:pPr>
        <w:pStyle w:val="Heading3"/>
        <w:spacing w:after="240"/>
        <w:rPr>
          <w:rFonts w:ascii="Garamond" w:eastAsiaTheme="minorEastAsia" w:hAnsi="Garamond"/>
          <w:b/>
          <w:bCs/>
        </w:rPr>
      </w:pPr>
      <w:r w:rsidRPr="001F758F">
        <w:rPr>
          <w:rFonts w:ascii="Garamond" w:eastAsiaTheme="minorEastAsia" w:hAnsi="Garamond"/>
          <w:b/>
          <w:bCs/>
          <w:color w:val="000000" w:themeColor="text1"/>
        </w:rPr>
        <w:t>Hypothesis 6: The effects of a country’s desire for indulgence and crash risk</w:t>
      </w:r>
    </w:p>
    <w:p w14:paraId="1AD9153F" w14:textId="55C69A22" w:rsidR="00FA42BB" w:rsidRDefault="00FA42BB" w:rsidP="00FA42BB">
      <w:pPr>
        <w:spacing w:line="480" w:lineRule="auto"/>
        <w:rPr>
          <w:rFonts w:ascii="Garamond" w:hAnsi="Garamond"/>
          <w:sz w:val="24"/>
          <w:szCs w:val="24"/>
        </w:rPr>
      </w:pPr>
      <w:r w:rsidRPr="00086601">
        <w:rPr>
          <w:rFonts w:ascii="Garamond" w:hAnsi="Garamond"/>
          <w:sz w:val="24"/>
          <w:szCs w:val="24"/>
        </w:rPr>
        <w:t>The hypothesis was analyzed at the aggregate level of every country’s crash risk and desire for indulgence for years available in the period 2000 to 2019. The table below shows the sample of data distributed over the time period. The table also shows the number of observations in each year, the weight that the observations of each year have over the entire period, and average annual values for IVR, DUVOL, and NCSKEW.</w:t>
      </w:r>
    </w:p>
    <w:p w14:paraId="3F13DE59" w14:textId="7845C78F" w:rsidR="00342DDE" w:rsidRDefault="00342DDE" w:rsidP="00FA42BB">
      <w:pPr>
        <w:spacing w:line="480" w:lineRule="auto"/>
        <w:rPr>
          <w:rFonts w:ascii="Garamond" w:hAnsi="Garamond"/>
          <w:sz w:val="24"/>
          <w:szCs w:val="24"/>
        </w:rPr>
      </w:pPr>
    </w:p>
    <w:p w14:paraId="2805A0E0" w14:textId="7AF988D0" w:rsidR="00342DDE" w:rsidRDefault="00342DDE" w:rsidP="00FA42BB">
      <w:pPr>
        <w:spacing w:line="480" w:lineRule="auto"/>
        <w:rPr>
          <w:rFonts w:ascii="Garamond" w:hAnsi="Garamond"/>
          <w:sz w:val="24"/>
          <w:szCs w:val="24"/>
        </w:rPr>
      </w:pPr>
    </w:p>
    <w:p w14:paraId="520292CA" w14:textId="77777777" w:rsidR="00342DDE" w:rsidRPr="00086601" w:rsidRDefault="00342DDE" w:rsidP="00FA42BB">
      <w:pPr>
        <w:spacing w:line="480" w:lineRule="auto"/>
        <w:rPr>
          <w:rFonts w:ascii="Garamond" w:hAnsi="Garamond"/>
          <w:sz w:val="24"/>
          <w:szCs w:val="24"/>
        </w:rPr>
      </w:pPr>
    </w:p>
    <w:tbl>
      <w:tblPr>
        <w:tblW w:w="6120" w:type="dxa"/>
        <w:tblLook w:val="04A0" w:firstRow="1" w:lastRow="0" w:firstColumn="1" w:lastColumn="0" w:noHBand="0" w:noVBand="1"/>
      </w:tblPr>
      <w:tblGrid>
        <w:gridCol w:w="759"/>
        <w:gridCol w:w="1412"/>
        <w:gridCol w:w="1055"/>
        <w:gridCol w:w="769"/>
        <w:gridCol w:w="1089"/>
        <w:gridCol w:w="1252"/>
      </w:tblGrid>
      <w:tr w:rsidR="00765F47" w:rsidRPr="00086601" w14:paraId="224454F4" w14:textId="77777777" w:rsidTr="00765F47">
        <w:trPr>
          <w:trHeight w:val="285"/>
        </w:trPr>
        <w:tc>
          <w:tcPr>
            <w:tcW w:w="6120" w:type="dxa"/>
            <w:gridSpan w:val="6"/>
            <w:tcBorders>
              <w:top w:val="nil"/>
              <w:left w:val="nil"/>
              <w:bottom w:val="single" w:sz="4" w:space="0" w:color="auto"/>
              <w:right w:val="nil"/>
            </w:tcBorders>
            <w:shd w:val="clear" w:color="auto" w:fill="auto"/>
            <w:noWrap/>
            <w:vAlign w:val="bottom"/>
            <w:hideMark/>
          </w:tcPr>
          <w:p w14:paraId="42FDEB9A" w14:textId="77777777" w:rsidR="00765F47" w:rsidRPr="00086601" w:rsidRDefault="00765F47" w:rsidP="00765F47">
            <w:pPr>
              <w:spacing w:after="0" w:line="240" w:lineRule="auto"/>
              <w:jc w:val="center"/>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lastRenderedPageBreak/>
              <w:t>Hypothesis 6</w:t>
            </w:r>
          </w:p>
        </w:tc>
      </w:tr>
      <w:tr w:rsidR="00765F47" w:rsidRPr="00086601" w14:paraId="48692183" w14:textId="77777777" w:rsidTr="00765F47">
        <w:trPr>
          <w:trHeight w:val="285"/>
        </w:trPr>
        <w:tc>
          <w:tcPr>
            <w:tcW w:w="716" w:type="dxa"/>
            <w:tcBorders>
              <w:top w:val="nil"/>
              <w:left w:val="nil"/>
              <w:bottom w:val="single" w:sz="4" w:space="0" w:color="auto"/>
              <w:right w:val="nil"/>
            </w:tcBorders>
            <w:shd w:val="clear" w:color="000000" w:fill="FFFFFF"/>
            <w:noWrap/>
            <w:vAlign w:val="bottom"/>
            <w:hideMark/>
          </w:tcPr>
          <w:p w14:paraId="327BDE99" w14:textId="77777777" w:rsidR="00765F47" w:rsidRPr="00086601" w:rsidRDefault="00765F47" w:rsidP="00765F47">
            <w:pPr>
              <w:spacing w:after="0" w:line="240" w:lineRule="auto"/>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Year</w:t>
            </w:r>
          </w:p>
        </w:tc>
        <w:tc>
          <w:tcPr>
            <w:tcW w:w="1412" w:type="dxa"/>
            <w:tcBorders>
              <w:top w:val="nil"/>
              <w:left w:val="nil"/>
              <w:bottom w:val="single" w:sz="4" w:space="0" w:color="auto"/>
              <w:right w:val="nil"/>
            </w:tcBorders>
            <w:shd w:val="clear" w:color="000000" w:fill="FFFFFF"/>
            <w:noWrap/>
            <w:vAlign w:val="bottom"/>
            <w:hideMark/>
          </w:tcPr>
          <w:p w14:paraId="551751C6"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Frequency</w:t>
            </w:r>
          </w:p>
        </w:tc>
        <w:tc>
          <w:tcPr>
            <w:tcW w:w="1055" w:type="dxa"/>
            <w:tcBorders>
              <w:top w:val="nil"/>
              <w:left w:val="nil"/>
              <w:bottom w:val="single" w:sz="4" w:space="0" w:color="auto"/>
              <w:right w:val="nil"/>
            </w:tcBorders>
            <w:shd w:val="clear" w:color="000000" w:fill="FFFFFF"/>
            <w:noWrap/>
            <w:vAlign w:val="bottom"/>
            <w:hideMark/>
          </w:tcPr>
          <w:p w14:paraId="7AA8E9A0"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Percent</w:t>
            </w:r>
          </w:p>
        </w:tc>
        <w:tc>
          <w:tcPr>
            <w:tcW w:w="769" w:type="dxa"/>
            <w:tcBorders>
              <w:top w:val="nil"/>
              <w:left w:val="nil"/>
              <w:bottom w:val="single" w:sz="4" w:space="0" w:color="auto"/>
              <w:right w:val="nil"/>
            </w:tcBorders>
            <w:shd w:val="clear" w:color="000000" w:fill="FFFFFF"/>
            <w:noWrap/>
            <w:vAlign w:val="bottom"/>
            <w:hideMark/>
          </w:tcPr>
          <w:p w14:paraId="3D179104"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IVR</w:t>
            </w:r>
          </w:p>
        </w:tc>
        <w:tc>
          <w:tcPr>
            <w:tcW w:w="985" w:type="dxa"/>
            <w:tcBorders>
              <w:top w:val="nil"/>
              <w:left w:val="nil"/>
              <w:bottom w:val="single" w:sz="4" w:space="0" w:color="auto"/>
              <w:right w:val="nil"/>
            </w:tcBorders>
            <w:shd w:val="clear" w:color="000000" w:fill="FFFFFF"/>
            <w:noWrap/>
            <w:vAlign w:val="bottom"/>
            <w:hideMark/>
          </w:tcPr>
          <w:p w14:paraId="4C2323E3"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DUVOL</w:t>
            </w:r>
          </w:p>
        </w:tc>
        <w:tc>
          <w:tcPr>
            <w:tcW w:w="1183" w:type="dxa"/>
            <w:tcBorders>
              <w:top w:val="nil"/>
              <w:left w:val="nil"/>
              <w:bottom w:val="single" w:sz="4" w:space="0" w:color="auto"/>
              <w:right w:val="nil"/>
            </w:tcBorders>
            <w:shd w:val="clear" w:color="000000" w:fill="FFFFFF"/>
            <w:noWrap/>
            <w:vAlign w:val="bottom"/>
            <w:hideMark/>
          </w:tcPr>
          <w:p w14:paraId="7B24A8B5"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NCSKEW</w:t>
            </w:r>
          </w:p>
        </w:tc>
      </w:tr>
      <w:tr w:rsidR="00765F47" w:rsidRPr="00086601" w14:paraId="3935B846" w14:textId="77777777" w:rsidTr="00765F47">
        <w:trPr>
          <w:trHeight w:val="285"/>
        </w:trPr>
        <w:tc>
          <w:tcPr>
            <w:tcW w:w="716" w:type="dxa"/>
            <w:tcBorders>
              <w:top w:val="nil"/>
              <w:left w:val="nil"/>
              <w:bottom w:val="nil"/>
              <w:right w:val="nil"/>
            </w:tcBorders>
            <w:shd w:val="clear" w:color="000000" w:fill="FFFFFF"/>
            <w:noWrap/>
            <w:vAlign w:val="bottom"/>
            <w:hideMark/>
          </w:tcPr>
          <w:p w14:paraId="04377EE0"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2000</w:t>
            </w:r>
          </w:p>
        </w:tc>
        <w:tc>
          <w:tcPr>
            <w:tcW w:w="1412" w:type="dxa"/>
            <w:tcBorders>
              <w:top w:val="nil"/>
              <w:left w:val="nil"/>
              <w:bottom w:val="nil"/>
              <w:right w:val="nil"/>
            </w:tcBorders>
            <w:shd w:val="clear" w:color="000000" w:fill="FFFFFF"/>
            <w:noWrap/>
            <w:vAlign w:val="bottom"/>
            <w:hideMark/>
          </w:tcPr>
          <w:p w14:paraId="600B1A8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41</w:t>
            </w:r>
          </w:p>
        </w:tc>
        <w:tc>
          <w:tcPr>
            <w:tcW w:w="1055" w:type="dxa"/>
            <w:tcBorders>
              <w:top w:val="nil"/>
              <w:left w:val="nil"/>
              <w:bottom w:val="nil"/>
              <w:right w:val="nil"/>
            </w:tcBorders>
            <w:shd w:val="clear" w:color="000000" w:fill="FFFFFF"/>
            <w:noWrap/>
            <w:vAlign w:val="bottom"/>
            <w:hideMark/>
          </w:tcPr>
          <w:p w14:paraId="2504E3D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4.36</w:t>
            </w:r>
          </w:p>
        </w:tc>
        <w:tc>
          <w:tcPr>
            <w:tcW w:w="769" w:type="dxa"/>
            <w:tcBorders>
              <w:top w:val="nil"/>
              <w:left w:val="nil"/>
              <w:bottom w:val="nil"/>
              <w:right w:val="nil"/>
            </w:tcBorders>
            <w:shd w:val="clear" w:color="000000" w:fill="FFFFFF"/>
            <w:noWrap/>
            <w:vAlign w:val="bottom"/>
            <w:hideMark/>
          </w:tcPr>
          <w:p w14:paraId="47A5773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47.90</w:t>
            </w:r>
          </w:p>
        </w:tc>
        <w:tc>
          <w:tcPr>
            <w:tcW w:w="985" w:type="dxa"/>
            <w:tcBorders>
              <w:top w:val="nil"/>
              <w:left w:val="nil"/>
              <w:bottom w:val="nil"/>
              <w:right w:val="nil"/>
            </w:tcBorders>
            <w:shd w:val="clear" w:color="000000" w:fill="FFFFFF"/>
            <w:noWrap/>
            <w:vAlign w:val="bottom"/>
            <w:hideMark/>
          </w:tcPr>
          <w:p w14:paraId="31DA3C3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-0.05</w:t>
            </w:r>
          </w:p>
        </w:tc>
        <w:tc>
          <w:tcPr>
            <w:tcW w:w="1183" w:type="dxa"/>
            <w:tcBorders>
              <w:top w:val="nil"/>
              <w:left w:val="nil"/>
              <w:bottom w:val="nil"/>
              <w:right w:val="nil"/>
            </w:tcBorders>
            <w:shd w:val="clear" w:color="000000" w:fill="FFFFFF"/>
            <w:noWrap/>
            <w:vAlign w:val="bottom"/>
            <w:hideMark/>
          </w:tcPr>
          <w:p w14:paraId="1C45B4C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-0.12</w:t>
            </w:r>
          </w:p>
        </w:tc>
      </w:tr>
      <w:tr w:rsidR="00765F47" w:rsidRPr="00086601" w14:paraId="63ACC5A3" w14:textId="77777777" w:rsidTr="00765F47">
        <w:trPr>
          <w:trHeight w:val="285"/>
        </w:trPr>
        <w:tc>
          <w:tcPr>
            <w:tcW w:w="716" w:type="dxa"/>
            <w:tcBorders>
              <w:top w:val="nil"/>
              <w:left w:val="nil"/>
              <w:bottom w:val="nil"/>
              <w:right w:val="nil"/>
            </w:tcBorders>
            <w:shd w:val="clear" w:color="000000" w:fill="FFFFFF"/>
            <w:noWrap/>
            <w:vAlign w:val="bottom"/>
            <w:hideMark/>
          </w:tcPr>
          <w:p w14:paraId="5CEB17D1"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2001</w:t>
            </w:r>
          </w:p>
        </w:tc>
        <w:tc>
          <w:tcPr>
            <w:tcW w:w="1412" w:type="dxa"/>
            <w:tcBorders>
              <w:top w:val="nil"/>
              <w:left w:val="nil"/>
              <w:bottom w:val="nil"/>
              <w:right w:val="nil"/>
            </w:tcBorders>
            <w:shd w:val="clear" w:color="000000" w:fill="FFFFFF"/>
            <w:noWrap/>
            <w:vAlign w:val="bottom"/>
            <w:hideMark/>
          </w:tcPr>
          <w:p w14:paraId="41FD843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41</w:t>
            </w:r>
          </w:p>
        </w:tc>
        <w:tc>
          <w:tcPr>
            <w:tcW w:w="1055" w:type="dxa"/>
            <w:tcBorders>
              <w:top w:val="nil"/>
              <w:left w:val="nil"/>
              <w:bottom w:val="nil"/>
              <w:right w:val="nil"/>
            </w:tcBorders>
            <w:shd w:val="clear" w:color="000000" w:fill="FFFFFF"/>
            <w:noWrap/>
            <w:vAlign w:val="bottom"/>
            <w:hideMark/>
          </w:tcPr>
          <w:p w14:paraId="35C6234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4.36</w:t>
            </w:r>
          </w:p>
        </w:tc>
        <w:tc>
          <w:tcPr>
            <w:tcW w:w="769" w:type="dxa"/>
            <w:tcBorders>
              <w:top w:val="nil"/>
              <w:left w:val="nil"/>
              <w:bottom w:val="nil"/>
              <w:right w:val="nil"/>
            </w:tcBorders>
            <w:shd w:val="clear" w:color="000000" w:fill="FFFFFF"/>
            <w:noWrap/>
            <w:vAlign w:val="bottom"/>
            <w:hideMark/>
          </w:tcPr>
          <w:p w14:paraId="0D44007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47.90</w:t>
            </w:r>
          </w:p>
        </w:tc>
        <w:tc>
          <w:tcPr>
            <w:tcW w:w="985" w:type="dxa"/>
            <w:tcBorders>
              <w:top w:val="nil"/>
              <w:left w:val="nil"/>
              <w:bottom w:val="nil"/>
              <w:right w:val="nil"/>
            </w:tcBorders>
            <w:shd w:val="clear" w:color="000000" w:fill="FFFFFF"/>
            <w:noWrap/>
            <w:vAlign w:val="bottom"/>
            <w:hideMark/>
          </w:tcPr>
          <w:p w14:paraId="04D3568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0.19</w:t>
            </w:r>
          </w:p>
        </w:tc>
        <w:tc>
          <w:tcPr>
            <w:tcW w:w="1183" w:type="dxa"/>
            <w:tcBorders>
              <w:top w:val="nil"/>
              <w:left w:val="nil"/>
              <w:bottom w:val="nil"/>
              <w:right w:val="nil"/>
            </w:tcBorders>
            <w:shd w:val="clear" w:color="000000" w:fill="FFFFFF"/>
            <w:noWrap/>
            <w:vAlign w:val="bottom"/>
            <w:hideMark/>
          </w:tcPr>
          <w:p w14:paraId="3AAB962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1.00</w:t>
            </w:r>
          </w:p>
        </w:tc>
      </w:tr>
      <w:tr w:rsidR="00765F47" w:rsidRPr="00086601" w14:paraId="136A59C0" w14:textId="77777777" w:rsidTr="00765F47">
        <w:trPr>
          <w:trHeight w:val="285"/>
        </w:trPr>
        <w:tc>
          <w:tcPr>
            <w:tcW w:w="716" w:type="dxa"/>
            <w:tcBorders>
              <w:top w:val="nil"/>
              <w:left w:val="nil"/>
              <w:bottom w:val="nil"/>
              <w:right w:val="nil"/>
            </w:tcBorders>
            <w:shd w:val="clear" w:color="000000" w:fill="FFFFFF"/>
            <w:noWrap/>
            <w:vAlign w:val="bottom"/>
            <w:hideMark/>
          </w:tcPr>
          <w:p w14:paraId="7626EC22"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2002</w:t>
            </w:r>
          </w:p>
        </w:tc>
        <w:tc>
          <w:tcPr>
            <w:tcW w:w="1412" w:type="dxa"/>
            <w:tcBorders>
              <w:top w:val="nil"/>
              <w:left w:val="nil"/>
              <w:bottom w:val="nil"/>
              <w:right w:val="nil"/>
            </w:tcBorders>
            <w:shd w:val="clear" w:color="000000" w:fill="FFFFFF"/>
            <w:noWrap/>
            <w:vAlign w:val="bottom"/>
            <w:hideMark/>
          </w:tcPr>
          <w:p w14:paraId="4E3DC01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41</w:t>
            </w:r>
          </w:p>
        </w:tc>
        <w:tc>
          <w:tcPr>
            <w:tcW w:w="1055" w:type="dxa"/>
            <w:tcBorders>
              <w:top w:val="nil"/>
              <w:left w:val="nil"/>
              <w:bottom w:val="nil"/>
              <w:right w:val="nil"/>
            </w:tcBorders>
            <w:shd w:val="clear" w:color="000000" w:fill="FFFFFF"/>
            <w:noWrap/>
            <w:vAlign w:val="bottom"/>
            <w:hideMark/>
          </w:tcPr>
          <w:p w14:paraId="31FF60B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4.36</w:t>
            </w:r>
          </w:p>
        </w:tc>
        <w:tc>
          <w:tcPr>
            <w:tcW w:w="769" w:type="dxa"/>
            <w:tcBorders>
              <w:top w:val="nil"/>
              <w:left w:val="nil"/>
              <w:bottom w:val="nil"/>
              <w:right w:val="nil"/>
            </w:tcBorders>
            <w:shd w:val="clear" w:color="000000" w:fill="FFFFFF"/>
            <w:noWrap/>
            <w:vAlign w:val="bottom"/>
            <w:hideMark/>
          </w:tcPr>
          <w:p w14:paraId="2D2E19F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47.90</w:t>
            </w:r>
          </w:p>
        </w:tc>
        <w:tc>
          <w:tcPr>
            <w:tcW w:w="985" w:type="dxa"/>
            <w:tcBorders>
              <w:top w:val="nil"/>
              <w:left w:val="nil"/>
              <w:bottom w:val="nil"/>
              <w:right w:val="nil"/>
            </w:tcBorders>
            <w:shd w:val="clear" w:color="000000" w:fill="FFFFFF"/>
            <w:noWrap/>
            <w:vAlign w:val="bottom"/>
            <w:hideMark/>
          </w:tcPr>
          <w:p w14:paraId="5CA69EC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0.05</w:t>
            </w:r>
          </w:p>
        </w:tc>
        <w:tc>
          <w:tcPr>
            <w:tcW w:w="1183" w:type="dxa"/>
            <w:tcBorders>
              <w:top w:val="nil"/>
              <w:left w:val="nil"/>
              <w:bottom w:val="nil"/>
              <w:right w:val="nil"/>
            </w:tcBorders>
            <w:shd w:val="clear" w:color="000000" w:fill="FFFFFF"/>
            <w:noWrap/>
            <w:vAlign w:val="bottom"/>
            <w:hideMark/>
          </w:tcPr>
          <w:p w14:paraId="7F26ED4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0.09</w:t>
            </w:r>
          </w:p>
        </w:tc>
      </w:tr>
      <w:tr w:rsidR="00765F47" w:rsidRPr="00086601" w14:paraId="326BBD22" w14:textId="77777777" w:rsidTr="00765F47">
        <w:trPr>
          <w:trHeight w:val="285"/>
        </w:trPr>
        <w:tc>
          <w:tcPr>
            <w:tcW w:w="716" w:type="dxa"/>
            <w:tcBorders>
              <w:top w:val="nil"/>
              <w:left w:val="nil"/>
              <w:bottom w:val="nil"/>
              <w:right w:val="nil"/>
            </w:tcBorders>
            <w:shd w:val="clear" w:color="000000" w:fill="FFFFFF"/>
            <w:noWrap/>
            <w:vAlign w:val="bottom"/>
            <w:hideMark/>
          </w:tcPr>
          <w:p w14:paraId="7201C5D5"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2003</w:t>
            </w:r>
          </w:p>
        </w:tc>
        <w:tc>
          <w:tcPr>
            <w:tcW w:w="1412" w:type="dxa"/>
            <w:tcBorders>
              <w:top w:val="nil"/>
              <w:left w:val="nil"/>
              <w:bottom w:val="nil"/>
              <w:right w:val="nil"/>
            </w:tcBorders>
            <w:shd w:val="clear" w:color="000000" w:fill="FFFFFF"/>
            <w:noWrap/>
            <w:vAlign w:val="bottom"/>
            <w:hideMark/>
          </w:tcPr>
          <w:p w14:paraId="490F673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41</w:t>
            </w:r>
          </w:p>
        </w:tc>
        <w:tc>
          <w:tcPr>
            <w:tcW w:w="1055" w:type="dxa"/>
            <w:tcBorders>
              <w:top w:val="nil"/>
              <w:left w:val="nil"/>
              <w:bottom w:val="nil"/>
              <w:right w:val="nil"/>
            </w:tcBorders>
            <w:shd w:val="clear" w:color="000000" w:fill="FFFFFF"/>
            <w:noWrap/>
            <w:vAlign w:val="bottom"/>
            <w:hideMark/>
          </w:tcPr>
          <w:p w14:paraId="6EF7F6C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4.36</w:t>
            </w:r>
          </w:p>
        </w:tc>
        <w:tc>
          <w:tcPr>
            <w:tcW w:w="769" w:type="dxa"/>
            <w:tcBorders>
              <w:top w:val="nil"/>
              <w:left w:val="nil"/>
              <w:bottom w:val="nil"/>
              <w:right w:val="nil"/>
            </w:tcBorders>
            <w:shd w:val="clear" w:color="000000" w:fill="FFFFFF"/>
            <w:noWrap/>
            <w:vAlign w:val="bottom"/>
            <w:hideMark/>
          </w:tcPr>
          <w:p w14:paraId="39C43BC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47.90</w:t>
            </w:r>
          </w:p>
        </w:tc>
        <w:tc>
          <w:tcPr>
            <w:tcW w:w="985" w:type="dxa"/>
            <w:tcBorders>
              <w:top w:val="nil"/>
              <w:left w:val="nil"/>
              <w:bottom w:val="nil"/>
              <w:right w:val="nil"/>
            </w:tcBorders>
            <w:shd w:val="clear" w:color="000000" w:fill="FFFFFF"/>
            <w:noWrap/>
            <w:vAlign w:val="bottom"/>
            <w:hideMark/>
          </w:tcPr>
          <w:p w14:paraId="38359CA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0.02</w:t>
            </w:r>
          </w:p>
        </w:tc>
        <w:tc>
          <w:tcPr>
            <w:tcW w:w="1183" w:type="dxa"/>
            <w:tcBorders>
              <w:top w:val="nil"/>
              <w:left w:val="nil"/>
              <w:bottom w:val="nil"/>
              <w:right w:val="nil"/>
            </w:tcBorders>
            <w:shd w:val="clear" w:color="000000" w:fill="FFFFFF"/>
            <w:noWrap/>
            <w:vAlign w:val="bottom"/>
            <w:hideMark/>
          </w:tcPr>
          <w:p w14:paraId="7BC7935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-0.03</w:t>
            </w:r>
          </w:p>
        </w:tc>
      </w:tr>
      <w:tr w:rsidR="00765F47" w:rsidRPr="00086601" w14:paraId="606441F0" w14:textId="77777777" w:rsidTr="00765F47">
        <w:trPr>
          <w:trHeight w:val="285"/>
        </w:trPr>
        <w:tc>
          <w:tcPr>
            <w:tcW w:w="716" w:type="dxa"/>
            <w:tcBorders>
              <w:top w:val="nil"/>
              <w:left w:val="nil"/>
              <w:bottom w:val="nil"/>
              <w:right w:val="nil"/>
            </w:tcBorders>
            <w:shd w:val="clear" w:color="000000" w:fill="FFFFFF"/>
            <w:noWrap/>
            <w:vAlign w:val="bottom"/>
            <w:hideMark/>
          </w:tcPr>
          <w:p w14:paraId="6A437D11"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2004</w:t>
            </w:r>
          </w:p>
        </w:tc>
        <w:tc>
          <w:tcPr>
            <w:tcW w:w="1412" w:type="dxa"/>
            <w:tcBorders>
              <w:top w:val="nil"/>
              <w:left w:val="nil"/>
              <w:bottom w:val="nil"/>
              <w:right w:val="nil"/>
            </w:tcBorders>
            <w:shd w:val="clear" w:color="000000" w:fill="FFFFFF"/>
            <w:noWrap/>
            <w:vAlign w:val="bottom"/>
            <w:hideMark/>
          </w:tcPr>
          <w:p w14:paraId="3A21EC7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41</w:t>
            </w:r>
          </w:p>
        </w:tc>
        <w:tc>
          <w:tcPr>
            <w:tcW w:w="1055" w:type="dxa"/>
            <w:tcBorders>
              <w:top w:val="nil"/>
              <w:left w:val="nil"/>
              <w:bottom w:val="nil"/>
              <w:right w:val="nil"/>
            </w:tcBorders>
            <w:shd w:val="clear" w:color="000000" w:fill="FFFFFF"/>
            <w:noWrap/>
            <w:vAlign w:val="bottom"/>
            <w:hideMark/>
          </w:tcPr>
          <w:p w14:paraId="42794B4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4.36</w:t>
            </w:r>
          </w:p>
        </w:tc>
        <w:tc>
          <w:tcPr>
            <w:tcW w:w="769" w:type="dxa"/>
            <w:tcBorders>
              <w:top w:val="nil"/>
              <w:left w:val="nil"/>
              <w:bottom w:val="nil"/>
              <w:right w:val="nil"/>
            </w:tcBorders>
            <w:shd w:val="clear" w:color="000000" w:fill="FFFFFF"/>
            <w:noWrap/>
            <w:vAlign w:val="bottom"/>
            <w:hideMark/>
          </w:tcPr>
          <w:p w14:paraId="424A9A0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47.90</w:t>
            </w:r>
          </w:p>
        </w:tc>
        <w:tc>
          <w:tcPr>
            <w:tcW w:w="985" w:type="dxa"/>
            <w:tcBorders>
              <w:top w:val="nil"/>
              <w:left w:val="nil"/>
              <w:bottom w:val="nil"/>
              <w:right w:val="nil"/>
            </w:tcBorders>
            <w:shd w:val="clear" w:color="000000" w:fill="FFFFFF"/>
            <w:noWrap/>
            <w:vAlign w:val="bottom"/>
            <w:hideMark/>
          </w:tcPr>
          <w:p w14:paraId="4304865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-0.03</w:t>
            </w:r>
          </w:p>
        </w:tc>
        <w:tc>
          <w:tcPr>
            <w:tcW w:w="1183" w:type="dxa"/>
            <w:tcBorders>
              <w:top w:val="nil"/>
              <w:left w:val="nil"/>
              <w:bottom w:val="nil"/>
              <w:right w:val="nil"/>
            </w:tcBorders>
            <w:shd w:val="clear" w:color="000000" w:fill="FFFFFF"/>
            <w:noWrap/>
            <w:vAlign w:val="bottom"/>
            <w:hideMark/>
          </w:tcPr>
          <w:p w14:paraId="1FA38CF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-0.19</w:t>
            </w:r>
          </w:p>
        </w:tc>
      </w:tr>
      <w:tr w:rsidR="00765F47" w:rsidRPr="00086601" w14:paraId="52BC13A8" w14:textId="77777777" w:rsidTr="00765F47">
        <w:trPr>
          <w:trHeight w:val="285"/>
        </w:trPr>
        <w:tc>
          <w:tcPr>
            <w:tcW w:w="716" w:type="dxa"/>
            <w:tcBorders>
              <w:top w:val="nil"/>
              <w:left w:val="nil"/>
              <w:bottom w:val="nil"/>
              <w:right w:val="nil"/>
            </w:tcBorders>
            <w:shd w:val="clear" w:color="000000" w:fill="FFFFFF"/>
            <w:noWrap/>
            <w:vAlign w:val="bottom"/>
            <w:hideMark/>
          </w:tcPr>
          <w:p w14:paraId="01427C58"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2005</w:t>
            </w:r>
          </w:p>
        </w:tc>
        <w:tc>
          <w:tcPr>
            <w:tcW w:w="1412" w:type="dxa"/>
            <w:tcBorders>
              <w:top w:val="nil"/>
              <w:left w:val="nil"/>
              <w:bottom w:val="nil"/>
              <w:right w:val="nil"/>
            </w:tcBorders>
            <w:shd w:val="clear" w:color="000000" w:fill="FFFFFF"/>
            <w:noWrap/>
            <w:vAlign w:val="bottom"/>
            <w:hideMark/>
          </w:tcPr>
          <w:p w14:paraId="6EA8DB8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41</w:t>
            </w:r>
          </w:p>
        </w:tc>
        <w:tc>
          <w:tcPr>
            <w:tcW w:w="1055" w:type="dxa"/>
            <w:tcBorders>
              <w:top w:val="nil"/>
              <w:left w:val="nil"/>
              <w:bottom w:val="nil"/>
              <w:right w:val="nil"/>
            </w:tcBorders>
            <w:shd w:val="clear" w:color="000000" w:fill="FFFFFF"/>
            <w:noWrap/>
            <w:vAlign w:val="bottom"/>
            <w:hideMark/>
          </w:tcPr>
          <w:p w14:paraId="5EFA1C7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4.36</w:t>
            </w:r>
          </w:p>
        </w:tc>
        <w:tc>
          <w:tcPr>
            <w:tcW w:w="769" w:type="dxa"/>
            <w:tcBorders>
              <w:top w:val="nil"/>
              <w:left w:val="nil"/>
              <w:bottom w:val="nil"/>
              <w:right w:val="nil"/>
            </w:tcBorders>
            <w:shd w:val="clear" w:color="000000" w:fill="FFFFFF"/>
            <w:noWrap/>
            <w:vAlign w:val="bottom"/>
            <w:hideMark/>
          </w:tcPr>
          <w:p w14:paraId="3C23BC0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47.90</w:t>
            </w:r>
          </w:p>
        </w:tc>
        <w:tc>
          <w:tcPr>
            <w:tcW w:w="985" w:type="dxa"/>
            <w:tcBorders>
              <w:top w:val="nil"/>
              <w:left w:val="nil"/>
              <w:bottom w:val="nil"/>
              <w:right w:val="nil"/>
            </w:tcBorders>
            <w:shd w:val="clear" w:color="000000" w:fill="FFFFFF"/>
            <w:noWrap/>
            <w:vAlign w:val="bottom"/>
            <w:hideMark/>
          </w:tcPr>
          <w:p w14:paraId="41F04EF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0.02</w:t>
            </w:r>
          </w:p>
        </w:tc>
        <w:tc>
          <w:tcPr>
            <w:tcW w:w="1183" w:type="dxa"/>
            <w:tcBorders>
              <w:top w:val="nil"/>
              <w:left w:val="nil"/>
              <w:bottom w:val="nil"/>
              <w:right w:val="nil"/>
            </w:tcBorders>
            <w:shd w:val="clear" w:color="000000" w:fill="FFFFFF"/>
            <w:noWrap/>
            <w:vAlign w:val="bottom"/>
            <w:hideMark/>
          </w:tcPr>
          <w:p w14:paraId="3B1293C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-0.02</w:t>
            </w:r>
          </w:p>
        </w:tc>
      </w:tr>
      <w:tr w:rsidR="00765F47" w:rsidRPr="00086601" w14:paraId="3DB2F7A8" w14:textId="77777777" w:rsidTr="00765F47">
        <w:trPr>
          <w:trHeight w:val="285"/>
        </w:trPr>
        <w:tc>
          <w:tcPr>
            <w:tcW w:w="716" w:type="dxa"/>
            <w:tcBorders>
              <w:top w:val="nil"/>
              <w:left w:val="nil"/>
              <w:bottom w:val="nil"/>
              <w:right w:val="nil"/>
            </w:tcBorders>
            <w:shd w:val="clear" w:color="000000" w:fill="FFFFFF"/>
            <w:noWrap/>
            <w:vAlign w:val="bottom"/>
            <w:hideMark/>
          </w:tcPr>
          <w:p w14:paraId="144AF01F"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2006</w:t>
            </w:r>
          </w:p>
        </w:tc>
        <w:tc>
          <w:tcPr>
            <w:tcW w:w="1412" w:type="dxa"/>
            <w:tcBorders>
              <w:top w:val="nil"/>
              <w:left w:val="nil"/>
              <w:bottom w:val="nil"/>
              <w:right w:val="nil"/>
            </w:tcBorders>
            <w:shd w:val="clear" w:color="000000" w:fill="FFFFFF"/>
            <w:noWrap/>
            <w:vAlign w:val="bottom"/>
            <w:hideMark/>
          </w:tcPr>
          <w:p w14:paraId="19EA91C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41</w:t>
            </w:r>
          </w:p>
        </w:tc>
        <w:tc>
          <w:tcPr>
            <w:tcW w:w="1055" w:type="dxa"/>
            <w:tcBorders>
              <w:top w:val="nil"/>
              <w:left w:val="nil"/>
              <w:bottom w:val="nil"/>
              <w:right w:val="nil"/>
            </w:tcBorders>
            <w:shd w:val="clear" w:color="000000" w:fill="FFFFFF"/>
            <w:noWrap/>
            <w:vAlign w:val="bottom"/>
            <w:hideMark/>
          </w:tcPr>
          <w:p w14:paraId="56E85CA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4.36</w:t>
            </w:r>
          </w:p>
        </w:tc>
        <w:tc>
          <w:tcPr>
            <w:tcW w:w="769" w:type="dxa"/>
            <w:tcBorders>
              <w:top w:val="nil"/>
              <w:left w:val="nil"/>
              <w:bottom w:val="nil"/>
              <w:right w:val="nil"/>
            </w:tcBorders>
            <w:shd w:val="clear" w:color="000000" w:fill="FFFFFF"/>
            <w:noWrap/>
            <w:vAlign w:val="bottom"/>
            <w:hideMark/>
          </w:tcPr>
          <w:p w14:paraId="2B387F0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47.90</w:t>
            </w:r>
          </w:p>
        </w:tc>
        <w:tc>
          <w:tcPr>
            <w:tcW w:w="985" w:type="dxa"/>
            <w:tcBorders>
              <w:top w:val="nil"/>
              <w:left w:val="nil"/>
              <w:bottom w:val="nil"/>
              <w:right w:val="nil"/>
            </w:tcBorders>
            <w:shd w:val="clear" w:color="000000" w:fill="FFFFFF"/>
            <w:noWrap/>
            <w:vAlign w:val="bottom"/>
            <w:hideMark/>
          </w:tcPr>
          <w:p w14:paraId="316E77D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-0.05</w:t>
            </w:r>
          </w:p>
        </w:tc>
        <w:tc>
          <w:tcPr>
            <w:tcW w:w="1183" w:type="dxa"/>
            <w:tcBorders>
              <w:top w:val="nil"/>
              <w:left w:val="nil"/>
              <w:bottom w:val="nil"/>
              <w:right w:val="nil"/>
            </w:tcBorders>
            <w:shd w:val="clear" w:color="000000" w:fill="FFFFFF"/>
            <w:noWrap/>
            <w:vAlign w:val="bottom"/>
            <w:hideMark/>
          </w:tcPr>
          <w:p w14:paraId="75F7C7A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-0.24</w:t>
            </w:r>
          </w:p>
        </w:tc>
      </w:tr>
      <w:tr w:rsidR="00765F47" w:rsidRPr="00086601" w14:paraId="4D57E888" w14:textId="77777777" w:rsidTr="00765F47">
        <w:trPr>
          <w:trHeight w:val="285"/>
        </w:trPr>
        <w:tc>
          <w:tcPr>
            <w:tcW w:w="716" w:type="dxa"/>
            <w:tcBorders>
              <w:top w:val="nil"/>
              <w:left w:val="nil"/>
              <w:bottom w:val="nil"/>
              <w:right w:val="nil"/>
            </w:tcBorders>
            <w:shd w:val="clear" w:color="000000" w:fill="FFFFFF"/>
            <w:noWrap/>
            <w:vAlign w:val="bottom"/>
            <w:hideMark/>
          </w:tcPr>
          <w:p w14:paraId="15D3C578"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2007</w:t>
            </w:r>
          </w:p>
        </w:tc>
        <w:tc>
          <w:tcPr>
            <w:tcW w:w="1412" w:type="dxa"/>
            <w:tcBorders>
              <w:top w:val="nil"/>
              <w:left w:val="nil"/>
              <w:bottom w:val="nil"/>
              <w:right w:val="nil"/>
            </w:tcBorders>
            <w:shd w:val="clear" w:color="000000" w:fill="FFFFFF"/>
            <w:noWrap/>
            <w:vAlign w:val="bottom"/>
            <w:hideMark/>
          </w:tcPr>
          <w:p w14:paraId="784B537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41</w:t>
            </w:r>
          </w:p>
        </w:tc>
        <w:tc>
          <w:tcPr>
            <w:tcW w:w="1055" w:type="dxa"/>
            <w:tcBorders>
              <w:top w:val="nil"/>
              <w:left w:val="nil"/>
              <w:bottom w:val="nil"/>
              <w:right w:val="nil"/>
            </w:tcBorders>
            <w:shd w:val="clear" w:color="000000" w:fill="FFFFFF"/>
            <w:noWrap/>
            <w:vAlign w:val="bottom"/>
            <w:hideMark/>
          </w:tcPr>
          <w:p w14:paraId="7CCE42B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4.36</w:t>
            </w:r>
          </w:p>
        </w:tc>
        <w:tc>
          <w:tcPr>
            <w:tcW w:w="769" w:type="dxa"/>
            <w:tcBorders>
              <w:top w:val="nil"/>
              <w:left w:val="nil"/>
              <w:bottom w:val="nil"/>
              <w:right w:val="nil"/>
            </w:tcBorders>
            <w:shd w:val="clear" w:color="000000" w:fill="FFFFFF"/>
            <w:noWrap/>
            <w:vAlign w:val="bottom"/>
            <w:hideMark/>
          </w:tcPr>
          <w:p w14:paraId="0FE246C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47.90</w:t>
            </w:r>
          </w:p>
        </w:tc>
        <w:tc>
          <w:tcPr>
            <w:tcW w:w="985" w:type="dxa"/>
            <w:tcBorders>
              <w:top w:val="nil"/>
              <w:left w:val="nil"/>
              <w:bottom w:val="nil"/>
              <w:right w:val="nil"/>
            </w:tcBorders>
            <w:shd w:val="clear" w:color="000000" w:fill="FFFFFF"/>
            <w:noWrap/>
            <w:vAlign w:val="bottom"/>
            <w:hideMark/>
          </w:tcPr>
          <w:p w14:paraId="76C1906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0.05</w:t>
            </w:r>
          </w:p>
        </w:tc>
        <w:tc>
          <w:tcPr>
            <w:tcW w:w="1183" w:type="dxa"/>
            <w:tcBorders>
              <w:top w:val="nil"/>
              <w:left w:val="nil"/>
              <w:bottom w:val="nil"/>
              <w:right w:val="nil"/>
            </w:tcBorders>
            <w:shd w:val="clear" w:color="000000" w:fill="FFFFFF"/>
            <w:noWrap/>
            <w:vAlign w:val="bottom"/>
            <w:hideMark/>
          </w:tcPr>
          <w:p w14:paraId="7ACE09B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0.10</w:t>
            </w:r>
          </w:p>
        </w:tc>
      </w:tr>
      <w:tr w:rsidR="00765F47" w:rsidRPr="00086601" w14:paraId="3C60D580" w14:textId="77777777" w:rsidTr="00765F47">
        <w:trPr>
          <w:trHeight w:val="285"/>
        </w:trPr>
        <w:tc>
          <w:tcPr>
            <w:tcW w:w="716" w:type="dxa"/>
            <w:tcBorders>
              <w:top w:val="nil"/>
              <w:left w:val="nil"/>
              <w:bottom w:val="nil"/>
              <w:right w:val="nil"/>
            </w:tcBorders>
            <w:shd w:val="clear" w:color="000000" w:fill="FFFFFF"/>
            <w:noWrap/>
            <w:vAlign w:val="bottom"/>
            <w:hideMark/>
          </w:tcPr>
          <w:p w14:paraId="408079A8"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2008</w:t>
            </w:r>
          </w:p>
        </w:tc>
        <w:tc>
          <w:tcPr>
            <w:tcW w:w="1412" w:type="dxa"/>
            <w:tcBorders>
              <w:top w:val="nil"/>
              <w:left w:val="nil"/>
              <w:bottom w:val="nil"/>
              <w:right w:val="nil"/>
            </w:tcBorders>
            <w:shd w:val="clear" w:color="000000" w:fill="FFFFFF"/>
            <w:noWrap/>
            <w:vAlign w:val="bottom"/>
            <w:hideMark/>
          </w:tcPr>
          <w:p w14:paraId="1BC7EA1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41</w:t>
            </w:r>
          </w:p>
        </w:tc>
        <w:tc>
          <w:tcPr>
            <w:tcW w:w="1055" w:type="dxa"/>
            <w:tcBorders>
              <w:top w:val="nil"/>
              <w:left w:val="nil"/>
              <w:bottom w:val="nil"/>
              <w:right w:val="nil"/>
            </w:tcBorders>
            <w:shd w:val="clear" w:color="000000" w:fill="FFFFFF"/>
            <w:noWrap/>
            <w:vAlign w:val="bottom"/>
            <w:hideMark/>
          </w:tcPr>
          <w:p w14:paraId="5F6D2A5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4.36</w:t>
            </w:r>
          </w:p>
        </w:tc>
        <w:tc>
          <w:tcPr>
            <w:tcW w:w="769" w:type="dxa"/>
            <w:tcBorders>
              <w:top w:val="nil"/>
              <w:left w:val="nil"/>
              <w:bottom w:val="nil"/>
              <w:right w:val="nil"/>
            </w:tcBorders>
            <w:shd w:val="clear" w:color="000000" w:fill="FFFFFF"/>
            <w:noWrap/>
            <w:vAlign w:val="bottom"/>
            <w:hideMark/>
          </w:tcPr>
          <w:p w14:paraId="79FDE9E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47.90</w:t>
            </w:r>
          </w:p>
        </w:tc>
        <w:tc>
          <w:tcPr>
            <w:tcW w:w="985" w:type="dxa"/>
            <w:tcBorders>
              <w:top w:val="nil"/>
              <w:left w:val="nil"/>
              <w:bottom w:val="nil"/>
              <w:right w:val="nil"/>
            </w:tcBorders>
            <w:shd w:val="clear" w:color="000000" w:fill="FFFFFF"/>
            <w:noWrap/>
            <w:vAlign w:val="bottom"/>
            <w:hideMark/>
          </w:tcPr>
          <w:p w14:paraId="1D021EE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0.08</w:t>
            </w:r>
          </w:p>
        </w:tc>
        <w:tc>
          <w:tcPr>
            <w:tcW w:w="1183" w:type="dxa"/>
            <w:tcBorders>
              <w:top w:val="nil"/>
              <w:left w:val="nil"/>
              <w:bottom w:val="nil"/>
              <w:right w:val="nil"/>
            </w:tcBorders>
            <w:shd w:val="clear" w:color="000000" w:fill="FFFFFF"/>
            <w:noWrap/>
            <w:vAlign w:val="bottom"/>
            <w:hideMark/>
          </w:tcPr>
          <w:p w14:paraId="7568466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0.26</w:t>
            </w:r>
          </w:p>
        </w:tc>
      </w:tr>
      <w:tr w:rsidR="00765F47" w:rsidRPr="00086601" w14:paraId="2F2FBAB1" w14:textId="77777777" w:rsidTr="00765F47">
        <w:trPr>
          <w:trHeight w:val="285"/>
        </w:trPr>
        <w:tc>
          <w:tcPr>
            <w:tcW w:w="716" w:type="dxa"/>
            <w:tcBorders>
              <w:top w:val="nil"/>
              <w:left w:val="nil"/>
              <w:bottom w:val="nil"/>
              <w:right w:val="nil"/>
            </w:tcBorders>
            <w:shd w:val="clear" w:color="000000" w:fill="FFFFFF"/>
            <w:noWrap/>
            <w:vAlign w:val="bottom"/>
            <w:hideMark/>
          </w:tcPr>
          <w:p w14:paraId="69EB5674"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2009</w:t>
            </w:r>
          </w:p>
        </w:tc>
        <w:tc>
          <w:tcPr>
            <w:tcW w:w="1412" w:type="dxa"/>
            <w:tcBorders>
              <w:top w:val="nil"/>
              <w:left w:val="nil"/>
              <w:bottom w:val="nil"/>
              <w:right w:val="nil"/>
            </w:tcBorders>
            <w:shd w:val="clear" w:color="000000" w:fill="FFFFFF"/>
            <w:noWrap/>
            <w:vAlign w:val="bottom"/>
            <w:hideMark/>
          </w:tcPr>
          <w:p w14:paraId="0460A0D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47</w:t>
            </w:r>
          </w:p>
        </w:tc>
        <w:tc>
          <w:tcPr>
            <w:tcW w:w="1055" w:type="dxa"/>
            <w:tcBorders>
              <w:top w:val="nil"/>
              <w:left w:val="nil"/>
              <w:bottom w:val="nil"/>
              <w:right w:val="nil"/>
            </w:tcBorders>
            <w:shd w:val="clear" w:color="000000" w:fill="FFFFFF"/>
            <w:noWrap/>
            <w:vAlign w:val="bottom"/>
            <w:hideMark/>
          </w:tcPr>
          <w:p w14:paraId="0A0840B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4.99</w:t>
            </w:r>
          </w:p>
        </w:tc>
        <w:tc>
          <w:tcPr>
            <w:tcW w:w="769" w:type="dxa"/>
            <w:tcBorders>
              <w:top w:val="nil"/>
              <w:left w:val="nil"/>
              <w:bottom w:val="nil"/>
              <w:right w:val="nil"/>
            </w:tcBorders>
            <w:shd w:val="clear" w:color="000000" w:fill="FFFFFF"/>
            <w:noWrap/>
            <w:vAlign w:val="bottom"/>
            <w:hideMark/>
          </w:tcPr>
          <w:p w14:paraId="79A84F3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46.81</w:t>
            </w:r>
          </w:p>
        </w:tc>
        <w:tc>
          <w:tcPr>
            <w:tcW w:w="985" w:type="dxa"/>
            <w:tcBorders>
              <w:top w:val="nil"/>
              <w:left w:val="nil"/>
              <w:bottom w:val="nil"/>
              <w:right w:val="nil"/>
            </w:tcBorders>
            <w:shd w:val="clear" w:color="000000" w:fill="FFFFFF"/>
            <w:noWrap/>
            <w:vAlign w:val="bottom"/>
            <w:hideMark/>
          </w:tcPr>
          <w:p w14:paraId="48F34EB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-0.03</w:t>
            </w:r>
          </w:p>
        </w:tc>
        <w:tc>
          <w:tcPr>
            <w:tcW w:w="1183" w:type="dxa"/>
            <w:tcBorders>
              <w:top w:val="nil"/>
              <w:left w:val="nil"/>
              <w:bottom w:val="nil"/>
              <w:right w:val="nil"/>
            </w:tcBorders>
            <w:shd w:val="clear" w:color="000000" w:fill="FFFFFF"/>
            <w:noWrap/>
            <w:vAlign w:val="bottom"/>
            <w:hideMark/>
          </w:tcPr>
          <w:p w14:paraId="3920823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-0.09</w:t>
            </w:r>
          </w:p>
        </w:tc>
      </w:tr>
      <w:tr w:rsidR="00765F47" w:rsidRPr="00086601" w14:paraId="46A53FBC" w14:textId="77777777" w:rsidTr="00765F47">
        <w:trPr>
          <w:trHeight w:val="285"/>
        </w:trPr>
        <w:tc>
          <w:tcPr>
            <w:tcW w:w="716" w:type="dxa"/>
            <w:tcBorders>
              <w:top w:val="nil"/>
              <w:left w:val="nil"/>
              <w:bottom w:val="nil"/>
              <w:right w:val="nil"/>
            </w:tcBorders>
            <w:shd w:val="clear" w:color="000000" w:fill="FFFFFF"/>
            <w:noWrap/>
            <w:vAlign w:val="bottom"/>
            <w:hideMark/>
          </w:tcPr>
          <w:p w14:paraId="5519DBCF"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2010</w:t>
            </w:r>
          </w:p>
        </w:tc>
        <w:tc>
          <w:tcPr>
            <w:tcW w:w="1412" w:type="dxa"/>
            <w:tcBorders>
              <w:top w:val="nil"/>
              <w:left w:val="nil"/>
              <w:bottom w:val="nil"/>
              <w:right w:val="nil"/>
            </w:tcBorders>
            <w:shd w:val="clear" w:color="000000" w:fill="FFFFFF"/>
            <w:noWrap/>
            <w:vAlign w:val="bottom"/>
            <w:hideMark/>
          </w:tcPr>
          <w:p w14:paraId="5C12874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47</w:t>
            </w:r>
          </w:p>
        </w:tc>
        <w:tc>
          <w:tcPr>
            <w:tcW w:w="1055" w:type="dxa"/>
            <w:tcBorders>
              <w:top w:val="nil"/>
              <w:left w:val="nil"/>
              <w:bottom w:val="nil"/>
              <w:right w:val="nil"/>
            </w:tcBorders>
            <w:shd w:val="clear" w:color="000000" w:fill="FFFFFF"/>
            <w:noWrap/>
            <w:vAlign w:val="bottom"/>
            <w:hideMark/>
          </w:tcPr>
          <w:p w14:paraId="4DDCFBB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4.99</w:t>
            </w:r>
          </w:p>
        </w:tc>
        <w:tc>
          <w:tcPr>
            <w:tcW w:w="769" w:type="dxa"/>
            <w:tcBorders>
              <w:top w:val="nil"/>
              <w:left w:val="nil"/>
              <w:bottom w:val="nil"/>
              <w:right w:val="nil"/>
            </w:tcBorders>
            <w:shd w:val="clear" w:color="000000" w:fill="FFFFFF"/>
            <w:noWrap/>
            <w:vAlign w:val="bottom"/>
            <w:hideMark/>
          </w:tcPr>
          <w:p w14:paraId="31B1B9E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46.81</w:t>
            </w:r>
          </w:p>
        </w:tc>
        <w:tc>
          <w:tcPr>
            <w:tcW w:w="985" w:type="dxa"/>
            <w:tcBorders>
              <w:top w:val="nil"/>
              <w:left w:val="nil"/>
              <w:bottom w:val="nil"/>
              <w:right w:val="nil"/>
            </w:tcBorders>
            <w:shd w:val="clear" w:color="000000" w:fill="FFFFFF"/>
            <w:noWrap/>
            <w:vAlign w:val="bottom"/>
            <w:hideMark/>
          </w:tcPr>
          <w:p w14:paraId="0A34C62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0.02</w:t>
            </w:r>
          </w:p>
        </w:tc>
        <w:tc>
          <w:tcPr>
            <w:tcW w:w="1183" w:type="dxa"/>
            <w:tcBorders>
              <w:top w:val="nil"/>
              <w:left w:val="nil"/>
              <w:bottom w:val="nil"/>
              <w:right w:val="nil"/>
            </w:tcBorders>
            <w:shd w:val="clear" w:color="000000" w:fill="FFFFFF"/>
            <w:noWrap/>
            <w:vAlign w:val="bottom"/>
            <w:hideMark/>
          </w:tcPr>
          <w:p w14:paraId="25A1AE3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0.13</w:t>
            </w:r>
          </w:p>
        </w:tc>
      </w:tr>
      <w:tr w:rsidR="00765F47" w:rsidRPr="00086601" w14:paraId="0246C9FC" w14:textId="77777777" w:rsidTr="00765F47">
        <w:trPr>
          <w:trHeight w:val="285"/>
        </w:trPr>
        <w:tc>
          <w:tcPr>
            <w:tcW w:w="716" w:type="dxa"/>
            <w:tcBorders>
              <w:top w:val="nil"/>
              <w:left w:val="nil"/>
              <w:bottom w:val="nil"/>
              <w:right w:val="nil"/>
            </w:tcBorders>
            <w:shd w:val="clear" w:color="000000" w:fill="FFFFFF"/>
            <w:noWrap/>
            <w:vAlign w:val="bottom"/>
            <w:hideMark/>
          </w:tcPr>
          <w:p w14:paraId="4C8ADB46"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2011</w:t>
            </w:r>
          </w:p>
        </w:tc>
        <w:tc>
          <w:tcPr>
            <w:tcW w:w="1412" w:type="dxa"/>
            <w:tcBorders>
              <w:top w:val="nil"/>
              <w:left w:val="nil"/>
              <w:bottom w:val="nil"/>
              <w:right w:val="nil"/>
            </w:tcBorders>
            <w:shd w:val="clear" w:color="000000" w:fill="FFFFFF"/>
            <w:noWrap/>
            <w:vAlign w:val="bottom"/>
            <w:hideMark/>
          </w:tcPr>
          <w:p w14:paraId="060AED5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48</w:t>
            </w:r>
          </w:p>
        </w:tc>
        <w:tc>
          <w:tcPr>
            <w:tcW w:w="1055" w:type="dxa"/>
            <w:tcBorders>
              <w:top w:val="nil"/>
              <w:left w:val="nil"/>
              <w:bottom w:val="nil"/>
              <w:right w:val="nil"/>
            </w:tcBorders>
            <w:shd w:val="clear" w:color="000000" w:fill="FFFFFF"/>
            <w:noWrap/>
            <w:vAlign w:val="bottom"/>
            <w:hideMark/>
          </w:tcPr>
          <w:p w14:paraId="6C3EEA9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5.1</w:t>
            </w:r>
          </w:p>
        </w:tc>
        <w:tc>
          <w:tcPr>
            <w:tcW w:w="769" w:type="dxa"/>
            <w:tcBorders>
              <w:top w:val="nil"/>
              <w:left w:val="nil"/>
              <w:bottom w:val="nil"/>
              <w:right w:val="nil"/>
            </w:tcBorders>
            <w:shd w:val="clear" w:color="000000" w:fill="FFFFFF"/>
            <w:noWrap/>
            <w:vAlign w:val="bottom"/>
            <w:hideMark/>
          </w:tcPr>
          <w:p w14:paraId="44BA2BC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47.85</w:t>
            </w:r>
          </w:p>
        </w:tc>
        <w:tc>
          <w:tcPr>
            <w:tcW w:w="985" w:type="dxa"/>
            <w:tcBorders>
              <w:top w:val="nil"/>
              <w:left w:val="nil"/>
              <w:bottom w:val="nil"/>
              <w:right w:val="nil"/>
            </w:tcBorders>
            <w:shd w:val="clear" w:color="000000" w:fill="FFFFFF"/>
            <w:noWrap/>
            <w:vAlign w:val="bottom"/>
            <w:hideMark/>
          </w:tcPr>
          <w:p w14:paraId="352E161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0.07</w:t>
            </w:r>
          </w:p>
        </w:tc>
        <w:tc>
          <w:tcPr>
            <w:tcW w:w="1183" w:type="dxa"/>
            <w:tcBorders>
              <w:top w:val="nil"/>
              <w:left w:val="nil"/>
              <w:bottom w:val="nil"/>
              <w:right w:val="nil"/>
            </w:tcBorders>
            <w:shd w:val="clear" w:color="000000" w:fill="FFFFFF"/>
            <w:noWrap/>
            <w:vAlign w:val="bottom"/>
            <w:hideMark/>
          </w:tcPr>
          <w:p w14:paraId="4412049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0.21</w:t>
            </w:r>
          </w:p>
        </w:tc>
      </w:tr>
      <w:tr w:rsidR="00765F47" w:rsidRPr="00086601" w14:paraId="12984A2D" w14:textId="77777777" w:rsidTr="00765F47">
        <w:trPr>
          <w:trHeight w:val="285"/>
        </w:trPr>
        <w:tc>
          <w:tcPr>
            <w:tcW w:w="716" w:type="dxa"/>
            <w:tcBorders>
              <w:top w:val="nil"/>
              <w:left w:val="nil"/>
              <w:bottom w:val="nil"/>
              <w:right w:val="nil"/>
            </w:tcBorders>
            <w:shd w:val="clear" w:color="000000" w:fill="FFFFFF"/>
            <w:noWrap/>
            <w:vAlign w:val="bottom"/>
            <w:hideMark/>
          </w:tcPr>
          <w:p w14:paraId="70BF73B4"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2012</w:t>
            </w:r>
          </w:p>
        </w:tc>
        <w:tc>
          <w:tcPr>
            <w:tcW w:w="1412" w:type="dxa"/>
            <w:tcBorders>
              <w:top w:val="nil"/>
              <w:left w:val="nil"/>
              <w:bottom w:val="nil"/>
              <w:right w:val="nil"/>
            </w:tcBorders>
            <w:shd w:val="clear" w:color="000000" w:fill="FFFFFF"/>
            <w:noWrap/>
            <w:vAlign w:val="bottom"/>
            <w:hideMark/>
          </w:tcPr>
          <w:p w14:paraId="7BC6B23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49</w:t>
            </w:r>
          </w:p>
        </w:tc>
        <w:tc>
          <w:tcPr>
            <w:tcW w:w="1055" w:type="dxa"/>
            <w:tcBorders>
              <w:top w:val="nil"/>
              <w:left w:val="nil"/>
              <w:bottom w:val="nil"/>
              <w:right w:val="nil"/>
            </w:tcBorders>
            <w:shd w:val="clear" w:color="000000" w:fill="FFFFFF"/>
            <w:noWrap/>
            <w:vAlign w:val="bottom"/>
            <w:hideMark/>
          </w:tcPr>
          <w:p w14:paraId="10AF88B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5.21</w:t>
            </w:r>
          </w:p>
        </w:tc>
        <w:tc>
          <w:tcPr>
            <w:tcW w:w="769" w:type="dxa"/>
            <w:tcBorders>
              <w:top w:val="nil"/>
              <w:left w:val="nil"/>
              <w:bottom w:val="nil"/>
              <w:right w:val="nil"/>
            </w:tcBorders>
            <w:shd w:val="clear" w:color="000000" w:fill="FFFFFF"/>
            <w:noWrap/>
            <w:vAlign w:val="bottom"/>
            <w:hideMark/>
          </w:tcPr>
          <w:p w14:paraId="391D099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48.14</w:t>
            </w:r>
          </w:p>
        </w:tc>
        <w:tc>
          <w:tcPr>
            <w:tcW w:w="985" w:type="dxa"/>
            <w:tcBorders>
              <w:top w:val="nil"/>
              <w:left w:val="nil"/>
              <w:bottom w:val="nil"/>
              <w:right w:val="nil"/>
            </w:tcBorders>
            <w:shd w:val="clear" w:color="000000" w:fill="FFFFFF"/>
            <w:noWrap/>
            <w:vAlign w:val="bottom"/>
            <w:hideMark/>
          </w:tcPr>
          <w:p w14:paraId="2A0573F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-0.02</w:t>
            </w:r>
          </w:p>
        </w:tc>
        <w:tc>
          <w:tcPr>
            <w:tcW w:w="1183" w:type="dxa"/>
            <w:tcBorders>
              <w:top w:val="nil"/>
              <w:left w:val="nil"/>
              <w:bottom w:val="nil"/>
              <w:right w:val="nil"/>
            </w:tcBorders>
            <w:shd w:val="clear" w:color="000000" w:fill="FFFFFF"/>
            <w:noWrap/>
            <w:vAlign w:val="bottom"/>
            <w:hideMark/>
          </w:tcPr>
          <w:p w14:paraId="2E3DC41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-0.09</w:t>
            </w:r>
          </w:p>
        </w:tc>
      </w:tr>
      <w:tr w:rsidR="00765F47" w:rsidRPr="00086601" w14:paraId="23DC19F4" w14:textId="77777777" w:rsidTr="00765F47">
        <w:trPr>
          <w:trHeight w:val="285"/>
        </w:trPr>
        <w:tc>
          <w:tcPr>
            <w:tcW w:w="716" w:type="dxa"/>
            <w:tcBorders>
              <w:top w:val="nil"/>
              <w:left w:val="nil"/>
              <w:bottom w:val="nil"/>
              <w:right w:val="nil"/>
            </w:tcBorders>
            <w:shd w:val="clear" w:color="000000" w:fill="FFFFFF"/>
            <w:noWrap/>
            <w:vAlign w:val="bottom"/>
            <w:hideMark/>
          </w:tcPr>
          <w:p w14:paraId="77624D14"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2013</w:t>
            </w:r>
          </w:p>
        </w:tc>
        <w:tc>
          <w:tcPr>
            <w:tcW w:w="1412" w:type="dxa"/>
            <w:tcBorders>
              <w:top w:val="nil"/>
              <w:left w:val="nil"/>
              <w:bottom w:val="nil"/>
              <w:right w:val="nil"/>
            </w:tcBorders>
            <w:shd w:val="clear" w:color="000000" w:fill="FFFFFF"/>
            <w:noWrap/>
            <w:vAlign w:val="bottom"/>
            <w:hideMark/>
          </w:tcPr>
          <w:p w14:paraId="1133E2F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50</w:t>
            </w:r>
          </w:p>
        </w:tc>
        <w:tc>
          <w:tcPr>
            <w:tcW w:w="1055" w:type="dxa"/>
            <w:tcBorders>
              <w:top w:val="nil"/>
              <w:left w:val="nil"/>
              <w:bottom w:val="nil"/>
              <w:right w:val="nil"/>
            </w:tcBorders>
            <w:shd w:val="clear" w:color="000000" w:fill="FFFFFF"/>
            <w:noWrap/>
            <w:vAlign w:val="bottom"/>
            <w:hideMark/>
          </w:tcPr>
          <w:p w14:paraId="0E96EA6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5.31</w:t>
            </w:r>
          </w:p>
        </w:tc>
        <w:tc>
          <w:tcPr>
            <w:tcW w:w="769" w:type="dxa"/>
            <w:tcBorders>
              <w:top w:val="nil"/>
              <w:left w:val="nil"/>
              <w:bottom w:val="nil"/>
              <w:right w:val="nil"/>
            </w:tcBorders>
            <w:shd w:val="clear" w:color="000000" w:fill="FFFFFF"/>
            <w:noWrap/>
            <w:vAlign w:val="bottom"/>
            <w:hideMark/>
          </w:tcPr>
          <w:p w14:paraId="4EAA847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47.68</w:t>
            </w:r>
          </w:p>
        </w:tc>
        <w:tc>
          <w:tcPr>
            <w:tcW w:w="985" w:type="dxa"/>
            <w:tcBorders>
              <w:top w:val="nil"/>
              <w:left w:val="nil"/>
              <w:bottom w:val="nil"/>
              <w:right w:val="nil"/>
            </w:tcBorders>
            <w:shd w:val="clear" w:color="000000" w:fill="FFFFFF"/>
            <w:noWrap/>
            <w:vAlign w:val="bottom"/>
            <w:hideMark/>
          </w:tcPr>
          <w:p w14:paraId="7EA8EBB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0.09</w:t>
            </w:r>
          </w:p>
        </w:tc>
        <w:tc>
          <w:tcPr>
            <w:tcW w:w="1183" w:type="dxa"/>
            <w:tcBorders>
              <w:top w:val="nil"/>
              <w:left w:val="nil"/>
              <w:bottom w:val="nil"/>
              <w:right w:val="nil"/>
            </w:tcBorders>
            <w:shd w:val="clear" w:color="000000" w:fill="FFFFFF"/>
            <w:noWrap/>
            <w:vAlign w:val="bottom"/>
            <w:hideMark/>
          </w:tcPr>
          <w:p w14:paraId="3168FDC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0.40</w:t>
            </w:r>
          </w:p>
        </w:tc>
      </w:tr>
      <w:tr w:rsidR="00765F47" w:rsidRPr="00086601" w14:paraId="5769295A" w14:textId="77777777" w:rsidTr="00765F47">
        <w:trPr>
          <w:trHeight w:val="285"/>
        </w:trPr>
        <w:tc>
          <w:tcPr>
            <w:tcW w:w="716" w:type="dxa"/>
            <w:tcBorders>
              <w:top w:val="nil"/>
              <w:left w:val="nil"/>
              <w:bottom w:val="nil"/>
              <w:right w:val="nil"/>
            </w:tcBorders>
            <w:shd w:val="clear" w:color="000000" w:fill="FFFFFF"/>
            <w:noWrap/>
            <w:vAlign w:val="bottom"/>
            <w:hideMark/>
          </w:tcPr>
          <w:p w14:paraId="4DDC5FA2"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2014</w:t>
            </w:r>
          </w:p>
        </w:tc>
        <w:tc>
          <w:tcPr>
            <w:tcW w:w="1412" w:type="dxa"/>
            <w:tcBorders>
              <w:top w:val="nil"/>
              <w:left w:val="nil"/>
              <w:bottom w:val="nil"/>
              <w:right w:val="nil"/>
            </w:tcBorders>
            <w:shd w:val="clear" w:color="000000" w:fill="FFFFFF"/>
            <w:noWrap/>
            <w:vAlign w:val="bottom"/>
            <w:hideMark/>
          </w:tcPr>
          <w:p w14:paraId="1A4DBA5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50</w:t>
            </w:r>
          </w:p>
        </w:tc>
        <w:tc>
          <w:tcPr>
            <w:tcW w:w="1055" w:type="dxa"/>
            <w:tcBorders>
              <w:top w:val="nil"/>
              <w:left w:val="nil"/>
              <w:bottom w:val="nil"/>
              <w:right w:val="nil"/>
            </w:tcBorders>
            <w:shd w:val="clear" w:color="000000" w:fill="FFFFFF"/>
            <w:noWrap/>
            <w:vAlign w:val="bottom"/>
            <w:hideMark/>
          </w:tcPr>
          <w:p w14:paraId="32F1A7E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5.31</w:t>
            </w:r>
          </w:p>
        </w:tc>
        <w:tc>
          <w:tcPr>
            <w:tcW w:w="769" w:type="dxa"/>
            <w:tcBorders>
              <w:top w:val="nil"/>
              <w:left w:val="nil"/>
              <w:bottom w:val="nil"/>
              <w:right w:val="nil"/>
            </w:tcBorders>
            <w:shd w:val="clear" w:color="000000" w:fill="FFFFFF"/>
            <w:noWrap/>
            <w:vAlign w:val="bottom"/>
            <w:hideMark/>
          </w:tcPr>
          <w:p w14:paraId="7BC3AAD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47.68</w:t>
            </w:r>
          </w:p>
        </w:tc>
        <w:tc>
          <w:tcPr>
            <w:tcW w:w="985" w:type="dxa"/>
            <w:tcBorders>
              <w:top w:val="nil"/>
              <w:left w:val="nil"/>
              <w:bottom w:val="nil"/>
              <w:right w:val="nil"/>
            </w:tcBorders>
            <w:shd w:val="clear" w:color="000000" w:fill="FFFFFF"/>
            <w:noWrap/>
            <w:vAlign w:val="bottom"/>
            <w:hideMark/>
          </w:tcPr>
          <w:p w14:paraId="1C7D534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0.07</w:t>
            </w:r>
          </w:p>
        </w:tc>
        <w:tc>
          <w:tcPr>
            <w:tcW w:w="1183" w:type="dxa"/>
            <w:tcBorders>
              <w:top w:val="nil"/>
              <w:left w:val="nil"/>
              <w:bottom w:val="nil"/>
              <w:right w:val="nil"/>
            </w:tcBorders>
            <w:shd w:val="clear" w:color="000000" w:fill="FFFFFF"/>
            <w:noWrap/>
            <w:vAlign w:val="bottom"/>
            <w:hideMark/>
          </w:tcPr>
          <w:p w14:paraId="0EF13AC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0.39</w:t>
            </w:r>
          </w:p>
        </w:tc>
      </w:tr>
      <w:tr w:rsidR="00765F47" w:rsidRPr="00086601" w14:paraId="6FD3E127" w14:textId="77777777" w:rsidTr="00765F47">
        <w:trPr>
          <w:trHeight w:val="285"/>
        </w:trPr>
        <w:tc>
          <w:tcPr>
            <w:tcW w:w="716" w:type="dxa"/>
            <w:tcBorders>
              <w:top w:val="nil"/>
              <w:left w:val="nil"/>
              <w:bottom w:val="nil"/>
              <w:right w:val="nil"/>
            </w:tcBorders>
            <w:shd w:val="clear" w:color="000000" w:fill="FFFFFF"/>
            <w:noWrap/>
            <w:vAlign w:val="bottom"/>
            <w:hideMark/>
          </w:tcPr>
          <w:p w14:paraId="786456F4"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2015</w:t>
            </w:r>
          </w:p>
        </w:tc>
        <w:tc>
          <w:tcPr>
            <w:tcW w:w="1412" w:type="dxa"/>
            <w:tcBorders>
              <w:top w:val="nil"/>
              <w:left w:val="nil"/>
              <w:bottom w:val="nil"/>
              <w:right w:val="nil"/>
            </w:tcBorders>
            <w:shd w:val="clear" w:color="000000" w:fill="FFFFFF"/>
            <w:noWrap/>
            <w:vAlign w:val="bottom"/>
            <w:hideMark/>
          </w:tcPr>
          <w:p w14:paraId="3C68D91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56</w:t>
            </w:r>
          </w:p>
        </w:tc>
        <w:tc>
          <w:tcPr>
            <w:tcW w:w="1055" w:type="dxa"/>
            <w:tcBorders>
              <w:top w:val="nil"/>
              <w:left w:val="nil"/>
              <w:bottom w:val="nil"/>
              <w:right w:val="nil"/>
            </w:tcBorders>
            <w:shd w:val="clear" w:color="000000" w:fill="FFFFFF"/>
            <w:noWrap/>
            <w:vAlign w:val="bottom"/>
            <w:hideMark/>
          </w:tcPr>
          <w:p w14:paraId="1D5DD46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5.95</w:t>
            </w:r>
          </w:p>
        </w:tc>
        <w:tc>
          <w:tcPr>
            <w:tcW w:w="769" w:type="dxa"/>
            <w:tcBorders>
              <w:top w:val="nil"/>
              <w:left w:val="nil"/>
              <w:bottom w:val="nil"/>
              <w:right w:val="nil"/>
            </w:tcBorders>
            <w:shd w:val="clear" w:color="000000" w:fill="FFFFFF"/>
            <w:noWrap/>
            <w:vAlign w:val="bottom"/>
            <w:hideMark/>
          </w:tcPr>
          <w:p w14:paraId="33AB177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45.54</w:t>
            </w:r>
          </w:p>
        </w:tc>
        <w:tc>
          <w:tcPr>
            <w:tcW w:w="985" w:type="dxa"/>
            <w:tcBorders>
              <w:top w:val="nil"/>
              <w:left w:val="nil"/>
              <w:bottom w:val="nil"/>
              <w:right w:val="nil"/>
            </w:tcBorders>
            <w:shd w:val="clear" w:color="000000" w:fill="FFFFFF"/>
            <w:noWrap/>
            <w:vAlign w:val="bottom"/>
            <w:hideMark/>
          </w:tcPr>
          <w:p w14:paraId="45B0F19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-0.05</w:t>
            </w:r>
          </w:p>
        </w:tc>
        <w:tc>
          <w:tcPr>
            <w:tcW w:w="1183" w:type="dxa"/>
            <w:tcBorders>
              <w:top w:val="nil"/>
              <w:left w:val="nil"/>
              <w:bottom w:val="nil"/>
              <w:right w:val="nil"/>
            </w:tcBorders>
            <w:shd w:val="clear" w:color="000000" w:fill="FFFFFF"/>
            <w:noWrap/>
            <w:vAlign w:val="bottom"/>
            <w:hideMark/>
          </w:tcPr>
          <w:p w14:paraId="3031569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-0.08</w:t>
            </w:r>
          </w:p>
        </w:tc>
      </w:tr>
      <w:tr w:rsidR="00765F47" w:rsidRPr="00086601" w14:paraId="0B70F431" w14:textId="77777777" w:rsidTr="00765F47">
        <w:trPr>
          <w:trHeight w:val="285"/>
        </w:trPr>
        <w:tc>
          <w:tcPr>
            <w:tcW w:w="716" w:type="dxa"/>
            <w:tcBorders>
              <w:top w:val="nil"/>
              <w:left w:val="nil"/>
              <w:bottom w:val="nil"/>
              <w:right w:val="nil"/>
            </w:tcBorders>
            <w:shd w:val="clear" w:color="000000" w:fill="FFFFFF"/>
            <w:noWrap/>
            <w:vAlign w:val="bottom"/>
            <w:hideMark/>
          </w:tcPr>
          <w:p w14:paraId="2E719080"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2016</w:t>
            </w:r>
          </w:p>
        </w:tc>
        <w:tc>
          <w:tcPr>
            <w:tcW w:w="1412" w:type="dxa"/>
            <w:tcBorders>
              <w:top w:val="nil"/>
              <w:left w:val="nil"/>
              <w:bottom w:val="nil"/>
              <w:right w:val="nil"/>
            </w:tcBorders>
            <w:shd w:val="clear" w:color="000000" w:fill="FFFFFF"/>
            <w:noWrap/>
            <w:vAlign w:val="bottom"/>
            <w:hideMark/>
          </w:tcPr>
          <w:p w14:paraId="55C157B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56</w:t>
            </w:r>
          </w:p>
        </w:tc>
        <w:tc>
          <w:tcPr>
            <w:tcW w:w="1055" w:type="dxa"/>
            <w:tcBorders>
              <w:top w:val="nil"/>
              <w:left w:val="nil"/>
              <w:bottom w:val="nil"/>
              <w:right w:val="nil"/>
            </w:tcBorders>
            <w:shd w:val="clear" w:color="000000" w:fill="FFFFFF"/>
            <w:noWrap/>
            <w:vAlign w:val="bottom"/>
            <w:hideMark/>
          </w:tcPr>
          <w:p w14:paraId="754FD44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5.95</w:t>
            </w:r>
          </w:p>
        </w:tc>
        <w:tc>
          <w:tcPr>
            <w:tcW w:w="769" w:type="dxa"/>
            <w:tcBorders>
              <w:top w:val="nil"/>
              <w:left w:val="nil"/>
              <w:bottom w:val="nil"/>
              <w:right w:val="nil"/>
            </w:tcBorders>
            <w:shd w:val="clear" w:color="000000" w:fill="FFFFFF"/>
            <w:noWrap/>
            <w:vAlign w:val="bottom"/>
            <w:hideMark/>
          </w:tcPr>
          <w:p w14:paraId="1290D50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45.54</w:t>
            </w:r>
          </w:p>
        </w:tc>
        <w:tc>
          <w:tcPr>
            <w:tcW w:w="985" w:type="dxa"/>
            <w:tcBorders>
              <w:top w:val="nil"/>
              <w:left w:val="nil"/>
              <w:bottom w:val="nil"/>
              <w:right w:val="nil"/>
            </w:tcBorders>
            <w:shd w:val="clear" w:color="000000" w:fill="FFFFFF"/>
            <w:noWrap/>
            <w:vAlign w:val="bottom"/>
            <w:hideMark/>
          </w:tcPr>
          <w:p w14:paraId="594A6BC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0.00</w:t>
            </w:r>
          </w:p>
        </w:tc>
        <w:tc>
          <w:tcPr>
            <w:tcW w:w="1183" w:type="dxa"/>
            <w:tcBorders>
              <w:top w:val="nil"/>
              <w:left w:val="nil"/>
              <w:bottom w:val="nil"/>
              <w:right w:val="nil"/>
            </w:tcBorders>
            <w:shd w:val="clear" w:color="000000" w:fill="FFFFFF"/>
            <w:noWrap/>
            <w:vAlign w:val="bottom"/>
            <w:hideMark/>
          </w:tcPr>
          <w:p w14:paraId="171493A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0.14</w:t>
            </w:r>
          </w:p>
        </w:tc>
      </w:tr>
      <w:tr w:rsidR="00765F47" w:rsidRPr="00086601" w14:paraId="46350694" w14:textId="77777777" w:rsidTr="00765F47">
        <w:trPr>
          <w:trHeight w:val="285"/>
        </w:trPr>
        <w:tc>
          <w:tcPr>
            <w:tcW w:w="716" w:type="dxa"/>
            <w:tcBorders>
              <w:top w:val="nil"/>
              <w:left w:val="nil"/>
              <w:bottom w:val="nil"/>
              <w:right w:val="nil"/>
            </w:tcBorders>
            <w:shd w:val="clear" w:color="000000" w:fill="FFFFFF"/>
            <w:noWrap/>
            <w:vAlign w:val="bottom"/>
            <w:hideMark/>
          </w:tcPr>
          <w:p w14:paraId="0754A7B6"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2017</w:t>
            </w:r>
          </w:p>
        </w:tc>
        <w:tc>
          <w:tcPr>
            <w:tcW w:w="1412" w:type="dxa"/>
            <w:tcBorders>
              <w:top w:val="nil"/>
              <w:left w:val="nil"/>
              <w:bottom w:val="nil"/>
              <w:right w:val="nil"/>
            </w:tcBorders>
            <w:shd w:val="clear" w:color="000000" w:fill="FFFFFF"/>
            <w:noWrap/>
            <w:vAlign w:val="bottom"/>
            <w:hideMark/>
          </w:tcPr>
          <w:p w14:paraId="55B2B58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56</w:t>
            </w:r>
          </w:p>
        </w:tc>
        <w:tc>
          <w:tcPr>
            <w:tcW w:w="1055" w:type="dxa"/>
            <w:tcBorders>
              <w:top w:val="nil"/>
              <w:left w:val="nil"/>
              <w:bottom w:val="nil"/>
              <w:right w:val="nil"/>
            </w:tcBorders>
            <w:shd w:val="clear" w:color="000000" w:fill="FFFFFF"/>
            <w:noWrap/>
            <w:vAlign w:val="bottom"/>
            <w:hideMark/>
          </w:tcPr>
          <w:p w14:paraId="43EACFA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5.95</w:t>
            </w:r>
          </w:p>
        </w:tc>
        <w:tc>
          <w:tcPr>
            <w:tcW w:w="769" w:type="dxa"/>
            <w:tcBorders>
              <w:top w:val="nil"/>
              <w:left w:val="nil"/>
              <w:bottom w:val="nil"/>
              <w:right w:val="nil"/>
            </w:tcBorders>
            <w:shd w:val="clear" w:color="000000" w:fill="FFFFFF"/>
            <w:noWrap/>
            <w:vAlign w:val="bottom"/>
            <w:hideMark/>
          </w:tcPr>
          <w:p w14:paraId="222D7B8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45.54</w:t>
            </w:r>
          </w:p>
        </w:tc>
        <w:tc>
          <w:tcPr>
            <w:tcW w:w="985" w:type="dxa"/>
            <w:tcBorders>
              <w:top w:val="nil"/>
              <w:left w:val="nil"/>
              <w:bottom w:val="nil"/>
              <w:right w:val="nil"/>
            </w:tcBorders>
            <w:shd w:val="clear" w:color="000000" w:fill="FFFFFF"/>
            <w:noWrap/>
            <w:vAlign w:val="bottom"/>
            <w:hideMark/>
          </w:tcPr>
          <w:p w14:paraId="45E8006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-0.05</w:t>
            </w:r>
          </w:p>
        </w:tc>
        <w:tc>
          <w:tcPr>
            <w:tcW w:w="1183" w:type="dxa"/>
            <w:tcBorders>
              <w:top w:val="nil"/>
              <w:left w:val="nil"/>
              <w:bottom w:val="nil"/>
              <w:right w:val="nil"/>
            </w:tcBorders>
            <w:shd w:val="clear" w:color="000000" w:fill="FFFFFF"/>
            <w:noWrap/>
            <w:vAlign w:val="bottom"/>
            <w:hideMark/>
          </w:tcPr>
          <w:p w14:paraId="7063F82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-0.23</w:t>
            </w:r>
          </w:p>
        </w:tc>
      </w:tr>
      <w:tr w:rsidR="00765F47" w:rsidRPr="00086601" w14:paraId="457CF46B" w14:textId="77777777" w:rsidTr="00765F47">
        <w:trPr>
          <w:trHeight w:val="285"/>
        </w:trPr>
        <w:tc>
          <w:tcPr>
            <w:tcW w:w="716" w:type="dxa"/>
            <w:tcBorders>
              <w:top w:val="nil"/>
              <w:left w:val="nil"/>
              <w:bottom w:val="nil"/>
              <w:right w:val="nil"/>
            </w:tcBorders>
            <w:shd w:val="clear" w:color="000000" w:fill="FFFFFF"/>
            <w:noWrap/>
            <w:vAlign w:val="bottom"/>
            <w:hideMark/>
          </w:tcPr>
          <w:p w14:paraId="7B4A3DFE"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2018</w:t>
            </w:r>
          </w:p>
        </w:tc>
        <w:tc>
          <w:tcPr>
            <w:tcW w:w="1412" w:type="dxa"/>
            <w:tcBorders>
              <w:top w:val="nil"/>
              <w:left w:val="nil"/>
              <w:bottom w:val="nil"/>
              <w:right w:val="nil"/>
            </w:tcBorders>
            <w:shd w:val="clear" w:color="000000" w:fill="FFFFFF"/>
            <w:noWrap/>
            <w:vAlign w:val="bottom"/>
            <w:hideMark/>
          </w:tcPr>
          <w:p w14:paraId="6A393E7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56</w:t>
            </w:r>
          </w:p>
        </w:tc>
        <w:tc>
          <w:tcPr>
            <w:tcW w:w="1055" w:type="dxa"/>
            <w:tcBorders>
              <w:top w:val="nil"/>
              <w:left w:val="nil"/>
              <w:bottom w:val="nil"/>
              <w:right w:val="nil"/>
            </w:tcBorders>
            <w:shd w:val="clear" w:color="000000" w:fill="FFFFFF"/>
            <w:noWrap/>
            <w:vAlign w:val="bottom"/>
            <w:hideMark/>
          </w:tcPr>
          <w:p w14:paraId="311F667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5.95</w:t>
            </w:r>
          </w:p>
        </w:tc>
        <w:tc>
          <w:tcPr>
            <w:tcW w:w="769" w:type="dxa"/>
            <w:tcBorders>
              <w:top w:val="nil"/>
              <w:left w:val="nil"/>
              <w:bottom w:val="nil"/>
              <w:right w:val="nil"/>
            </w:tcBorders>
            <w:shd w:val="clear" w:color="000000" w:fill="FFFFFF"/>
            <w:noWrap/>
            <w:vAlign w:val="bottom"/>
            <w:hideMark/>
          </w:tcPr>
          <w:p w14:paraId="1CAB361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45.54</w:t>
            </w:r>
          </w:p>
        </w:tc>
        <w:tc>
          <w:tcPr>
            <w:tcW w:w="985" w:type="dxa"/>
            <w:tcBorders>
              <w:top w:val="nil"/>
              <w:left w:val="nil"/>
              <w:bottom w:val="nil"/>
              <w:right w:val="nil"/>
            </w:tcBorders>
            <w:shd w:val="clear" w:color="000000" w:fill="FFFFFF"/>
            <w:noWrap/>
            <w:vAlign w:val="bottom"/>
            <w:hideMark/>
          </w:tcPr>
          <w:p w14:paraId="6F467C5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0.02</w:t>
            </w:r>
          </w:p>
        </w:tc>
        <w:tc>
          <w:tcPr>
            <w:tcW w:w="1183" w:type="dxa"/>
            <w:tcBorders>
              <w:top w:val="nil"/>
              <w:left w:val="nil"/>
              <w:bottom w:val="nil"/>
              <w:right w:val="nil"/>
            </w:tcBorders>
            <w:shd w:val="clear" w:color="000000" w:fill="FFFFFF"/>
            <w:noWrap/>
            <w:vAlign w:val="bottom"/>
            <w:hideMark/>
          </w:tcPr>
          <w:p w14:paraId="7E1D4F6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0.18</w:t>
            </w:r>
          </w:p>
        </w:tc>
      </w:tr>
      <w:tr w:rsidR="00765F47" w:rsidRPr="00086601" w14:paraId="18D62E4C" w14:textId="77777777" w:rsidTr="00765F47">
        <w:trPr>
          <w:trHeight w:val="285"/>
        </w:trPr>
        <w:tc>
          <w:tcPr>
            <w:tcW w:w="716" w:type="dxa"/>
            <w:tcBorders>
              <w:top w:val="nil"/>
              <w:left w:val="nil"/>
              <w:bottom w:val="nil"/>
              <w:right w:val="nil"/>
            </w:tcBorders>
            <w:shd w:val="clear" w:color="000000" w:fill="FFFFFF"/>
            <w:noWrap/>
            <w:vAlign w:val="bottom"/>
            <w:hideMark/>
          </w:tcPr>
          <w:p w14:paraId="65B99565"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2019</w:t>
            </w:r>
          </w:p>
        </w:tc>
        <w:tc>
          <w:tcPr>
            <w:tcW w:w="1412" w:type="dxa"/>
            <w:tcBorders>
              <w:top w:val="nil"/>
              <w:left w:val="nil"/>
              <w:bottom w:val="nil"/>
              <w:right w:val="nil"/>
            </w:tcBorders>
            <w:shd w:val="clear" w:color="000000" w:fill="FFFFFF"/>
            <w:noWrap/>
            <w:vAlign w:val="bottom"/>
            <w:hideMark/>
          </w:tcPr>
          <w:p w14:paraId="1BA52C7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57</w:t>
            </w:r>
          </w:p>
        </w:tc>
        <w:tc>
          <w:tcPr>
            <w:tcW w:w="1055" w:type="dxa"/>
            <w:tcBorders>
              <w:top w:val="nil"/>
              <w:left w:val="nil"/>
              <w:bottom w:val="nil"/>
              <w:right w:val="nil"/>
            </w:tcBorders>
            <w:shd w:val="clear" w:color="000000" w:fill="FFFFFF"/>
            <w:noWrap/>
            <w:vAlign w:val="bottom"/>
            <w:hideMark/>
          </w:tcPr>
          <w:p w14:paraId="2AA6C25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6.06</w:t>
            </w:r>
          </w:p>
        </w:tc>
        <w:tc>
          <w:tcPr>
            <w:tcW w:w="769" w:type="dxa"/>
            <w:tcBorders>
              <w:top w:val="nil"/>
              <w:left w:val="nil"/>
              <w:bottom w:val="nil"/>
              <w:right w:val="nil"/>
            </w:tcBorders>
            <w:shd w:val="clear" w:color="000000" w:fill="FFFFFF"/>
            <w:noWrap/>
            <w:vAlign w:val="bottom"/>
            <w:hideMark/>
          </w:tcPr>
          <w:p w14:paraId="5A7A74E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45.40</w:t>
            </w:r>
          </w:p>
        </w:tc>
        <w:tc>
          <w:tcPr>
            <w:tcW w:w="985" w:type="dxa"/>
            <w:tcBorders>
              <w:top w:val="nil"/>
              <w:left w:val="nil"/>
              <w:bottom w:val="nil"/>
              <w:right w:val="nil"/>
            </w:tcBorders>
            <w:shd w:val="clear" w:color="000000" w:fill="FFFFFF"/>
            <w:noWrap/>
            <w:vAlign w:val="bottom"/>
            <w:hideMark/>
          </w:tcPr>
          <w:p w14:paraId="26E3679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0.05</w:t>
            </w:r>
          </w:p>
        </w:tc>
        <w:tc>
          <w:tcPr>
            <w:tcW w:w="1183" w:type="dxa"/>
            <w:tcBorders>
              <w:top w:val="nil"/>
              <w:left w:val="nil"/>
              <w:bottom w:val="nil"/>
              <w:right w:val="nil"/>
            </w:tcBorders>
            <w:shd w:val="clear" w:color="000000" w:fill="FFFFFF"/>
            <w:noWrap/>
            <w:vAlign w:val="bottom"/>
            <w:hideMark/>
          </w:tcPr>
          <w:p w14:paraId="7D0A8D2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0.28</w:t>
            </w:r>
          </w:p>
        </w:tc>
      </w:tr>
      <w:tr w:rsidR="00765F47" w:rsidRPr="00086601" w14:paraId="055FB7E1" w14:textId="77777777" w:rsidTr="00765F47">
        <w:trPr>
          <w:trHeight w:val="285"/>
        </w:trPr>
        <w:tc>
          <w:tcPr>
            <w:tcW w:w="716" w:type="dxa"/>
            <w:tcBorders>
              <w:top w:val="single" w:sz="4" w:space="0" w:color="auto"/>
              <w:left w:val="nil"/>
              <w:bottom w:val="single" w:sz="4" w:space="0" w:color="auto"/>
              <w:right w:val="nil"/>
            </w:tcBorders>
            <w:shd w:val="clear" w:color="000000" w:fill="FFFFFF"/>
            <w:noWrap/>
            <w:vAlign w:val="bottom"/>
            <w:hideMark/>
          </w:tcPr>
          <w:p w14:paraId="6BBAC956" w14:textId="77777777" w:rsidR="00765F47" w:rsidRPr="00086601" w:rsidRDefault="00765F47" w:rsidP="00765F47">
            <w:pPr>
              <w:spacing w:after="0" w:line="240" w:lineRule="auto"/>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Total</w:t>
            </w:r>
          </w:p>
        </w:tc>
        <w:tc>
          <w:tcPr>
            <w:tcW w:w="1412" w:type="dxa"/>
            <w:tcBorders>
              <w:top w:val="single" w:sz="4" w:space="0" w:color="auto"/>
              <w:left w:val="nil"/>
              <w:bottom w:val="single" w:sz="4" w:space="0" w:color="auto"/>
              <w:right w:val="nil"/>
            </w:tcBorders>
            <w:shd w:val="clear" w:color="000000" w:fill="FFFFFF"/>
            <w:noWrap/>
            <w:vAlign w:val="bottom"/>
            <w:hideMark/>
          </w:tcPr>
          <w:p w14:paraId="77CADD21" w14:textId="77777777" w:rsidR="00765F47" w:rsidRPr="00086601" w:rsidRDefault="00765F47" w:rsidP="00765F47">
            <w:pPr>
              <w:spacing w:after="0" w:line="240" w:lineRule="auto"/>
              <w:jc w:val="right"/>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941</w:t>
            </w:r>
          </w:p>
        </w:tc>
        <w:tc>
          <w:tcPr>
            <w:tcW w:w="1055" w:type="dxa"/>
            <w:tcBorders>
              <w:top w:val="single" w:sz="4" w:space="0" w:color="auto"/>
              <w:left w:val="nil"/>
              <w:bottom w:val="single" w:sz="4" w:space="0" w:color="auto"/>
              <w:right w:val="nil"/>
            </w:tcBorders>
            <w:shd w:val="clear" w:color="000000" w:fill="FFFFFF"/>
            <w:noWrap/>
            <w:vAlign w:val="bottom"/>
            <w:hideMark/>
          </w:tcPr>
          <w:p w14:paraId="3C92229D" w14:textId="77777777" w:rsidR="00765F47" w:rsidRPr="00086601" w:rsidRDefault="00765F47" w:rsidP="00765F47">
            <w:pPr>
              <w:spacing w:after="0" w:line="240" w:lineRule="auto"/>
              <w:jc w:val="right"/>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100.01</w:t>
            </w:r>
          </w:p>
        </w:tc>
        <w:tc>
          <w:tcPr>
            <w:tcW w:w="769" w:type="dxa"/>
            <w:tcBorders>
              <w:top w:val="single" w:sz="4" w:space="0" w:color="auto"/>
              <w:left w:val="nil"/>
              <w:bottom w:val="single" w:sz="4" w:space="0" w:color="auto"/>
              <w:right w:val="nil"/>
            </w:tcBorders>
            <w:shd w:val="clear" w:color="000000" w:fill="FFFFFF"/>
            <w:noWrap/>
            <w:vAlign w:val="bottom"/>
            <w:hideMark/>
          </w:tcPr>
          <w:p w14:paraId="4D46C2F7" w14:textId="77777777" w:rsidR="00765F47" w:rsidRPr="00086601" w:rsidRDefault="00765F47" w:rsidP="00765F47">
            <w:pPr>
              <w:spacing w:after="0" w:line="240" w:lineRule="auto"/>
              <w:jc w:val="right"/>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47.18</w:t>
            </w:r>
          </w:p>
        </w:tc>
        <w:tc>
          <w:tcPr>
            <w:tcW w:w="985" w:type="dxa"/>
            <w:tcBorders>
              <w:top w:val="single" w:sz="4" w:space="0" w:color="auto"/>
              <w:left w:val="nil"/>
              <w:bottom w:val="single" w:sz="4" w:space="0" w:color="auto"/>
              <w:right w:val="nil"/>
            </w:tcBorders>
            <w:shd w:val="clear" w:color="000000" w:fill="FFFFFF"/>
            <w:noWrap/>
            <w:vAlign w:val="bottom"/>
            <w:hideMark/>
          </w:tcPr>
          <w:p w14:paraId="2EB26715" w14:textId="77777777" w:rsidR="00765F47" w:rsidRPr="00086601" w:rsidRDefault="00765F47" w:rsidP="00765F47">
            <w:pPr>
              <w:spacing w:after="0" w:line="240" w:lineRule="auto"/>
              <w:jc w:val="right"/>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0.02</w:t>
            </w:r>
          </w:p>
        </w:tc>
        <w:tc>
          <w:tcPr>
            <w:tcW w:w="1183" w:type="dxa"/>
            <w:tcBorders>
              <w:top w:val="single" w:sz="4" w:space="0" w:color="auto"/>
              <w:left w:val="nil"/>
              <w:bottom w:val="single" w:sz="4" w:space="0" w:color="auto"/>
              <w:right w:val="nil"/>
            </w:tcBorders>
            <w:shd w:val="clear" w:color="000000" w:fill="FFFFFF"/>
            <w:noWrap/>
            <w:vAlign w:val="bottom"/>
            <w:hideMark/>
          </w:tcPr>
          <w:p w14:paraId="0D2952F2" w14:textId="77777777" w:rsidR="00765F47" w:rsidRPr="00086601" w:rsidRDefault="00765F47" w:rsidP="00765F47">
            <w:pPr>
              <w:spacing w:after="0" w:line="240" w:lineRule="auto"/>
              <w:jc w:val="right"/>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0.10</w:t>
            </w:r>
          </w:p>
        </w:tc>
      </w:tr>
    </w:tbl>
    <w:p w14:paraId="73501D82" w14:textId="77777777" w:rsidR="00FA42BB" w:rsidRPr="00086601" w:rsidRDefault="00FA42BB" w:rsidP="00765F47">
      <w:pPr>
        <w:spacing w:line="480" w:lineRule="auto"/>
        <w:jc w:val="both"/>
        <w:rPr>
          <w:rFonts w:ascii="Garamond" w:eastAsiaTheme="minorEastAsia" w:hAnsi="Garamond"/>
          <w:sz w:val="24"/>
          <w:szCs w:val="24"/>
        </w:rPr>
      </w:pPr>
    </w:p>
    <w:p w14:paraId="5694882D" w14:textId="3CAA7B7C" w:rsidR="00FA42BB" w:rsidRPr="00086601" w:rsidRDefault="00FA42BB" w:rsidP="00765F47">
      <w:pPr>
        <w:spacing w:line="480" w:lineRule="auto"/>
        <w:jc w:val="both"/>
        <w:rPr>
          <w:rFonts w:ascii="Garamond" w:eastAsiaTheme="minorEastAsia" w:hAnsi="Garamond"/>
          <w:b/>
          <w:bCs/>
          <w:sz w:val="24"/>
          <w:szCs w:val="24"/>
        </w:rPr>
      </w:pPr>
      <w:r w:rsidRPr="00086601">
        <w:rPr>
          <w:rFonts w:ascii="Garamond" w:eastAsiaTheme="minorEastAsia" w:hAnsi="Garamond"/>
          <w:sz w:val="24"/>
          <w:szCs w:val="24"/>
        </w:rPr>
        <w:t>The following table shows the results from the regression model stated in the hypothesis. The table includes the coefficient and p values for the model when DUVOL or NCSKEW were used as the target value. For each respective target used in the model, the R^2 and number of observations are listed.</w:t>
      </w:r>
    </w:p>
    <w:tbl>
      <w:tblPr>
        <w:tblW w:w="5101" w:type="dxa"/>
        <w:tblLook w:val="04A0" w:firstRow="1" w:lastRow="0" w:firstColumn="1" w:lastColumn="0" w:noHBand="0" w:noVBand="1"/>
      </w:tblPr>
      <w:tblGrid>
        <w:gridCol w:w="1035"/>
        <w:gridCol w:w="882"/>
        <w:gridCol w:w="1151"/>
        <w:gridCol w:w="882"/>
        <w:gridCol w:w="1151"/>
      </w:tblGrid>
      <w:tr w:rsidR="00765F47" w:rsidRPr="00086601" w14:paraId="4C5CF745" w14:textId="77777777" w:rsidTr="00765F47">
        <w:trPr>
          <w:trHeight w:val="285"/>
        </w:trPr>
        <w:tc>
          <w:tcPr>
            <w:tcW w:w="5101" w:type="dxa"/>
            <w:gridSpan w:val="5"/>
            <w:tcBorders>
              <w:top w:val="nil"/>
              <w:left w:val="nil"/>
              <w:bottom w:val="single" w:sz="4" w:space="0" w:color="auto"/>
              <w:right w:val="nil"/>
            </w:tcBorders>
            <w:shd w:val="clear" w:color="000000" w:fill="FFFFFF"/>
            <w:noWrap/>
            <w:vAlign w:val="bottom"/>
            <w:hideMark/>
          </w:tcPr>
          <w:p w14:paraId="358F0FC6" w14:textId="77777777" w:rsidR="00765F47" w:rsidRPr="00086601" w:rsidRDefault="00765F47" w:rsidP="00765F47">
            <w:pPr>
              <w:spacing w:after="0" w:line="240" w:lineRule="auto"/>
              <w:jc w:val="center"/>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Hypothesis 6</w:t>
            </w:r>
          </w:p>
        </w:tc>
      </w:tr>
      <w:tr w:rsidR="00765F47" w:rsidRPr="00086601" w14:paraId="7AC0BB64" w14:textId="77777777" w:rsidTr="00765F47">
        <w:trPr>
          <w:trHeight w:val="285"/>
        </w:trPr>
        <w:tc>
          <w:tcPr>
            <w:tcW w:w="1035" w:type="dxa"/>
            <w:tcBorders>
              <w:top w:val="nil"/>
              <w:left w:val="nil"/>
              <w:bottom w:val="nil"/>
              <w:right w:val="nil"/>
            </w:tcBorders>
            <w:shd w:val="clear" w:color="000000" w:fill="FFFFFF"/>
            <w:noWrap/>
            <w:vAlign w:val="bottom"/>
            <w:hideMark/>
          </w:tcPr>
          <w:p w14:paraId="2586F1D4"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 </w:t>
            </w:r>
          </w:p>
        </w:tc>
        <w:tc>
          <w:tcPr>
            <w:tcW w:w="4066" w:type="dxa"/>
            <w:gridSpan w:val="4"/>
            <w:tcBorders>
              <w:top w:val="nil"/>
              <w:left w:val="nil"/>
              <w:bottom w:val="single" w:sz="4" w:space="0" w:color="auto"/>
              <w:right w:val="nil"/>
            </w:tcBorders>
            <w:shd w:val="clear" w:color="000000" w:fill="FFFFFF"/>
            <w:noWrap/>
            <w:vAlign w:val="bottom"/>
            <w:hideMark/>
          </w:tcPr>
          <w:p w14:paraId="44F80ABD"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Crash Risk Measure</w:t>
            </w:r>
          </w:p>
        </w:tc>
      </w:tr>
      <w:tr w:rsidR="00765F47" w:rsidRPr="00086601" w14:paraId="4EE247FE" w14:textId="77777777" w:rsidTr="00765F47">
        <w:trPr>
          <w:trHeight w:val="285"/>
        </w:trPr>
        <w:tc>
          <w:tcPr>
            <w:tcW w:w="1035" w:type="dxa"/>
            <w:tcBorders>
              <w:top w:val="nil"/>
              <w:left w:val="nil"/>
              <w:bottom w:val="nil"/>
              <w:right w:val="nil"/>
            </w:tcBorders>
            <w:shd w:val="clear" w:color="000000" w:fill="FFFFFF"/>
            <w:noWrap/>
            <w:vAlign w:val="bottom"/>
            <w:hideMark/>
          </w:tcPr>
          <w:p w14:paraId="4EE1D726"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 </w:t>
            </w:r>
          </w:p>
        </w:tc>
        <w:tc>
          <w:tcPr>
            <w:tcW w:w="2033" w:type="dxa"/>
            <w:gridSpan w:val="2"/>
            <w:tcBorders>
              <w:top w:val="nil"/>
              <w:left w:val="nil"/>
              <w:bottom w:val="nil"/>
              <w:right w:val="nil"/>
            </w:tcBorders>
            <w:shd w:val="clear" w:color="000000" w:fill="FFFFFF"/>
            <w:noWrap/>
            <w:vAlign w:val="bottom"/>
            <w:hideMark/>
          </w:tcPr>
          <w:p w14:paraId="4907B554"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DUVOL</w:t>
            </w:r>
          </w:p>
        </w:tc>
        <w:tc>
          <w:tcPr>
            <w:tcW w:w="2033" w:type="dxa"/>
            <w:gridSpan w:val="2"/>
            <w:tcBorders>
              <w:top w:val="nil"/>
              <w:left w:val="nil"/>
              <w:bottom w:val="nil"/>
              <w:right w:val="nil"/>
            </w:tcBorders>
            <w:shd w:val="clear" w:color="000000" w:fill="FFFFFF"/>
            <w:noWrap/>
            <w:vAlign w:val="bottom"/>
            <w:hideMark/>
          </w:tcPr>
          <w:p w14:paraId="47C44044"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NCSKEW</w:t>
            </w:r>
          </w:p>
        </w:tc>
      </w:tr>
      <w:tr w:rsidR="00765F47" w:rsidRPr="00086601" w14:paraId="61F2BA91" w14:textId="77777777" w:rsidTr="00765F47">
        <w:trPr>
          <w:trHeight w:val="285"/>
        </w:trPr>
        <w:tc>
          <w:tcPr>
            <w:tcW w:w="1035" w:type="dxa"/>
            <w:tcBorders>
              <w:top w:val="single" w:sz="4" w:space="0" w:color="auto"/>
              <w:left w:val="nil"/>
              <w:bottom w:val="single" w:sz="4" w:space="0" w:color="auto"/>
              <w:right w:val="nil"/>
            </w:tcBorders>
            <w:shd w:val="clear" w:color="000000" w:fill="FFFFFF"/>
            <w:noWrap/>
            <w:vAlign w:val="bottom"/>
            <w:hideMark/>
          </w:tcPr>
          <w:p w14:paraId="59F0CC90" w14:textId="77777777" w:rsidR="00765F47" w:rsidRPr="00086601" w:rsidRDefault="00765F47" w:rsidP="00765F47">
            <w:pPr>
              <w:spacing w:after="0" w:line="240" w:lineRule="auto"/>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Model</w:t>
            </w:r>
          </w:p>
        </w:tc>
        <w:tc>
          <w:tcPr>
            <w:tcW w:w="882" w:type="dxa"/>
            <w:tcBorders>
              <w:top w:val="single" w:sz="4" w:space="0" w:color="auto"/>
              <w:left w:val="nil"/>
              <w:bottom w:val="single" w:sz="4" w:space="0" w:color="auto"/>
              <w:right w:val="nil"/>
            </w:tcBorders>
            <w:shd w:val="clear" w:color="000000" w:fill="FFFFFF"/>
            <w:noWrap/>
            <w:vAlign w:val="bottom"/>
            <w:hideMark/>
          </w:tcPr>
          <w:p w14:paraId="05E4A2BB"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proofErr w:type="spellStart"/>
            <w:r w:rsidRPr="00086601">
              <w:rPr>
                <w:rFonts w:ascii="Garamond" w:eastAsia="Times New Roman" w:hAnsi="Garamond" w:cs="Calibri"/>
                <w:b/>
                <w:bCs/>
                <w:color w:val="000000"/>
                <w:sz w:val="24"/>
                <w:szCs w:val="24"/>
              </w:rPr>
              <w:t>Coef</w:t>
            </w:r>
            <w:proofErr w:type="spellEnd"/>
          </w:p>
        </w:tc>
        <w:tc>
          <w:tcPr>
            <w:tcW w:w="1151" w:type="dxa"/>
            <w:tcBorders>
              <w:top w:val="single" w:sz="4" w:space="0" w:color="auto"/>
              <w:left w:val="nil"/>
              <w:bottom w:val="single" w:sz="4" w:space="0" w:color="auto"/>
              <w:right w:val="nil"/>
            </w:tcBorders>
            <w:shd w:val="clear" w:color="000000" w:fill="FFFFFF"/>
            <w:noWrap/>
            <w:vAlign w:val="bottom"/>
            <w:hideMark/>
          </w:tcPr>
          <w:p w14:paraId="2F43A16C"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p value</w:t>
            </w:r>
          </w:p>
        </w:tc>
        <w:tc>
          <w:tcPr>
            <w:tcW w:w="882" w:type="dxa"/>
            <w:tcBorders>
              <w:top w:val="single" w:sz="4" w:space="0" w:color="auto"/>
              <w:left w:val="nil"/>
              <w:bottom w:val="single" w:sz="4" w:space="0" w:color="auto"/>
              <w:right w:val="nil"/>
            </w:tcBorders>
            <w:shd w:val="clear" w:color="000000" w:fill="FFFFFF"/>
            <w:noWrap/>
            <w:vAlign w:val="bottom"/>
            <w:hideMark/>
          </w:tcPr>
          <w:p w14:paraId="50947CA2"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proofErr w:type="spellStart"/>
            <w:r w:rsidRPr="00086601">
              <w:rPr>
                <w:rFonts w:ascii="Garamond" w:eastAsia="Times New Roman" w:hAnsi="Garamond" w:cs="Calibri"/>
                <w:b/>
                <w:bCs/>
                <w:color w:val="000000"/>
                <w:sz w:val="24"/>
                <w:szCs w:val="24"/>
              </w:rPr>
              <w:t>Coef</w:t>
            </w:r>
            <w:proofErr w:type="spellEnd"/>
          </w:p>
        </w:tc>
        <w:tc>
          <w:tcPr>
            <w:tcW w:w="1151" w:type="dxa"/>
            <w:tcBorders>
              <w:top w:val="single" w:sz="4" w:space="0" w:color="auto"/>
              <w:left w:val="nil"/>
              <w:bottom w:val="single" w:sz="4" w:space="0" w:color="auto"/>
              <w:right w:val="nil"/>
            </w:tcBorders>
            <w:shd w:val="clear" w:color="000000" w:fill="FFFFFF"/>
            <w:noWrap/>
            <w:vAlign w:val="bottom"/>
            <w:hideMark/>
          </w:tcPr>
          <w:p w14:paraId="6B7E28DE"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p value</w:t>
            </w:r>
          </w:p>
        </w:tc>
      </w:tr>
      <w:tr w:rsidR="00765F47" w:rsidRPr="00086601" w14:paraId="0F21B0A6" w14:textId="77777777" w:rsidTr="00765F47">
        <w:trPr>
          <w:trHeight w:val="285"/>
        </w:trPr>
        <w:tc>
          <w:tcPr>
            <w:tcW w:w="1035" w:type="dxa"/>
            <w:tcBorders>
              <w:top w:val="nil"/>
              <w:left w:val="nil"/>
              <w:bottom w:val="nil"/>
              <w:right w:val="nil"/>
            </w:tcBorders>
            <w:shd w:val="clear" w:color="000000" w:fill="FFFFFF"/>
            <w:noWrap/>
            <w:vAlign w:val="bottom"/>
            <w:hideMark/>
          </w:tcPr>
          <w:p w14:paraId="37EC3880"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const</w:t>
            </w:r>
          </w:p>
        </w:tc>
        <w:tc>
          <w:tcPr>
            <w:tcW w:w="882" w:type="dxa"/>
            <w:tcBorders>
              <w:top w:val="nil"/>
              <w:left w:val="nil"/>
              <w:bottom w:val="nil"/>
              <w:right w:val="nil"/>
            </w:tcBorders>
            <w:shd w:val="clear" w:color="000000" w:fill="FFFFFF"/>
            <w:noWrap/>
            <w:vAlign w:val="bottom"/>
            <w:hideMark/>
          </w:tcPr>
          <w:p w14:paraId="7C40489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0.021</w:t>
            </w:r>
          </w:p>
        </w:tc>
        <w:tc>
          <w:tcPr>
            <w:tcW w:w="1151" w:type="dxa"/>
            <w:tcBorders>
              <w:top w:val="nil"/>
              <w:left w:val="nil"/>
              <w:bottom w:val="nil"/>
              <w:right w:val="nil"/>
            </w:tcBorders>
            <w:shd w:val="clear" w:color="000000" w:fill="FFFFFF"/>
            <w:noWrap/>
            <w:vAlign w:val="bottom"/>
            <w:hideMark/>
          </w:tcPr>
          <w:p w14:paraId="492D844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0.231</w:t>
            </w:r>
          </w:p>
        </w:tc>
        <w:tc>
          <w:tcPr>
            <w:tcW w:w="882" w:type="dxa"/>
            <w:tcBorders>
              <w:top w:val="nil"/>
              <w:left w:val="nil"/>
              <w:bottom w:val="nil"/>
              <w:right w:val="nil"/>
            </w:tcBorders>
            <w:shd w:val="clear" w:color="000000" w:fill="FFFFFF"/>
            <w:noWrap/>
            <w:vAlign w:val="bottom"/>
            <w:hideMark/>
          </w:tcPr>
          <w:p w14:paraId="72384CE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0.095</w:t>
            </w:r>
          </w:p>
        </w:tc>
        <w:tc>
          <w:tcPr>
            <w:tcW w:w="1151" w:type="dxa"/>
            <w:tcBorders>
              <w:top w:val="nil"/>
              <w:left w:val="nil"/>
              <w:bottom w:val="nil"/>
              <w:right w:val="nil"/>
            </w:tcBorders>
            <w:shd w:val="clear" w:color="000000" w:fill="FFFFFF"/>
            <w:noWrap/>
            <w:vAlign w:val="bottom"/>
            <w:hideMark/>
          </w:tcPr>
          <w:p w14:paraId="74EBA4E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0.153</w:t>
            </w:r>
          </w:p>
        </w:tc>
      </w:tr>
      <w:tr w:rsidR="00765F47" w:rsidRPr="00086601" w14:paraId="29535547" w14:textId="77777777" w:rsidTr="00765F47">
        <w:trPr>
          <w:trHeight w:val="285"/>
        </w:trPr>
        <w:tc>
          <w:tcPr>
            <w:tcW w:w="1035" w:type="dxa"/>
            <w:tcBorders>
              <w:top w:val="nil"/>
              <w:left w:val="nil"/>
              <w:bottom w:val="nil"/>
              <w:right w:val="nil"/>
            </w:tcBorders>
            <w:shd w:val="clear" w:color="000000" w:fill="FFFFFF"/>
            <w:noWrap/>
            <w:vAlign w:val="bottom"/>
            <w:hideMark/>
          </w:tcPr>
          <w:p w14:paraId="1A82807C"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IVR</w:t>
            </w:r>
          </w:p>
        </w:tc>
        <w:tc>
          <w:tcPr>
            <w:tcW w:w="882" w:type="dxa"/>
            <w:tcBorders>
              <w:top w:val="nil"/>
              <w:left w:val="nil"/>
              <w:bottom w:val="nil"/>
              <w:right w:val="nil"/>
            </w:tcBorders>
            <w:shd w:val="clear" w:color="000000" w:fill="FFFFFF"/>
            <w:noWrap/>
            <w:vAlign w:val="bottom"/>
            <w:hideMark/>
          </w:tcPr>
          <w:p w14:paraId="1B87E70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0.000</w:t>
            </w:r>
          </w:p>
        </w:tc>
        <w:tc>
          <w:tcPr>
            <w:tcW w:w="1151" w:type="dxa"/>
            <w:tcBorders>
              <w:top w:val="nil"/>
              <w:left w:val="nil"/>
              <w:bottom w:val="nil"/>
              <w:right w:val="nil"/>
            </w:tcBorders>
            <w:shd w:val="clear" w:color="000000" w:fill="FFFFFF"/>
            <w:noWrap/>
            <w:vAlign w:val="bottom"/>
            <w:hideMark/>
          </w:tcPr>
          <w:p w14:paraId="47B679B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0.953</w:t>
            </w:r>
          </w:p>
        </w:tc>
        <w:tc>
          <w:tcPr>
            <w:tcW w:w="882" w:type="dxa"/>
            <w:tcBorders>
              <w:top w:val="nil"/>
              <w:left w:val="nil"/>
              <w:bottom w:val="nil"/>
              <w:right w:val="nil"/>
            </w:tcBorders>
            <w:shd w:val="clear" w:color="000000" w:fill="FFFFFF"/>
            <w:noWrap/>
            <w:vAlign w:val="bottom"/>
            <w:hideMark/>
          </w:tcPr>
          <w:p w14:paraId="3E68459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0.000</w:t>
            </w:r>
          </w:p>
        </w:tc>
        <w:tc>
          <w:tcPr>
            <w:tcW w:w="1151" w:type="dxa"/>
            <w:tcBorders>
              <w:top w:val="nil"/>
              <w:left w:val="nil"/>
              <w:bottom w:val="nil"/>
              <w:right w:val="nil"/>
            </w:tcBorders>
            <w:shd w:val="clear" w:color="000000" w:fill="FFFFFF"/>
            <w:noWrap/>
            <w:vAlign w:val="bottom"/>
            <w:hideMark/>
          </w:tcPr>
          <w:p w14:paraId="414258B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0.876</w:t>
            </w:r>
          </w:p>
        </w:tc>
      </w:tr>
      <w:tr w:rsidR="00765F47" w:rsidRPr="00086601" w14:paraId="36DE3D5F" w14:textId="77777777" w:rsidTr="00765F47">
        <w:trPr>
          <w:trHeight w:val="285"/>
        </w:trPr>
        <w:tc>
          <w:tcPr>
            <w:tcW w:w="1035" w:type="dxa"/>
            <w:tcBorders>
              <w:top w:val="nil"/>
              <w:left w:val="nil"/>
              <w:bottom w:val="nil"/>
              <w:right w:val="nil"/>
            </w:tcBorders>
            <w:shd w:val="clear" w:color="000000" w:fill="FFFFFF"/>
            <w:noWrap/>
            <w:vAlign w:val="bottom"/>
            <w:hideMark/>
          </w:tcPr>
          <w:p w14:paraId="7CFB5FFA" w14:textId="77777777" w:rsidR="00765F47" w:rsidRPr="00086601" w:rsidRDefault="00765F47" w:rsidP="00765F47">
            <w:pPr>
              <w:spacing w:after="0" w:line="240" w:lineRule="auto"/>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R^2</w:t>
            </w:r>
          </w:p>
        </w:tc>
        <w:tc>
          <w:tcPr>
            <w:tcW w:w="882" w:type="dxa"/>
            <w:tcBorders>
              <w:top w:val="nil"/>
              <w:left w:val="nil"/>
              <w:bottom w:val="nil"/>
              <w:right w:val="nil"/>
            </w:tcBorders>
            <w:shd w:val="clear" w:color="000000" w:fill="FFFFFF"/>
            <w:noWrap/>
            <w:vAlign w:val="bottom"/>
            <w:hideMark/>
          </w:tcPr>
          <w:p w14:paraId="529DFC32" w14:textId="77777777" w:rsidR="00765F47" w:rsidRPr="00086601" w:rsidRDefault="00765F47" w:rsidP="00765F47">
            <w:pPr>
              <w:spacing w:after="0" w:line="240" w:lineRule="auto"/>
              <w:jc w:val="right"/>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0</w:t>
            </w:r>
          </w:p>
        </w:tc>
        <w:tc>
          <w:tcPr>
            <w:tcW w:w="1151" w:type="dxa"/>
            <w:tcBorders>
              <w:top w:val="nil"/>
              <w:left w:val="nil"/>
              <w:bottom w:val="nil"/>
              <w:right w:val="nil"/>
            </w:tcBorders>
            <w:shd w:val="clear" w:color="000000" w:fill="FFFFFF"/>
            <w:noWrap/>
            <w:vAlign w:val="bottom"/>
            <w:hideMark/>
          </w:tcPr>
          <w:p w14:paraId="11E0E61B" w14:textId="77777777" w:rsidR="00765F47" w:rsidRPr="00086601" w:rsidRDefault="00765F47" w:rsidP="00765F47">
            <w:pPr>
              <w:spacing w:after="0" w:line="240" w:lineRule="auto"/>
              <w:jc w:val="right"/>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 </w:t>
            </w:r>
          </w:p>
        </w:tc>
        <w:tc>
          <w:tcPr>
            <w:tcW w:w="882" w:type="dxa"/>
            <w:tcBorders>
              <w:top w:val="nil"/>
              <w:left w:val="nil"/>
              <w:bottom w:val="nil"/>
              <w:right w:val="nil"/>
            </w:tcBorders>
            <w:shd w:val="clear" w:color="000000" w:fill="FFFFFF"/>
            <w:noWrap/>
            <w:vAlign w:val="bottom"/>
            <w:hideMark/>
          </w:tcPr>
          <w:p w14:paraId="7BE84869" w14:textId="77777777" w:rsidR="00765F47" w:rsidRPr="00086601" w:rsidRDefault="00765F47" w:rsidP="00765F47">
            <w:pPr>
              <w:spacing w:after="0" w:line="240" w:lineRule="auto"/>
              <w:jc w:val="right"/>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0</w:t>
            </w:r>
          </w:p>
        </w:tc>
        <w:tc>
          <w:tcPr>
            <w:tcW w:w="1151" w:type="dxa"/>
            <w:tcBorders>
              <w:top w:val="nil"/>
              <w:left w:val="nil"/>
              <w:bottom w:val="nil"/>
              <w:right w:val="nil"/>
            </w:tcBorders>
            <w:shd w:val="clear" w:color="000000" w:fill="FFFFFF"/>
            <w:noWrap/>
            <w:vAlign w:val="bottom"/>
            <w:hideMark/>
          </w:tcPr>
          <w:p w14:paraId="192EE39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 </w:t>
            </w:r>
          </w:p>
        </w:tc>
      </w:tr>
      <w:tr w:rsidR="00765F47" w:rsidRPr="00086601" w14:paraId="5D385EA1" w14:textId="77777777" w:rsidTr="00765F47">
        <w:trPr>
          <w:trHeight w:val="285"/>
        </w:trPr>
        <w:tc>
          <w:tcPr>
            <w:tcW w:w="1035" w:type="dxa"/>
            <w:tcBorders>
              <w:top w:val="nil"/>
              <w:left w:val="nil"/>
              <w:bottom w:val="single" w:sz="4" w:space="0" w:color="auto"/>
              <w:right w:val="nil"/>
            </w:tcBorders>
            <w:shd w:val="clear" w:color="000000" w:fill="FFFFFF"/>
            <w:noWrap/>
            <w:vAlign w:val="bottom"/>
            <w:hideMark/>
          </w:tcPr>
          <w:p w14:paraId="06E548B8" w14:textId="77777777" w:rsidR="00765F47" w:rsidRPr="00086601" w:rsidRDefault="00765F47" w:rsidP="00765F47">
            <w:pPr>
              <w:spacing w:after="0" w:line="240" w:lineRule="auto"/>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n</w:t>
            </w:r>
          </w:p>
        </w:tc>
        <w:tc>
          <w:tcPr>
            <w:tcW w:w="882" w:type="dxa"/>
            <w:tcBorders>
              <w:top w:val="nil"/>
              <w:left w:val="nil"/>
              <w:bottom w:val="single" w:sz="4" w:space="0" w:color="auto"/>
              <w:right w:val="nil"/>
            </w:tcBorders>
            <w:shd w:val="clear" w:color="000000" w:fill="FFFFFF"/>
            <w:noWrap/>
            <w:vAlign w:val="bottom"/>
            <w:hideMark/>
          </w:tcPr>
          <w:p w14:paraId="25238134" w14:textId="77777777" w:rsidR="00765F47" w:rsidRPr="00086601" w:rsidRDefault="00765F47" w:rsidP="00765F47">
            <w:pPr>
              <w:spacing w:after="0" w:line="240" w:lineRule="auto"/>
              <w:jc w:val="right"/>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941</w:t>
            </w:r>
          </w:p>
        </w:tc>
        <w:tc>
          <w:tcPr>
            <w:tcW w:w="1151" w:type="dxa"/>
            <w:tcBorders>
              <w:top w:val="nil"/>
              <w:left w:val="nil"/>
              <w:bottom w:val="single" w:sz="4" w:space="0" w:color="auto"/>
              <w:right w:val="nil"/>
            </w:tcBorders>
            <w:shd w:val="clear" w:color="000000" w:fill="FFFFFF"/>
            <w:noWrap/>
            <w:vAlign w:val="bottom"/>
            <w:hideMark/>
          </w:tcPr>
          <w:p w14:paraId="5E2070DF" w14:textId="77777777" w:rsidR="00765F47" w:rsidRPr="00086601" w:rsidRDefault="00765F47" w:rsidP="00765F47">
            <w:pPr>
              <w:spacing w:after="0" w:line="240" w:lineRule="auto"/>
              <w:jc w:val="right"/>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 </w:t>
            </w:r>
          </w:p>
        </w:tc>
        <w:tc>
          <w:tcPr>
            <w:tcW w:w="882" w:type="dxa"/>
            <w:tcBorders>
              <w:top w:val="nil"/>
              <w:left w:val="nil"/>
              <w:bottom w:val="single" w:sz="4" w:space="0" w:color="auto"/>
              <w:right w:val="nil"/>
            </w:tcBorders>
            <w:shd w:val="clear" w:color="000000" w:fill="FFFFFF"/>
            <w:noWrap/>
            <w:vAlign w:val="bottom"/>
            <w:hideMark/>
          </w:tcPr>
          <w:p w14:paraId="1D96F1B5" w14:textId="77777777" w:rsidR="00765F47" w:rsidRPr="00086601" w:rsidRDefault="00765F47" w:rsidP="00765F47">
            <w:pPr>
              <w:spacing w:after="0" w:line="240" w:lineRule="auto"/>
              <w:jc w:val="right"/>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941</w:t>
            </w:r>
          </w:p>
        </w:tc>
        <w:tc>
          <w:tcPr>
            <w:tcW w:w="1151" w:type="dxa"/>
            <w:tcBorders>
              <w:top w:val="nil"/>
              <w:left w:val="nil"/>
              <w:bottom w:val="single" w:sz="4" w:space="0" w:color="auto"/>
              <w:right w:val="nil"/>
            </w:tcBorders>
            <w:shd w:val="clear" w:color="000000" w:fill="FFFFFF"/>
            <w:noWrap/>
            <w:vAlign w:val="bottom"/>
            <w:hideMark/>
          </w:tcPr>
          <w:p w14:paraId="42C3664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 </w:t>
            </w:r>
          </w:p>
        </w:tc>
      </w:tr>
    </w:tbl>
    <w:p w14:paraId="11167A03" w14:textId="3FF040AC" w:rsidR="00FA42BB" w:rsidRPr="00086601" w:rsidRDefault="00FA42BB" w:rsidP="00765F47">
      <w:pPr>
        <w:spacing w:line="480" w:lineRule="auto"/>
        <w:jc w:val="both"/>
        <w:rPr>
          <w:rFonts w:ascii="Garamond" w:eastAsiaTheme="minorEastAsia" w:hAnsi="Garamond"/>
          <w:b/>
          <w:bCs/>
          <w:sz w:val="24"/>
          <w:szCs w:val="24"/>
        </w:rPr>
      </w:pPr>
    </w:p>
    <w:p w14:paraId="2C3AACF7" w14:textId="03BBFA7C" w:rsidR="00FA42BB" w:rsidRPr="00086601" w:rsidRDefault="00FA42BB" w:rsidP="009C4E05">
      <w:pPr>
        <w:spacing w:line="480" w:lineRule="auto"/>
        <w:jc w:val="both"/>
        <w:rPr>
          <w:rFonts w:ascii="Garamond" w:eastAsiaTheme="minorEastAsia" w:hAnsi="Garamond"/>
          <w:sz w:val="24"/>
          <w:szCs w:val="24"/>
        </w:rPr>
      </w:pPr>
      <w:r w:rsidRPr="00086601">
        <w:rPr>
          <w:rFonts w:ascii="Garamond" w:eastAsiaTheme="minorEastAsia" w:hAnsi="Garamond"/>
          <w:sz w:val="24"/>
          <w:szCs w:val="24"/>
        </w:rPr>
        <w:lastRenderedPageBreak/>
        <w:t xml:space="preserve">The table above indicates insignificance across either model for all independent variables used at a 95% confidence level. In conclusion, the tendency to </w:t>
      </w:r>
      <w:r w:rsidR="009C4E05" w:rsidRPr="00086601">
        <w:rPr>
          <w:rFonts w:ascii="Garamond" w:eastAsiaTheme="minorEastAsia" w:hAnsi="Garamond"/>
          <w:sz w:val="24"/>
          <w:szCs w:val="24"/>
        </w:rPr>
        <w:t xml:space="preserve">desire more indulgent forms of satisfaction </w:t>
      </w:r>
      <w:r w:rsidRPr="00086601">
        <w:rPr>
          <w:rFonts w:ascii="Garamond" w:eastAsiaTheme="minorEastAsia" w:hAnsi="Garamond"/>
          <w:sz w:val="24"/>
          <w:szCs w:val="24"/>
        </w:rPr>
        <w:t>of a country has no significant relationship with crash risk.</w:t>
      </w:r>
      <w:r w:rsidRPr="00086601">
        <w:rPr>
          <w:rFonts w:ascii="Garamond" w:eastAsiaTheme="minorEastAsia" w:hAnsi="Garamond"/>
          <w:b/>
          <w:bCs/>
          <w:sz w:val="24"/>
          <w:szCs w:val="24"/>
        </w:rPr>
        <w:br w:type="page"/>
      </w:r>
    </w:p>
    <w:p w14:paraId="303FE68E" w14:textId="657A9F35" w:rsidR="00C14A3C" w:rsidRPr="001F758F" w:rsidRDefault="00152811" w:rsidP="00342DDE">
      <w:pPr>
        <w:pStyle w:val="Heading1"/>
        <w:spacing w:after="240"/>
        <w:rPr>
          <w:rFonts w:ascii="Garamond" w:eastAsiaTheme="minorEastAsia" w:hAnsi="Garamond"/>
          <w:b/>
          <w:bCs/>
          <w:color w:val="000000" w:themeColor="text1"/>
        </w:rPr>
      </w:pPr>
      <w:r w:rsidRPr="001F758F">
        <w:rPr>
          <w:rFonts w:ascii="Garamond" w:eastAsiaTheme="minorEastAsia" w:hAnsi="Garamond"/>
          <w:b/>
          <w:bCs/>
          <w:color w:val="000000" w:themeColor="text1"/>
        </w:rPr>
        <w:lastRenderedPageBreak/>
        <w:t>Variable Definition</w:t>
      </w:r>
    </w:p>
    <w:p w14:paraId="4BD68E39" w14:textId="3083E7C6" w:rsidR="00152811" w:rsidRPr="001F758F" w:rsidRDefault="00152811" w:rsidP="00425F0C">
      <w:pPr>
        <w:spacing w:after="0" w:line="480" w:lineRule="auto"/>
        <w:jc w:val="both"/>
        <w:rPr>
          <w:rFonts w:ascii="Garamond" w:eastAsiaTheme="minorEastAsia" w:hAnsi="Garamond"/>
          <w:b/>
          <w:bCs/>
          <w:i/>
          <w:iCs/>
          <w:sz w:val="24"/>
          <w:szCs w:val="24"/>
        </w:rPr>
      </w:pPr>
      <w:r w:rsidRPr="001F758F">
        <w:rPr>
          <w:rFonts w:ascii="Garamond" w:eastAsiaTheme="minorEastAsia" w:hAnsi="Garamond"/>
          <w:b/>
          <w:bCs/>
          <w:i/>
          <w:iCs/>
          <w:sz w:val="24"/>
          <w:szCs w:val="24"/>
        </w:rPr>
        <w:t>Measures of Country Governance</w:t>
      </w:r>
    </w:p>
    <w:p w14:paraId="4F5F5379" w14:textId="6E8313C0" w:rsidR="00152811" w:rsidRPr="00086601" w:rsidRDefault="00152811" w:rsidP="00425F0C">
      <w:pPr>
        <w:spacing w:after="0" w:line="480" w:lineRule="auto"/>
        <w:jc w:val="both"/>
        <w:rPr>
          <w:rFonts w:ascii="Garamond" w:eastAsiaTheme="minorEastAsia" w:hAnsi="Garamond"/>
          <w:sz w:val="24"/>
          <w:szCs w:val="24"/>
        </w:rPr>
      </w:pPr>
      <w:r w:rsidRPr="00086601">
        <w:rPr>
          <w:rFonts w:ascii="Garamond" w:eastAsiaTheme="minorEastAsia" w:hAnsi="Garamond"/>
          <w:sz w:val="24"/>
          <w:szCs w:val="24"/>
        </w:rPr>
        <w:t>CO</w:t>
      </w:r>
      <w:r w:rsidR="0016772D" w:rsidRPr="00086601">
        <w:rPr>
          <w:rFonts w:ascii="Garamond" w:eastAsiaTheme="minorEastAsia" w:hAnsi="Garamond"/>
          <w:sz w:val="24"/>
          <w:szCs w:val="24"/>
        </w:rPr>
        <w:t>C</w:t>
      </w:r>
      <w:r w:rsidRPr="00086601">
        <w:rPr>
          <w:rFonts w:ascii="Garamond" w:eastAsiaTheme="minorEastAsia" w:hAnsi="Garamond"/>
          <w:sz w:val="24"/>
          <w:szCs w:val="24"/>
        </w:rPr>
        <w:t xml:space="preserve"> is the measure of corruption</w:t>
      </w:r>
    </w:p>
    <w:p w14:paraId="730B2FF7" w14:textId="125A5DFD" w:rsidR="00152811" w:rsidRPr="00086601" w:rsidRDefault="00152811" w:rsidP="00425F0C">
      <w:pPr>
        <w:spacing w:after="0" w:line="480" w:lineRule="auto"/>
        <w:jc w:val="both"/>
        <w:rPr>
          <w:rFonts w:ascii="Garamond" w:eastAsiaTheme="minorEastAsia" w:hAnsi="Garamond"/>
          <w:sz w:val="24"/>
          <w:szCs w:val="24"/>
        </w:rPr>
      </w:pPr>
      <w:r w:rsidRPr="00086601">
        <w:rPr>
          <w:rFonts w:ascii="Garamond" w:eastAsiaTheme="minorEastAsia" w:hAnsi="Garamond"/>
          <w:sz w:val="24"/>
          <w:szCs w:val="24"/>
        </w:rPr>
        <w:t>GE is the measure of government effectiveness</w:t>
      </w:r>
    </w:p>
    <w:p w14:paraId="2FD45FF2" w14:textId="22126004" w:rsidR="00152811" w:rsidRPr="00086601" w:rsidRDefault="00152811" w:rsidP="00425F0C">
      <w:pPr>
        <w:spacing w:after="0" w:line="480" w:lineRule="auto"/>
        <w:jc w:val="both"/>
        <w:rPr>
          <w:rFonts w:ascii="Garamond" w:eastAsiaTheme="minorEastAsia" w:hAnsi="Garamond"/>
          <w:sz w:val="24"/>
          <w:szCs w:val="24"/>
        </w:rPr>
      </w:pPr>
      <w:r w:rsidRPr="00086601">
        <w:rPr>
          <w:rFonts w:ascii="Garamond" w:eastAsiaTheme="minorEastAsia" w:hAnsi="Garamond"/>
          <w:sz w:val="24"/>
          <w:szCs w:val="24"/>
        </w:rPr>
        <w:t>PS is the measure of political stability</w:t>
      </w:r>
    </w:p>
    <w:p w14:paraId="35FA3B51" w14:textId="724C7406" w:rsidR="00152811" w:rsidRPr="00086601" w:rsidRDefault="00152811" w:rsidP="00425F0C">
      <w:pPr>
        <w:spacing w:after="0" w:line="480" w:lineRule="auto"/>
        <w:jc w:val="both"/>
        <w:rPr>
          <w:rFonts w:ascii="Garamond" w:eastAsiaTheme="minorEastAsia" w:hAnsi="Garamond"/>
          <w:sz w:val="24"/>
          <w:szCs w:val="24"/>
        </w:rPr>
      </w:pPr>
      <w:r w:rsidRPr="00086601">
        <w:rPr>
          <w:rFonts w:ascii="Garamond" w:eastAsiaTheme="minorEastAsia" w:hAnsi="Garamond"/>
          <w:sz w:val="24"/>
          <w:szCs w:val="24"/>
        </w:rPr>
        <w:t>RQ is the measure of regulatory quality</w:t>
      </w:r>
    </w:p>
    <w:p w14:paraId="7A0C09B4" w14:textId="5A8A95F0" w:rsidR="00152811" w:rsidRPr="00086601" w:rsidRDefault="00152811" w:rsidP="00425F0C">
      <w:pPr>
        <w:spacing w:after="0" w:line="480" w:lineRule="auto"/>
        <w:jc w:val="both"/>
        <w:rPr>
          <w:rFonts w:ascii="Garamond" w:eastAsiaTheme="minorEastAsia" w:hAnsi="Garamond"/>
          <w:sz w:val="24"/>
          <w:szCs w:val="24"/>
        </w:rPr>
      </w:pPr>
      <w:r w:rsidRPr="00086601">
        <w:rPr>
          <w:rFonts w:ascii="Garamond" w:eastAsiaTheme="minorEastAsia" w:hAnsi="Garamond"/>
          <w:sz w:val="24"/>
          <w:szCs w:val="24"/>
        </w:rPr>
        <w:t>ROL is the measure of rule of law</w:t>
      </w:r>
    </w:p>
    <w:p w14:paraId="6C5E0259" w14:textId="6D8CF82E" w:rsidR="00590502" w:rsidRPr="00086601" w:rsidRDefault="00152811" w:rsidP="00425F0C">
      <w:pPr>
        <w:spacing w:line="480" w:lineRule="auto"/>
        <w:jc w:val="both"/>
        <w:rPr>
          <w:rFonts w:ascii="Garamond" w:eastAsiaTheme="minorEastAsia" w:hAnsi="Garamond"/>
          <w:sz w:val="24"/>
          <w:szCs w:val="24"/>
        </w:rPr>
      </w:pPr>
      <w:r w:rsidRPr="00086601">
        <w:rPr>
          <w:rFonts w:ascii="Garamond" w:eastAsiaTheme="minorEastAsia" w:hAnsi="Garamond"/>
          <w:sz w:val="24"/>
          <w:szCs w:val="24"/>
        </w:rPr>
        <w:t>VA is the measure of voice and accountability</w:t>
      </w:r>
    </w:p>
    <w:p w14:paraId="3BD7E0A3" w14:textId="4B6492BC" w:rsidR="00590502" w:rsidRPr="001F758F" w:rsidRDefault="00590502" w:rsidP="00425F0C">
      <w:pPr>
        <w:spacing w:after="0" w:line="480" w:lineRule="auto"/>
        <w:jc w:val="both"/>
        <w:rPr>
          <w:rFonts w:ascii="Garamond" w:eastAsiaTheme="minorEastAsia" w:hAnsi="Garamond"/>
          <w:b/>
          <w:bCs/>
          <w:sz w:val="24"/>
          <w:szCs w:val="24"/>
        </w:rPr>
      </w:pPr>
      <w:r w:rsidRPr="001F758F">
        <w:rPr>
          <w:rFonts w:ascii="Garamond" w:eastAsiaTheme="minorEastAsia" w:hAnsi="Garamond"/>
          <w:b/>
          <w:bCs/>
          <w:i/>
          <w:iCs/>
          <w:sz w:val="24"/>
          <w:szCs w:val="24"/>
        </w:rPr>
        <w:t>Measures of Country Culture</w:t>
      </w:r>
    </w:p>
    <w:p w14:paraId="193078F9" w14:textId="19A1A942" w:rsidR="00590502" w:rsidRPr="00086601" w:rsidRDefault="00590502" w:rsidP="00425F0C">
      <w:pPr>
        <w:spacing w:after="0" w:line="480" w:lineRule="auto"/>
        <w:jc w:val="both"/>
        <w:rPr>
          <w:rFonts w:ascii="Garamond" w:hAnsi="Garamond"/>
          <w:sz w:val="24"/>
          <w:szCs w:val="24"/>
        </w:rPr>
      </w:pPr>
      <w:r w:rsidRPr="00086601">
        <w:rPr>
          <w:rFonts w:ascii="Garamond" w:hAnsi="Garamond"/>
          <w:sz w:val="24"/>
          <w:szCs w:val="24"/>
        </w:rPr>
        <w:t>PDI expresses the power distance measure. The degree to which the less powerful members of a society accept and expect that power is distributed unequally</w:t>
      </w:r>
    </w:p>
    <w:p w14:paraId="6E7D513A" w14:textId="6924A0A7" w:rsidR="00590502" w:rsidRPr="00086601" w:rsidRDefault="00590502" w:rsidP="00425F0C">
      <w:pPr>
        <w:spacing w:after="0" w:line="480" w:lineRule="auto"/>
        <w:jc w:val="both"/>
        <w:rPr>
          <w:rFonts w:ascii="Garamond" w:hAnsi="Garamond"/>
          <w:sz w:val="24"/>
          <w:szCs w:val="24"/>
        </w:rPr>
      </w:pPr>
      <w:r w:rsidRPr="00086601">
        <w:rPr>
          <w:rFonts w:ascii="Garamond" w:hAnsi="Garamond"/>
          <w:sz w:val="24"/>
          <w:szCs w:val="24"/>
        </w:rPr>
        <w:t xml:space="preserve">IDV is the measure of individualism versus collectivism. This represents a preference to interact with themselves and immediate family whereas more collective societies prefer to interact </w:t>
      </w:r>
      <w:r w:rsidR="00342DDE">
        <w:rPr>
          <w:rFonts w:ascii="Garamond" w:hAnsi="Garamond"/>
          <w:sz w:val="24"/>
          <w:szCs w:val="24"/>
        </w:rPr>
        <w:t>in wider groups</w:t>
      </w:r>
    </w:p>
    <w:p w14:paraId="5A3E0284" w14:textId="13375C89" w:rsidR="00590502" w:rsidRPr="00086601" w:rsidRDefault="00590502" w:rsidP="00425F0C">
      <w:pPr>
        <w:spacing w:after="0" w:line="480" w:lineRule="auto"/>
        <w:jc w:val="both"/>
        <w:rPr>
          <w:rFonts w:ascii="Garamond" w:hAnsi="Garamond"/>
          <w:sz w:val="24"/>
          <w:szCs w:val="24"/>
        </w:rPr>
      </w:pPr>
      <w:r w:rsidRPr="00086601">
        <w:rPr>
          <w:rFonts w:ascii="Garamond" w:hAnsi="Garamond"/>
          <w:sz w:val="24"/>
          <w:szCs w:val="24"/>
        </w:rPr>
        <w:t>MAS is the measure of masculinity versus femininity. This represents differing social preferences, like competition versus cooperation</w:t>
      </w:r>
    </w:p>
    <w:p w14:paraId="5666108A" w14:textId="4DE5A00D" w:rsidR="00590502" w:rsidRPr="00086601" w:rsidRDefault="00590502" w:rsidP="00425F0C">
      <w:pPr>
        <w:spacing w:after="0" w:line="480" w:lineRule="auto"/>
        <w:jc w:val="both"/>
        <w:rPr>
          <w:rFonts w:ascii="Garamond" w:hAnsi="Garamond"/>
          <w:sz w:val="24"/>
          <w:szCs w:val="24"/>
        </w:rPr>
      </w:pPr>
      <w:r w:rsidRPr="00086601">
        <w:rPr>
          <w:rFonts w:ascii="Garamond" w:hAnsi="Garamond"/>
          <w:sz w:val="24"/>
          <w:szCs w:val="24"/>
        </w:rPr>
        <w:t>UAI is the measure of uncertainty avoidance. This measure expresses the comfortability of various risk levels and uncertainties</w:t>
      </w:r>
    </w:p>
    <w:p w14:paraId="5F348561" w14:textId="7D39F9F8" w:rsidR="00590502" w:rsidRPr="00086601" w:rsidRDefault="00590502" w:rsidP="00425F0C">
      <w:pPr>
        <w:spacing w:after="0" w:line="480" w:lineRule="auto"/>
        <w:jc w:val="both"/>
        <w:rPr>
          <w:rFonts w:ascii="Garamond" w:hAnsi="Garamond"/>
          <w:sz w:val="24"/>
          <w:szCs w:val="24"/>
        </w:rPr>
      </w:pPr>
      <w:r w:rsidRPr="00086601">
        <w:rPr>
          <w:rFonts w:ascii="Garamond" w:hAnsi="Garamond"/>
          <w:sz w:val="24"/>
          <w:szCs w:val="24"/>
        </w:rPr>
        <w:t xml:space="preserve">LTO is the measure for long term orientation versus short term normative orientation. This expresses the preference to varying time horizons for goals </w:t>
      </w:r>
    </w:p>
    <w:p w14:paraId="29AABD32" w14:textId="3437AAD6" w:rsidR="00233ED7" w:rsidRPr="00086601" w:rsidRDefault="00590502" w:rsidP="00425F0C">
      <w:pPr>
        <w:spacing w:after="0" w:line="480" w:lineRule="auto"/>
        <w:jc w:val="both"/>
        <w:rPr>
          <w:rFonts w:ascii="Garamond" w:hAnsi="Garamond"/>
          <w:sz w:val="24"/>
          <w:szCs w:val="24"/>
        </w:rPr>
      </w:pPr>
      <w:r w:rsidRPr="00086601">
        <w:rPr>
          <w:rFonts w:ascii="Garamond" w:hAnsi="Garamond"/>
          <w:sz w:val="24"/>
          <w:szCs w:val="24"/>
        </w:rPr>
        <w:t>IVR is the measure for indulgence versus restraint. This represents the tendencies for a society to enjoy varying levels of gratification for enjoyment and fun</w:t>
      </w:r>
    </w:p>
    <w:p w14:paraId="1E6974BE" w14:textId="77777777" w:rsidR="001F758F" w:rsidRDefault="001F758F" w:rsidP="001F758F">
      <w:pPr>
        <w:spacing w:after="0" w:line="480" w:lineRule="auto"/>
        <w:jc w:val="both"/>
        <w:rPr>
          <w:rFonts w:ascii="Garamond" w:eastAsiaTheme="minorEastAsia" w:hAnsi="Garamond"/>
          <w:b/>
          <w:bCs/>
          <w:i/>
          <w:iCs/>
          <w:sz w:val="24"/>
          <w:szCs w:val="24"/>
        </w:rPr>
      </w:pPr>
      <w:r w:rsidRPr="001F758F">
        <w:rPr>
          <w:rFonts w:ascii="Garamond" w:eastAsiaTheme="minorEastAsia" w:hAnsi="Garamond"/>
          <w:b/>
          <w:bCs/>
          <w:i/>
          <w:iCs/>
          <w:sz w:val="24"/>
          <w:szCs w:val="24"/>
        </w:rPr>
        <w:t>Measures of C</w:t>
      </w:r>
      <w:r>
        <w:rPr>
          <w:rFonts w:ascii="Garamond" w:eastAsiaTheme="minorEastAsia" w:hAnsi="Garamond"/>
          <w:b/>
          <w:bCs/>
          <w:i/>
          <w:iCs/>
          <w:sz w:val="24"/>
          <w:szCs w:val="24"/>
        </w:rPr>
        <w:t>rash Risk</w:t>
      </w:r>
    </w:p>
    <w:p w14:paraId="41523F8A" w14:textId="77777777" w:rsidR="001F758F" w:rsidRDefault="001F758F" w:rsidP="001F758F">
      <w:pPr>
        <w:spacing w:after="0" w:line="480" w:lineRule="auto"/>
        <w:jc w:val="both"/>
        <w:rPr>
          <w:rFonts w:ascii="Garamond" w:eastAsiaTheme="minorEastAsia" w:hAnsi="Garamond"/>
          <w:sz w:val="24"/>
          <w:szCs w:val="24"/>
        </w:rPr>
      </w:pPr>
      <w:r>
        <w:rPr>
          <w:rFonts w:ascii="Garamond" w:eastAsiaTheme="minorEastAsia" w:hAnsi="Garamond"/>
          <w:sz w:val="24"/>
          <w:szCs w:val="24"/>
        </w:rPr>
        <w:t>NCSKEW is the variable that stands for negative skewness</w:t>
      </w:r>
    </w:p>
    <w:p w14:paraId="06CA5F04" w14:textId="4315AAE7" w:rsidR="00233ED7" w:rsidRPr="001F758F" w:rsidRDefault="001F758F" w:rsidP="001F758F">
      <w:pPr>
        <w:spacing w:after="0" w:line="480" w:lineRule="auto"/>
        <w:jc w:val="both"/>
        <w:rPr>
          <w:rFonts w:ascii="Garamond" w:eastAsiaTheme="minorEastAsia" w:hAnsi="Garamond"/>
          <w:b/>
          <w:bCs/>
          <w:i/>
          <w:iCs/>
          <w:sz w:val="24"/>
          <w:szCs w:val="24"/>
        </w:rPr>
      </w:pPr>
      <w:r>
        <w:rPr>
          <w:rFonts w:ascii="Garamond" w:eastAsiaTheme="minorEastAsia" w:hAnsi="Garamond"/>
          <w:sz w:val="24"/>
          <w:szCs w:val="24"/>
        </w:rPr>
        <w:t>DUVOL is the variable that stands for down-to-up-volatility</w:t>
      </w:r>
      <w:r w:rsidR="00233ED7" w:rsidRPr="00086601">
        <w:rPr>
          <w:rFonts w:ascii="Garamond" w:hAnsi="Garamond"/>
          <w:sz w:val="24"/>
          <w:szCs w:val="24"/>
        </w:rPr>
        <w:br w:type="page"/>
      </w:r>
    </w:p>
    <w:p w14:paraId="05A1238F" w14:textId="0925FE30" w:rsidR="00590502" w:rsidRPr="001F758F" w:rsidRDefault="00233ED7" w:rsidP="001F758F">
      <w:pPr>
        <w:pStyle w:val="Heading1"/>
        <w:rPr>
          <w:rFonts w:ascii="Garamond" w:hAnsi="Garamond"/>
          <w:b/>
          <w:bCs/>
          <w:color w:val="000000" w:themeColor="text1"/>
        </w:rPr>
      </w:pPr>
      <w:r w:rsidRPr="001F758F">
        <w:rPr>
          <w:rFonts w:ascii="Garamond" w:hAnsi="Garamond"/>
          <w:b/>
          <w:bCs/>
          <w:color w:val="000000" w:themeColor="text1"/>
        </w:rPr>
        <w:lastRenderedPageBreak/>
        <w:t>References</w:t>
      </w:r>
    </w:p>
    <w:p w14:paraId="11953568" w14:textId="3772C462" w:rsidR="00805592" w:rsidRPr="00086601" w:rsidRDefault="00805592" w:rsidP="00805592">
      <w:pPr>
        <w:spacing w:line="480" w:lineRule="auto"/>
        <w:rPr>
          <w:rFonts w:ascii="Garamond" w:eastAsiaTheme="minorEastAsia" w:hAnsi="Garamond"/>
          <w:sz w:val="24"/>
          <w:szCs w:val="24"/>
        </w:rPr>
      </w:pPr>
      <w:r w:rsidRPr="00086601">
        <w:rPr>
          <w:rFonts w:ascii="Garamond" w:eastAsiaTheme="minorEastAsia" w:hAnsi="Garamond"/>
          <w:sz w:val="24"/>
          <w:szCs w:val="24"/>
        </w:rPr>
        <w:t>Banerjee, P. K., Ahmed, M. N., &amp; Hossain, M. M. (2017). Bank, Stock Market and Economic Growth: Bangladesh Perspective. </w:t>
      </w:r>
      <w:r w:rsidRPr="00086601">
        <w:rPr>
          <w:rFonts w:ascii="Garamond" w:eastAsiaTheme="minorEastAsia" w:hAnsi="Garamond"/>
          <w:i/>
          <w:iCs/>
          <w:sz w:val="24"/>
          <w:szCs w:val="24"/>
        </w:rPr>
        <w:t>Journal of Developing Areas</w:t>
      </w:r>
      <w:r w:rsidRPr="00086601">
        <w:rPr>
          <w:rFonts w:ascii="Garamond" w:eastAsiaTheme="minorEastAsia" w:hAnsi="Garamond"/>
          <w:sz w:val="24"/>
          <w:szCs w:val="24"/>
        </w:rPr>
        <w:t>, </w:t>
      </w:r>
      <w:r w:rsidRPr="00086601">
        <w:rPr>
          <w:rFonts w:ascii="Garamond" w:eastAsiaTheme="minorEastAsia" w:hAnsi="Garamond"/>
          <w:i/>
          <w:iCs/>
          <w:sz w:val="24"/>
          <w:szCs w:val="24"/>
        </w:rPr>
        <w:t>51</w:t>
      </w:r>
      <w:r w:rsidRPr="00086601">
        <w:rPr>
          <w:rFonts w:ascii="Garamond" w:eastAsiaTheme="minorEastAsia" w:hAnsi="Garamond"/>
          <w:sz w:val="24"/>
          <w:szCs w:val="24"/>
        </w:rPr>
        <w:t xml:space="preserve">(2), 17–29. </w:t>
      </w:r>
    </w:p>
    <w:p w14:paraId="46BFCC32" w14:textId="47097B0C" w:rsidR="0075792F" w:rsidRPr="00086601" w:rsidRDefault="0075792F" w:rsidP="00AB5CB9">
      <w:pPr>
        <w:spacing w:line="480" w:lineRule="auto"/>
        <w:jc w:val="both"/>
        <w:rPr>
          <w:rFonts w:ascii="Garamond" w:hAnsi="Garamond"/>
          <w:sz w:val="24"/>
          <w:szCs w:val="24"/>
        </w:rPr>
      </w:pPr>
      <w:r w:rsidRPr="00086601">
        <w:rPr>
          <w:rFonts w:ascii="Garamond" w:hAnsi="Garamond"/>
          <w:sz w:val="24"/>
          <w:szCs w:val="24"/>
        </w:rPr>
        <w:t>Chen, J., Hong, H., Stein, J.C., 2001. Forecasting crashes: trading volume, past returns, and conditional skewness in stock prices. Journal of Financial Economics 61(3), 345-381.</w:t>
      </w:r>
    </w:p>
    <w:p w14:paraId="7AD5BAAD" w14:textId="32EBA6F9" w:rsidR="0075792F" w:rsidRDefault="0075792F" w:rsidP="0075792F">
      <w:pPr>
        <w:spacing w:line="480" w:lineRule="auto"/>
        <w:rPr>
          <w:rFonts w:ascii="Garamond" w:eastAsiaTheme="minorEastAsia" w:hAnsi="Garamond"/>
          <w:sz w:val="24"/>
          <w:szCs w:val="24"/>
        </w:rPr>
      </w:pPr>
      <w:r w:rsidRPr="00086601">
        <w:rPr>
          <w:rFonts w:ascii="Garamond" w:eastAsiaTheme="minorEastAsia" w:hAnsi="Garamond"/>
          <w:sz w:val="24"/>
          <w:szCs w:val="24"/>
        </w:rPr>
        <w:t>Dimson, E., 1979. Risk measurement when shares are subject to infrequent trading. Journal of Financial Economics 7(2), 197–226.</w:t>
      </w:r>
    </w:p>
    <w:p w14:paraId="18816406" w14:textId="3DBA8450" w:rsidR="00086601" w:rsidRDefault="00086601" w:rsidP="0075792F">
      <w:pPr>
        <w:spacing w:line="480" w:lineRule="auto"/>
        <w:rPr>
          <w:rFonts w:ascii="Garamond" w:eastAsiaTheme="minorEastAsia" w:hAnsi="Garamond"/>
          <w:sz w:val="24"/>
          <w:szCs w:val="24"/>
        </w:rPr>
      </w:pPr>
      <w:proofErr w:type="spellStart"/>
      <w:r w:rsidRPr="00086601">
        <w:rPr>
          <w:rFonts w:ascii="Garamond" w:eastAsiaTheme="minorEastAsia" w:hAnsi="Garamond"/>
          <w:sz w:val="24"/>
          <w:szCs w:val="24"/>
        </w:rPr>
        <w:t>Huaping</w:t>
      </w:r>
      <w:proofErr w:type="spellEnd"/>
      <w:r w:rsidRPr="00086601">
        <w:rPr>
          <w:rFonts w:ascii="Garamond" w:eastAsiaTheme="minorEastAsia" w:hAnsi="Garamond"/>
          <w:sz w:val="24"/>
          <w:szCs w:val="24"/>
        </w:rPr>
        <w:t xml:space="preserve"> Zhang, &amp; </w:t>
      </w:r>
      <w:proofErr w:type="spellStart"/>
      <w:r w:rsidRPr="00086601">
        <w:rPr>
          <w:rFonts w:ascii="Garamond" w:eastAsiaTheme="minorEastAsia" w:hAnsi="Garamond"/>
          <w:sz w:val="24"/>
          <w:szCs w:val="24"/>
        </w:rPr>
        <w:t>Feifan</w:t>
      </w:r>
      <w:proofErr w:type="spellEnd"/>
      <w:r w:rsidRPr="00086601">
        <w:rPr>
          <w:rFonts w:ascii="Garamond" w:eastAsiaTheme="minorEastAsia" w:hAnsi="Garamond"/>
          <w:sz w:val="24"/>
          <w:szCs w:val="24"/>
        </w:rPr>
        <w:t xml:space="preserve"> Li. (2020). Influence of Limited Attention and Over-Optimism of Investors on Stock Price Crash Risk. </w:t>
      </w:r>
      <w:proofErr w:type="spellStart"/>
      <w:r w:rsidRPr="00086601">
        <w:rPr>
          <w:rFonts w:ascii="Garamond" w:eastAsiaTheme="minorEastAsia" w:hAnsi="Garamond"/>
          <w:i/>
          <w:iCs/>
          <w:sz w:val="24"/>
          <w:szCs w:val="24"/>
        </w:rPr>
        <w:t>Revista</w:t>
      </w:r>
      <w:proofErr w:type="spellEnd"/>
      <w:r w:rsidRPr="00086601">
        <w:rPr>
          <w:rFonts w:ascii="Garamond" w:eastAsiaTheme="minorEastAsia" w:hAnsi="Garamond"/>
          <w:i/>
          <w:iCs/>
          <w:sz w:val="24"/>
          <w:szCs w:val="24"/>
        </w:rPr>
        <w:t xml:space="preserve"> Argentina de </w:t>
      </w:r>
      <w:proofErr w:type="spellStart"/>
      <w:r w:rsidRPr="00086601">
        <w:rPr>
          <w:rFonts w:ascii="Garamond" w:eastAsiaTheme="minorEastAsia" w:hAnsi="Garamond"/>
          <w:i/>
          <w:iCs/>
          <w:sz w:val="24"/>
          <w:szCs w:val="24"/>
        </w:rPr>
        <w:t>Clínica</w:t>
      </w:r>
      <w:proofErr w:type="spellEnd"/>
      <w:r w:rsidRPr="00086601">
        <w:rPr>
          <w:rFonts w:ascii="Garamond" w:eastAsiaTheme="minorEastAsia" w:hAnsi="Garamond"/>
          <w:i/>
          <w:iCs/>
          <w:sz w:val="24"/>
          <w:szCs w:val="24"/>
        </w:rPr>
        <w:t xml:space="preserve"> </w:t>
      </w:r>
      <w:proofErr w:type="spellStart"/>
      <w:r w:rsidRPr="00086601">
        <w:rPr>
          <w:rFonts w:ascii="Garamond" w:eastAsiaTheme="minorEastAsia" w:hAnsi="Garamond"/>
          <w:i/>
          <w:iCs/>
          <w:sz w:val="24"/>
          <w:szCs w:val="24"/>
        </w:rPr>
        <w:t>Psicológica</w:t>
      </w:r>
      <w:proofErr w:type="spellEnd"/>
      <w:r w:rsidRPr="00086601">
        <w:rPr>
          <w:rFonts w:ascii="Garamond" w:eastAsiaTheme="minorEastAsia" w:hAnsi="Garamond"/>
          <w:sz w:val="24"/>
          <w:szCs w:val="24"/>
        </w:rPr>
        <w:t>, </w:t>
      </w:r>
      <w:r w:rsidRPr="00086601">
        <w:rPr>
          <w:rFonts w:ascii="Garamond" w:eastAsiaTheme="minorEastAsia" w:hAnsi="Garamond"/>
          <w:i/>
          <w:iCs/>
          <w:sz w:val="24"/>
          <w:szCs w:val="24"/>
        </w:rPr>
        <w:t>29</w:t>
      </w:r>
      <w:r w:rsidRPr="00086601">
        <w:rPr>
          <w:rFonts w:ascii="Garamond" w:eastAsiaTheme="minorEastAsia" w:hAnsi="Garamond"/>
          <w:sz w:val="24"/>
          <w:szCs w:val="24"/>
        </w:rPr>
        <w:t xml:space="preserve">(2), 96–105. </w:t>
      </w:r>
    </w:p>
    <w:p w14:paraId="3FB37251" w14:textId="07E287D3" w:rsidR="00590502" w:rsidRPr="00086601" w:rsidRDefault="0075792F" w:rsidP="0075792F">
      <w:pPr>
        <w:spacing w:line="480" w:lineRule="auto"/>
        <w:rPr>
          <w:rFonts w:ascii="Garamond" w:eastAsiaTheme="minorEastAsia" w:hAnsi="Garamond"/>
          <w:sz w:val="24"/>
          <w:szCs w:val="24"/>
        </w:rPr>
      </w:pPr>
      <w:r w:rsidRPr="00086601">
        <w:rPr>
          <w:rFonts w:ascii="Garamond" w:eastAsiaTheme="minorEastAsia" w:hAnsi="Garamond"/>
          <w:sz w:val="24"/>
          <w:szCs w:val="24"/>
        </w:rPr>
        <w:t xml:space="preserve">Hutton, A.P., Marcus, A.J., </w:t>
      </w:r>
      <w:proofErr w:type="spellStart"/>
      <w:r w:rsidRPr="00086601">
        <w:rPr>
          <w:rFonts w:ascii="Garamond" w:eastAsiaTheme="minorEastAsia" w:hAnsi="Garamond"/>
          <w:sz w:val="24"/>
          <w:szCs w:val="24"/>
        </w:rPr>
        <w:t>Tehranian</w:t>
      </w:r>
      <w:proofErr w:type="spellEnd"/>
      <w:r w:rsidRPr="00086601">
        <w:rPr>
          <w:rFonts w:ascii="Garamond" w:eastAsiaTheme="minorEastAsia" w:hAnsi="Garamond"/>
          <w:sz w:val="24"/>
          <w:szCs w:val="24"/>
        </w:rPr>
        <w:t>, H., 2009. Opaque financial reports, R</w:t>
      </w:r>
      <w:proofErr w:type="gramStart"/>
      <w:r w:rsidRPr="00086601">
        <w:rPr>
          <w:rFonts w:ascii="Garamond" w:eastAsiaTheme="minorEastAsia" w:hAnsi="Garamond"/>
          <w:sz w:val="24"/>
          <w:szCs w:val="24"/>
        </w:rPr>
        <w:t>2 ,</w:t>
      </w:r>
      <w:proofErr w:type="gramEnd"/>
      <w:r w:rsidRPr="00086601">
        <w:rPr>
          <w:rFonts w:ascii="Garamond" w:eastAsiaTheme="minorEastAsia" w:hAnsi="Garamond"/>
          <w:sz w:val="24"/>
          <w:szCs w:val="24"/>
        </w:rPr>
        <w:t xml:space="preserve"> and crash risk. Journal of Financial Economics 94(1), 67-86.</w:t>
      </w:r>
    </w:p>
    <w:p w14:paraId="3DB2EABF" w14:textId="1FE3FF93" w:rsidR="00342DDE" w:rsidRDefault="00805592" w:rsidP="0075792F">
      <w:pPr>
        <w:spacing w:line="480" w:lineRule="auto"/>
        <w:rPr>
          <w:rFonts w:ascii="Garamond" w:eastAsiaTheme="minorEastAsia" w:hAnsi="Garamond"/>
          <w:sz w:val="24"/>
          <w:szCs w:val="24"/>
        </w:rPr>
      </w:pPr>
      <w:r w:rsidRPr="00086601">
        <w:rPr>
          <w:rFonts w:ascii="Garamond" w:eastAsiaTheme="minorEastAsia" w:hAnsi="Garamond"/>
          <w:sz w:val="24"/>
          <w:szCs w:val="24"/>
        </w:rPr>
        <w:t xml:space="preserve">Lucey BM, Zhang Q. Does cultural distance matter in international stock market </w:t>
      </w:r>
      <w:proofErr w:type="spellStart"/>
      <w:r w:rsidRPr="00086601">
        <w:rPr>
          <w:rFonts w:ascii="Garamond" w:eastAsiaTheme="minorEastAsia" w:hAnsi="Garamond"/>
          <w:sz w:val="24"/>
          <w:szCs w:val="24"/>
        </w:rPr>
        <w:t>comovement</w:t>
      </w:r>
      <w:proofErr w:type="spellEnd"/>
      <w:r w:rsidRPr="00086601">
        <w:rPr>
          <w:rFonts w:ascii="Garamond" w:eastAsiaTheme="minorEastAsia" w:hAnsi="Garamond"/>
          <w:sz w:val="24"/>
          <w:szCs w:val="24"/>
        </w:rPr>
        <w:t>? Evidence from emerging economies around the world. </w:t>
      </w:r>
      <w:r w:rsidRPr="00086601">
        <w:rPr>
          <w:rFonts w:ascii="Garamond" w:eastAsiaTheme="minorEastAsia" w:hAnsi="Garamond"/>
          <w:i/>
          <w:iCs/>
          <w:sz w:val="24"/>
          <w:szCs w:val="24"/>
        </w:rPr>
        <w:t>Emerging Markets Review</w:t>
      </w:r>
      <w:r w:rsidRPr="00086601">
        <w:rPr>
          <w:rFonts w:ascii="Garamond" w:eastAsiaTheme="minorEastAsia" w:hAnsi="Garamond"/>
          <w:sz w:val="24"/>
          <w:szCs w:val="24"/>
        </w:rPr>
        <w:t xml:space="preserve">. 2010;11(1):62-78. </w:t>
      </w:r>
      <w:proofErr w:type="gramStart"/>
      <w:r w:rsidRPr="00086601">
        <w:rPr>
          <w:rFonts w:ascii="Garamond" w:eastAsiaTheme="minorEastAsia" w:hAnsi="Garamond"/>
          <w:sz w:val="24"/>
          <w:szCs w:val="24"/>
        </w:rPr>
        <w:t>doi:10.1016/j.ememar</w:t>
      </w:r>
      <w:proofErr w:type="gramEnd"/>
      <w:r w:rsidRPr="00086601">
        <w:rPr>
          <w:rFonts w:ascii="Garamond" w:eastAsiaTheme="minorEastAsia" w:hAnsi="Garamond"/>
          <w:sz w:val="24"/>
          <w:szCs w:val="24"/>
        </w:rPr>
        <w:t>.2009.11.003.</w:t>
      </w:r>
    </w:p>
    <w:p w14:paraId="08D07E53" w14:textId="77777777" w:rsidR="00342DDE" w:rsidRDefault="00342DDE">
      <w:pPr>
        <w:rPr>
          <w:rFonts w:ascii="Garamond" w:eastAsiaTheme="minorEastAsia" w:hAnsi="Garamond"/>
          <w:sz w:val="24"/>
          <w:szCs w:val="24"/>
        </w:rPr>
      </w:pPr>
      <w:r>
        <w:rPr>
          <w:rFonts w:ascii="Garamond" w:eastAsiaTheme="minorEastAsia" w:hAnsi="Garamond"/>
          <w:sz w:val="24"/>
          <w:szCs w:val="24"/>
        </w:rPr>
        <w:br w:type="page"/>
      </w:r>
    </w:p>
    <w:p w14:paraId="050AF40F" w14:textId="1ED2B101" w:rsidR="00342DDE" w:rsidRDefault="00342DDE" w:rsidP="00342DDE">
      <w:pPr>
        <w:pStyle w:val="Heading1"/>
        <w:spacing w:after="240"/>
        <w:rPr>
          <w:rFonts w:ascii="Garamond" w:hAnsi="Garamond"/>
          <w:b/>
          <w:bCs/>
          <w:color w:val="000000" w:themeColor="text1"/>
        </w:rPr>
      </w:pPr>
      <w:r>
        <w:rPr>
          <w:rFonts w:ascii="Garamond" w:hAnsi="Garamond"/>
          <w:b/>
          <w:bCs/>
          <w:color w:val="000000" w:themeColor="text1"/>
        </w:rPr>
        <w:lastRenderedPageBreak/>
        <w:t xml:space="preserve">Relevant </w:t>
      </w:r>
      <w:r w:rsidRPr="00342DDE">
        <w:rPr>
          <w:rFonts w:ascii="Garamond" w:hAnsi="Garamond"/>
          <w:b/>
          <w:bCs/>
          <w:color w:val="000000" w:themeColor="text1"/>
        </w:rPr>
        <w:t>Code Used</w:t>
      </w:r>
    </w:p>
    <w:p w14:paraId="29977035" w14:textId="0ACB734F" w:rsidR="007E3FF1" w:rsidRDefault="007E3FF1" w:rsidP="007E3FF1">
      <w:pPr>
        <w:pStyle w:val="Heading2"/>
        <w:rPr>
          <w:rFonts w:ascii="Garamond" w:hAnsi="Garamond"/>
          <w:b/>
          <w:bCs/>
          <w:color w:val="000000" w:themeColor="text1"/>
        </w:rPr>
      </w:pPr>
      <w:r w:rsidRPr="00342DDE">
        <w:rPr>
          <w:rFonts w:ascii="Garamond" w:hAnsi="Garamond"/>
          <w:b/>
          <w:bCs/>
          <w:color w:val="000000" w:themeColor="text1"/>
        </w:rPr>
        <w:t xml:space="preserve">Script </w:t>
      </w:r>
      <w:r>
        <w:rPr>
          <w:rFonts w:ascii="Garamond" w:hAnsi="Garamond"/>
          <w:b/>
          <w:bCs/>
          <w:color w:val="000000" w:themeColor="text1"/>
        </w:rPr>
        <w:t>for index model regression</w:t>
      </w:r>
    </w:p>
    <w:bookmarkStart w:id="1" w:name="_MON_1649448219"/>
    <w:bookmarkEnd w:id="1"/>
    <w:p w14:paraId="13DD3DC5" w14:textId="75AE43C7" w:rsidR="007E3FF1" w:rsidRPr="007E3FF1" w:rsidRDefault="007E3FF1" w:rsidP="007E3FF1">
      <w:r>
        <w:object w:dxaOrig="9360" w:dyaOrig="2383" w14:anchorId="645189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468.45pt;height:118.75pt" o:ole="">
            <v:imagedata r:id="rId7" o:title=""/>
          </v:shape>
          <o:OLEObject Type="Embed" ProgID="Word.OpenDocumentText.12" ShapeID="_x0000_i1051" DrawAspect="Content" ObjectID="_1649448311" r:id="rId8"/>
        </w:object>
      </w:r>
    </w:p>
    <w:p w14:paraId="57FC4845" w14:textId="1E0BA60F" w:rsidR="00342DDE" w:rsidRDefault="00342DDE" w:rsidP="00342DDE">
      <w:pPr>
        <w:pStyle w:val="Heading2"/>
        <w:rPr>
          <w:rFonts w:ascii="Garamond" w:hAnsi="Garamond"/>
          <w:b/>
          <w:bCs/>
          <w:color w:val="000000" w:themeColor="text1"/>
        </w:rPr>
      </w:pPr>
      <w:r w:rsidRPr="00342DDE">
        <w:rPr>
          <w:rFonts w:ascii="Garamond" w:hAnsi="Garamond"/>
          <w:b/>
          <w:bCs/>
          <w:color w:val="000000" w:themeColor="text1"/>
        </w:rPr>
        <w:t xml:space="preserve">Script for </w:t>
      </w:r>
      <w:r w:rsidR="007E3FF1">
        <w:rPr>
          <w:rFonts w:ascii="Garamond" w:hAnsi="Garamond"/>
          <w:b/>
          <w:bCs/>
          <w:color w:val="000000" w:themeColor="text1"/>
        </w:rPr>
        <w:t>crash risk</w:t>
      </w:r>
    </w:p>
    <w:bookmarkStart w:id="2" w:name="_MON_1649442640"/>
    <w:bookmarkEnd w:id="2"/>
    <w:p w14:paraId="4D92DAC9" w14:textId="1D788C3F" w:rsidR="00342DDE" w:rsidRPr="00342DDE" w:rsidRDefault="007E3FF1" w:rsidP="00342DDE">
      <w:r>
        <w:object w:dxaOrig="9360" w:dyaOrig="4324" w14:anchorId="2CEBEB4A">
          <v:shape id="_x0000_i1049" type="#_x0000_t75" style="width:468.45pt;height:3in" o:ole="">
            <v:imagedata r:id="rId9" o:title=""/>
          </v:shape>
          <o:OLEObject Type="Embed" ProgID="Word.OpenDocumentText.12" ShapeID="_x0000_i1049" DrawAspect="Content" ObjectID="_1649448312" r:id="rId10"/>
        </w:object>
      </w:r>
    </w:p>
    <w:bookmarkStart w:id="3" w:name="_MON_1649442695"/>
    <w:bookmarkEnd w:id="3"/>
    <w:p w14:paraId="44C9121E" w14:textId="6F7B4329" w:rsidR="00342DDE" w:rsidRPr="00342DDE" w:rsidRDefault="007E3FF1" w:rsidP="00342DDE">
      <w:r>
        <w:object w:dxaOrig="9360" w:dyaOrig="4627" w14:anchorId="14A61584">
          <v:shape id="_x0000_i1053" type="#_x0000_t75" style="width:468.45pt;height:230.95pt" o:ole="">
            <v:imagedata r:id="rId11" o:title=""/>
          </v:shape>
          <o:OLEObject Type="Embed" ProgID="Word.OpenDocumentText.12" ShapeID="_x0000_i1053" DrawAspect="Content" ObjectID="_1649448313" r:id="rId12"/>
        </w:object>
      </w:r>
    </w:p>
    <w:sectPr w:rsidR="00342DDE" w:rsidRPr="00342D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3BBBDF" w14:textId="77777777" w:rsidR="00CC1E4C" w:rsidRDefault="00CC1E4C" w:rsidP="00E46895">
      <w:pPr>
        <w:spacing w:after="0" w:line="240" w:lineRule="auto"/>
      </w:pPr>
      <w:r>
        <w:separator/>
      </w:r>
    </w:p>
  </w:endnote>
  <w:endnote w:type="continuationSeparator" w:id="0">
    <w:p w14:paraId="3ED5F43C" w14:textId="77777777" w:rsidR="00CC1E4C" w:rsidRDefault="00CC1E4C" w:rsidP="00E46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7B17F4" w14:textId="77777777" w:rsidR="00CC1E4C" w:rsidRDefault="00CC1E4C" w:rsidP="00E46895">
      <w:pPr>
        <w:spacing w:after="0" w:line="240" w:lineRule="auto"/>
      </w:pPr>
      <w:r>
        <w:separator/>
      </w:r>
    </w:p>
  </w:footnote>
  <w:footnote w:type="continuationSeparator" w:id="0">
    <w:p w14:paraId="58D44661" w14:textId="77777777" w:rsidR="00CC1E4C" w:rsidRDefault="00CC1E4C" w:rsidP="00E46895">
      <w:pPr>
        <w:spacing w:after="0" w:line="240" w:lineRule="auto"/>
      </w:pPr>
      <w:r>
        <w:continuationSeparator/>
      </w:r>
    </w:p>
  </w:footnote>
  <w:footnote w:id="1">
    <w:p w14:paraId="34B7CBD8" w14:textId="64CACC54" w:rsidR="001F758F" w:rsidRPr="006A1D85" w:rsidRDefault="001F758F">
      <w:pPr>
        <w:pStyle w:val="FootnoteText"/>
        <w:rPr>
          <w:rFonts w:ascii="Garamond" w:hAnsi="Garamond"/>
        </w:rPr>
      </w:pPr>
      <w:r w:rsidRPr="006A1D85">
        <w:rPr>
          <w:rStyle w:val="FootnoteReference"/>
          <w:rFonts w:ascii="Garamond" w:hAnsi="Garamond"/>
        </w:rPr>
        <w:footnoteRef/>
      </w:r>
      <w:r w:rsidRPr="006A1D85">
        <w:rPr>
          <w:rFonts w:ascii="Garamond" w:hAnsi="Garamond"/>
        </w:rPr>
        <w:t xml:space="preserve"> See </w:t>
      </w:r>
      <w:hyperlink r:id="rId1" w:history="1">
        <w:r w:rsidRPr="006A1D85">
          <w:rPr>
            <w:rStyle w:val="Hyperlink"/>
            <w:rFonts w:ascii="Garamond" w:hAnsi="Garamond"/>
            <w:sz w:val="24"/>
            <w:szCs w:val="24"/>
          </w:rPr>
          <w:t>https://www.msci.com/developed-markets</w:t>
        </w:r>
      </w:hyperlink>
    </w:p>
  </w:footnote>
  <w:footnote w:id="2">
    <w:p w14:paraId="38F95803" w14:textId="2882BBB6" w:rsidR="001F758F" w:rsidRPr="006A1D85" w:rsidRDefault="001F758F">
      <w:pPr>
        <w:pStyle w:val="FootnoteText"/>
        <w:rPr>
          <w:rFonts w:ascii="Garamond" w:hAnsi="Garamond"/>
          <w:sz w:val="24"/>
          <w:szCs w:val="24"/>
        </w:rPr>
      </w:pPr>
      <w:r w:rsidRPr="006A1D85">
        <w:rPr>
          <w:rStyle w:val="FootnoteReference"/>
          <w:rFonts w:ascii="Garamond" w:hAnsi="Garamond"/>
        </w:rPr>
        <w:footnoteRef/>
      </w:r>
      <w:r w:rsidRPr="006A1D85">
        <w:rPr>
          <w:rFonts w:ascii="Garamond" w:hAnsi="Garamond"/>
        </w:rPr>
        <w:t xml:space="preserve"> </w:t>
      </w:r>
      <w:r w:rsidRPr="006A1D85">
        <w:rPr>
          <w:rFonts w:ascii="Garamond" w:hAnsi="Garamond"/>
          <w:sz w:val="24"/>
          <w:szCs w:val="24"/>
        </w:rPr>
        <w:t xml:space="preserve">See </w:t>
      </w:r>
      <w:hyperlink r:id="rId2" w:history="1">
        <w:r w:rsidRPr="006A1D85">
          <w:rPr>
            <w:rStyle w:val="Hyperlink"/>
            <w:rFonts w:ascii="Garamond" w:hAnsi="Garamond"/>
            <w:sz w:val="24"/>
            <w:szCs w:val="24"/>
          </w:rPr>
          <w:t>https://data.worldbank.org/</w:t>
        </w:r>
      </w:hyperlink>
    </w:p>
  </w:footnote>
  <w:footnote w:id="3">
    <w:p w14:paraId="7DE4D128" w14:textId="4E38D807" w:rsidR="001F758F" w:rsidRPr="006A1D85" w:rsidRDefault="001F758F">
      <w:pPr>
        <w:pStyle w:val="FootnoteText"/>
        <w:rPr>
          <w:rFonts w:ascii="Garamond" w:hAnsi="Garamond"/>
          <w:sz w:val="24"/>
          <w:szCs w:val="24"/>
        </w:rPr>
      </w:pPr>
      <w:r w:rsidRPr="006A1D85">
        <w:rPr>
          <w:rStyle w:val="FootnoteReference"/>
          <w:rFonts w:ascii="Garamond" w:hAnsi="Garamond"/>
          <w:sz w:val="24"/>
          <w:szCs w:val="24"/>
        </w:rPr>
        <w:footnoteRef/>
      </w:r>
      <w:r w:rsidRPr="006A1D85">
        <w:rPr>
          <w:rFonts w:ascii="Garamond" w:hAnsi="Garamond"/>
          <w:sz w:val="24"/>
          <w:szCs w:val="24"/>
        </w:rPr>
        <w:t xml:space="preserve"> See </w:t>
      </w:r>
      <w:hyperlink r:id="rId3" w:history="1">
        <w:r w:rsidRPr="006A1D85">
          <w:rPr>
            <w:rStyle w:val="Hyperlink"/>
            <w:rFonts w:ascii="Garamond" w:hAnsi="Garamond"/>
            <w:sz w:val="24"/>
            <w:szCs w:val="24"/>
          </w:rPr>
          <w:t>https://datacatalog.worldbank.org/dataset/worldwide-governance-indicators</w:t>
        </w:r>
      </w:hyperlink>
    </w:p>
  </w:footnote>
  <w:footnote w:id="4">
    <w:p w14:paraId="15525E9F" w14:textId="17997BF6" w:rsidR="001F758F" w:rsidRPr="006A1D85" w:rsidRDefault="001F758F">
      <w:pPr>
        <w:pStyle w:val="FootnoteText"/>
        <w:rPr>
          <w:rFonts w:ascii="Garamond" w:hAnsi="Garamond"/>
        </w:rPr>
      </w:pPr>
      <w:r w:rsidRPr="006A1D85">
        <w:rPr>
          <w:rStyle w:val="FootnoteReference"/>
          <w:rFonts w:ascii="Garamond" w:hAnsi="Garamond"/>
          <w:sz w:val="24"/>
          <w:szCs w:val="24"/>
        </w:rPr>
        <w:footnoteRef/>
      </w:r>
      <w:r w:rsidRPr="006A1D85">
        <w:rPr>
          <w:rFonts w:ascii="Garamond" w:hAnsi="Garamond"/>
          <w:sz w:val="24"/>
          <w:szCs w:val="24"/>
        </w:rPr>
        <w:t xml:space="preserve"> See </w:t>
      </w:r>
      <w:hyperlink r:id="rId4" w:history="1">
        <w:r w:rsidRPr="006A1D85">
          <w:rPr>
            <w:rStyle w:val="Hyperlink"/>
            <w:rFonts w:ascii="Garamond" w:hAnsi="Garamond"/>
            <w:sz w:val="24"/>
            <w:szCs w:val="24"/>
          </w:rPr>
          <w:t>https://hi.hofstede-insights.com/national-culture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223ECC"/>
    <w:multiLevelType w:val="hybridMultilevel"/>
    <w:tmpl w:val="B908E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4A7"/>
    <w:rsid w:val="00046EFD"/>
    <w:rsid w:val="00063A90"/>
    <w:rsid w:val="00082FC2"/>
    <w:rsid w:val="00086601"/>
    <w:rsid w:val="000B0145"/>
    <w:rsid w:val="00105FD4"/>
    <w:rsid w:val="00152811"/>
    <w:rsid w:val="0016772D"/>
    <w:rsid w:val="001A476C"/>
    <w:rsid w:val="001F758F"/>
    <w:rsid w:val="001F7631"/>
    <w:rsid w:val="00233ED7"/>
    <w:rsid w:val="00255EEE"/>
    <w:rsid w:val="002672DA"/>
    <w:rsid w:val="002A18AF"/>
    <w:rsid w:val="002B104C"/>
    <w:rsid w:val="002B58CA"/>
    <w:rsid w:val="002D051B"/>
    <w:rsid w:val="0033404F"/>
    <w:rsid w:val="00342DDE"/>
    <w:rsid w:val="00425F0C"/>
    <w:rsid w:val="00443F55"/>
    <w:rsid w:val="00460723"/>
    <w:rsid w:val="004C64A7"/>
    <w:rsid w:val="004E6F1E"/>
    <w:rsid w:val="0051650D"/>
    <w:rsid w:val="005623D0"/>
    <w:rsid w:val="0058798F"/>
    <w:rsid w:val="00590502"/>
    <w:rsid w:val="006040C1"/>
    <w:rsid w:val="00610E91"/>
    <w:rsid w:val="006359D7"/>
    <w:rsid w:val="006A1D85"/>
    <w:rsid w:val="00721886"/>
    <w:rsid w:val="0075792F"/>
    <w:rsid w:val="00765F47"/>
    <w:rsid w:val="00780F9C"/>
    <w:rsid w:val="007C0520"/>
    <w:rsid w:val="007E3FF1"/>
    <w:rsid w:val="00805592"/>
    <w:rsid w:val="00846C7E"/>
    <w:rsid w:val="008E0219"/>
    <w:rsid w:val="009B1E53"/>
    <w:rsid w:val="009C4E05"/>
    <w:rsid w:val="00A921A6"/>
    <w:rsid w:val="00AB0788"/>
    <w:rsid w:val="00AB5CB9"/>
    <w:rsid w:val="00AD4C82"/>
    <w:rsid w:val="00B43A09"/>
    <w:rsid w:val="00C14A3C"/>
    <w:rsid w:val="00C233BF"/>
    <w:rsid w:val="00C25559"/>
    <w:rsid w:val="00CA73AA"/>
    <w:rsid w:val="00CC1E4C"/>
    <w:rsid w:val="00CD1112"/>
    <w:rsid w:val="00DD038D"/>
    <w:rsid w:val="00E31909"/>
    <w:rsid w:val="00E35875"/>
    <w:rsid w:val="00E422FE"/>
    <w:rsid w:val="00E46895"/>
    <w:rsid w:val="00E75C9B"/>
    <w:rsid w:val="00E850CB"/>
    <w:rsid w:val="00EA5770"/>
    <w:rsid w:val="00F632CA"/>
    <w:rsid w:val="00F85B94"/>
    <w:rsid w:val="00FA42BB"/>
    <w:rsid w:val="00FE1CD8"/>
    <w:rsid w:val="00FE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CB758"/>
  <w15:chartTrackingRefBased/>
  <w15:docId w15:val="{413A3A73-F0A8-4FFC-8D42-0282BC2CF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F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3F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59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F55"/>
    <w:pPr>
      <w:ind w:left="720"/>
      <w:contextualSpacing/>
    </w:pPr>
  </w:style>
  <w:style w:type="character" w:customStyle="1" w:styleId="Heading1Char">
    <w:name w:val="Heading 1 Char"/>
    <w:basedOn w:val="DefaultParagraphFont"/>
    <w:link w:val="Heading1"/>
    <w:uiPriority w:val="9"/>
    <w:rsid w:val="00443F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3F5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46895"/>
    <w:rPr>
      <w:color w:val="0000FF"/>
      <w:u w:val="single"/>
    </w:rPr>
  </w:style>
  <w:style w:type="paragraph" w:styleId="FootnoteText">
    <w:name w:val="footnote text"/>
    <w:basedOn w:val="Normal"/>
    <w:link w:val="FootnoteTextChar"/>
    <w:uiPriority w:val="99"/>
    <w:semiHidden/>
    <w:unhideWhenUsed/>
    <w:rsid w:val="00E4689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6895"/>
    <w:rPr>
      <w:sz w:val="20"/>
      <w:szCs w:val="20"/>
    </w:rPr>
  </w:style>
  <w:style w:type="character" w:styleId="FootnoteReference">
    <w:name w:val="footnote reference"/>
    <w:basedOn w:val="DefaultParagraphFont"/>
    <w:uiPriority w:val="99"/>
    <w:semiHidden/>
    <w:unhideWhenUsed/>
    <w:rsid w:val="00E46895"/>
    <w:rPr>
      <w:vertAlign w:val="superscript"/>
    </w:rPr>
  </w:style>
  <w:style w:type="character" w:styleId="PlaceholderText">
    <w:name w:val="Placeholder Text"/>
    <w:basedOn w:val="DefaultParagraphFont"/>
    <w:uiPriority w:val="99"/>
    <w:semiHidden/>
    <w:rsid w:val="00721886"/>
    <w:rPr>
      <w:color w:val="808080"/>
    </w:rPr>
  </w:style>
  <w:style w:type="character" w:customStyle="1" w:styleId="Heading3Char">
    <w:name w:val="Heading 3 Char"/>
    <w:basedOn w:val="DefaultParagraphFont"/>
    <w:link w:val="Heading3"/>
    <w:uiPriority w:val="9"/>
    <w:rsid w:val="006359D7"/>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1F76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174464">
      <w:bodyDiv w:val="1"/>
      <w:marLeft w:val="0"/>
      <w:marRight w:val="0"/>
      <w:marTop w:val="0"/>
      <w:marBottom w:val="0"/>
      <w:divBdr>
        <w:top w:val="none" w:sz="0" w:space="0" w:color="auto"/>
        <w:left w:val="none" w:sz="0" w:space="0" w:color="auto"/>
        <w:bottom w:val="none" w:sz="0" w:space="0" w:color="auto"/>
        <w:right w:val="none" w:sz="0" w:space="0" w:color="auto"/>
      </w:divBdr>
    </w:div>
    <w:div w:id="219367394">
      <w:bodyDiv w:val="1"/>
      <w:marLeft w:val="0"/>
      <w:marRight w:val="0"/>
      <w:marTop w:val="0"/>
      <w:marBottom w:val="0"/>
      <w:divBdr>
        <w:top w:val="none" w:sz="0" w:space="0" w:color="auto"/>
        <w:left w:val="none" w:sz="0" w:space="0" w:color="auto"/>
        <w:bottom w:val="none" w:sz="0" w:space="0" w:color="auto"/>
        <w:right w:val="none" w:sz="0" w:space="0" w:color="auto"/>
      </w:divBdr>
    </w:div>
    <w:div w:id="226765798">
      <w:bodyDiv w:val="1"/>
      <w:marLeft w:val="0"/>
      <w:marRight w:val="0"/>
      <w:marTop w:val="0"/>
      <w:marBottom w:val="0"/>
      <w:divBdr>
        <w:top w:val="none" w:sz="0" w:space="0" w:color="auto"/>
        <w:left w:val="none" w:sz="0" w:space="0" w:color="auto"/>
        <w:bottom w:val="none" w:sz="0" w:space="0" w:color="auto"/>
        <w:right w:val="none" w:sz="0" w:space="0" w:color="auto"/>
      </w:divBdr>
    </w:div>
    <w:div w:id="321277648">
      <w:bodyDiv w:val="1"/>
      <w:marLeft w:val="0"/>
      <w:marRight w:val="0"/>
      <w:marTop w:val="0"/>
      <w:marBottom w:val="0"/>
      <w:divBdr>
        <w:top w:val="none" w:sz="0" w:space="0" w:color="auto"/>
        <w:left w:val="none" w:sz="0" w:space="0" w:color="auto"/>
        <w:bottom w:val="none" w:sz="0" w:space="0" w:color="auto"/>
        <w:right w:val="none" w:sz="0" w:space="0" w:color="auto"/>
      </w:divBdr>
    </w:div>
    <w:div w:id="562254388">
      <w:bodyDiv w:val="1"/>
      <w:marLeft w:val="0"/>
      <w:marRight w:val="0"/>
      <w:marTop w:val="0"/>
      <w:marBottom w:val="0"/>
      <w:divBdr>
        <w:top w:val="none" w:sz="0" w:space="0" w:color="auto"/>
        <w:left w:val="none" w:sz="0" w:space="0" w:color="auto"/>
        <w:bottom w:val="none" w:sz="0" w:space="0" w:color="auto"/>
        <w:right w:val="none" w:sz="0" w:space="0" w:color="auto"/>
      </w:divBdr>
    </w:div>
    <w:div w:id="684283645">
      <w:bodyDiv w:val="1"/>
      <w:marLeft w:val="0"/>
      <w:marRight w:val="0"/>
      <w:marTop w:val="0"/>
      <w:marBottom w:val="0"/>
      <w:divBdr>
        <w:top w:val="none" w:sz="0" w:space="0" w:color="auto"/>
        <w:left w:val="none" w:sz="0" w:space="0" w:color="auto"/>
        <w:bottom w:val="none" w:sz="0" w:space="0" w:color="auto"/>
        <w:right w:val="none" w:sz="0" w:space="0" w:color="auto"/>
      </w:divBdr>
    </w:div>
    <w:div w:id="726146117">
      <w:bodyDiv w:val="1"/>
      <w:marLeft w:val="0"/>
      <w:marRight w:val="0"/>
      <w:marTop w:val="0"/>
      <w:marBottom w:val="0"/>
      <w:divBdr>
        <w:top w:val="none" w:sz="0" w:space="0" w:color="auto"/>
        <w:left w:val="none" w:sz="0" w:space="0" w:color="auto"/>
        <w:bottom w:val="none" w:sz="0" w:space="0" w:color="auto"/>
        <w:right w:val="none" w:sz="0" w:space="0" w:color="auto"/>
      </w:divBdr>
    </w:div>
    <w:div w:id="838958144">
      <w:bodyDiv w:val="1"/>
      <w:marLeft w:val="0"/>
      <w:marRight w:val="0"/>
      <w:marTop w:val="0"/>
      <w:marBottom w:val="0"/>
      <w:divBdr>
        <w:top w:val="none" w:sz="0" w:space="0" w:color="auto"/>
        <w:left w:val="none" w:sz="0" w:space="0" w:color="auto"/>
        <w:bottom w:val="none" w:sz="0" w:space="0" w:color="auto"/>
        <w:right w:val="none" w:sz="0" w:space="0" w:color="auto"/>
      </w:divBdr>
    </w:div>
    <w:div w:id="839780871">
      <w:bodyDiv w:val="1"/>
      <w:marLeft w:val="0"/>
      <w:marRight w:val="0"/>
      <w:marTop w:val="0"/>
      <w:marBottom w:val="0"/>
      <w:divBdr>
        <w:top w:val="none" w:sz="0" w:space="0" w:color="auto"/>
        <w:left w:val="none" w:sz="0" w:space="0" w:color="auto"/>
        <w:bottom w:val="none" w:sz="0" w:space="0" w:color="auto"/>
        <w:right w:val="none" w:sz="0" w:space="0" w:color="auto"/>
      </w:divBdr>
    </w:div>
    <w:div w:id="910963136">
      <w:bodyDiv w:val="1"/>
      <w:marLeft w:val="0"/>
      <w:marRight w:val="0"/>
      <w:marTop w:val="0"/>
      <w:marBottom w:val="0"/>
      <w:divBdr>
        <w:top w:val="none" w:sz="0" w:space="0" w:color="auto"/>
        <w:left w:val="none" w:sz="0" w:space="0" w:color="auto"/>
        <w:bottom w:val="none" w:sz="0" w:space="0" w:color="auto"/>
        <w:right w:val="none" w:sz="0" w:space="0" w:color="auto"/>
      </w:divBdr>
    </w:div>
    <w:div w:id="926156176">
      <w:bodyDiv w:val="1"/>
      <w:marLeft w:val="0"/>
      <w:marRight w:val="0"/>
      <w:marTop w:val="0"/>
      <w:marBottom w:val="0"/>
      <w:divBdr>
        <w:top w:val="none" w:sz="0" w:space="0" w:color="auto"/>
        <w:left w:val="none" w:sz="0" w:space="0" w:color="auto"/>
        <w:bottom w:val="none" w:sz="0" w:space="0" w:color="auto"/>
        <w:right w:val="none" w:sz="0" w:space="0" w:color="auto"/>
      </w:divBdr>
    </w:div>
    <w:div w:id="1102995289">
      <w:bodyDiv w:val="1"/>
      <w:marLeft w:val="0"/>
      <w:marRight w:val="0"/>
      <w:marTop w:val="0"/>
      <w:marBottom w:val="0"/>
      <w:divBdr>
        <w:top w:val="none" w:sz="0" w:space="0" w:color="auto"/>
        <w:left w:val="none" w:sz="0" w:space="0" w:color="auto"/>
        <w:bottom w:val="none" w:sz="0" w:space="0" w:color="auto"/>
        <w:right w:val="none" w:sz="0" w:space="0" w:color="auto"/>
      </w:divBdr>
    </w:div>
    <w:div w:id="1223760441">
      <w:bodyDiv w:val="1"/>
      <w:marLeft w:val="0"/>
      <w:marRight w:val="0"/>
      <w:marTop w:val="0"/>
      <w:marBottom w:val="0"/>
      <w:divBdr>
        <w:top w:val="none" w:sz="0" w:space="0" w:color="auto"/>
        <w:left w:val="none" w:sz="0" w:space="0" w:color="auto"/>
        <w:bottom w:val="none" w:sz="0" w:space="0" w:color="auto"/>
        <w:right w:val="none" w:sz="0" w:space="0" w:color="auto"/>
      </w:divBdr>
    </w:div>
    <w:div w:id="1426654705">
      <w:bodyDiv w:val="1"/>
      <w:marLeft w:val="0"/>
      <w:marRight w:val="0"/>
      <w:marTop w:val="0"/>
      <w:marBottom w:val="0"/>
      <w:divBdr>
        <w:top w:val="none" w:sz="0" w:space="0" w:color="auto"/>
        <w:left w:val="none" w:sz="0" w:space="0" w:color="auto"/>
        <w:bottom w:val="none" w:sz="0" w:space="0" w:color="auto"/>
        <w:right w:val="none" w:sz="0" w:space="0" w:color="auto"/>
      </w:divBdr>
    </w:div>
    <w:div w:id="1446462368">
      <w:bodyDiv w:val="1"/>
      <w:marLeft w:val="0"/>
      <w:marRight w:val="0"/>
      <w:marTop w:val="0"/>
      <w:marBottom w:val="0"/>
      <w:divBdr>
        <w:top w:val="none" w:sz="0" w:space="0" w:color="auto"/>
        <w:left w:val="none" w:sz="0" w:space="0" w:color="auto"/>
        <w:bottom w:val="none" w:sz="0" w:space="0" w:color="auto"/>
        <w:right w:val="none" w:sz="0" w:space="0" w:color="auto"/>
      </w:divBdr>
    </w:div>
    <w:div w:id="1645156025">
      <w:bodyDiv w:val="1"/>
      <w:marLeft w:val="0"/>
      <w:marRight w:val="0"/>
      <w:marTop w:val="0"/>
      <w:marBottom w:val="0"/>
      <w:divBdr>
        <w:top w:val="none" w:sz="0" w:space="0" w:color="auto"/>
        <w:left w:val="none" w:sz="0" w:space="0" w:color="auto"/>
        <w:bottom w:val="none" w:sz="0" w:space="0" w:color="auto"/>
        <w:right w:val="none" w:sz="0" w:space="0" w:color="auto"/>
      </w:divBdr>
    </w:div>
    <w:div w:id="1728647237">
      <w:bodyDiv w:val="1"/>
      <w:marLeft w:val="0"/>
      <w:marRight w:val="0"/>
      <w:marTop w:val="0"/>
      <w:marBottom w:val="0"/>
      <w:divBdr>
        <w:top w:val="none" w:sz="0" w:space="0" w:color="auto"/>
        <w:left w:val="none" w:sz="0" w:space="0" w:color="auto"/>
        <w:bottom w:val="none" w:sz="0" w:space="0" w:color="auto"/>
        <w:right w:val="none" w:sz="0" w:space="0" w:color="auto"/>
      </w:divBdr>
    </w:div>
    <w:div w:id="1764301946">
      <w:bodyDiv w:val="1"/>
      <w:marLeft w:val="0"/>
      <w:marRight w:val="0"/>
      <w:marTop w:val="0"/>
      <w:marBottom w:val="0"/>
      <w:divBdr>
        <w:top w:val="none" w:sz="0" w:space="0" w:color="auto"/>
        <w:left w:val="none" w:sz="0" w:space="0" w:color="auto"/>
        <w:bottom w:val="none" w:sz="0" w:space="0" w:color="auto"/>
        <w:right w:val="none" w:sz="0" w:space="0" w:color="auto"/>
      </w:divBdr>
    </w:div>
    <w:div w:id="1954945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datacatalog.worldbank.org/dataset/worldwide-governance-indicators" TargetMode="External"/><Relationship Id="rId2" Type="http://schemas.openxmlformats.org/officeDocument/2006/relationships/hyperlink" Target="https://data.worldbank.org/" TargetMode="External"/><Relationship Id="rId1" Type="http://schemas.openxmlformats.org/officeDocument/2006/relationships/hyperlink" Target="https://www.msci.com/developed-markets" TargetMode="External"/><Relationship Id="rId4" Type="http://schemas.openxmlformats.org/officeDocument/2006/relationships/hyperlink" Target="https://hi.hofstede-insights.com/national-cul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4640</TotalTime>
  <Pages>22</Pages>
  <Words>4492</Words>
  <Characters>25610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Petri</dc:creator>
  <cp:keywords/>
  <dc:description/>
  <cp:lastModifiedBy>Jason Petri</cp:lastModifiedBy>
  <cp:revision>15</cp:revision>
  <dcterms:created xsi:type="dcterms:W3CDTF">2020-04-23T14:06:00Z</dcterms:created>
  <dcterms:modified xsi:type="dcterms:W3CDTF">2020-04-27T03:19:00Z</dcterms:modified>
</cp:coreProperties>
</file>