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EE1" w14:textId="77777777" w:rsidR="009C3288" w:rsidRPr="00E21EE6" w:rsidRDefault="009C3288" w:rsidP="009C3288">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Pr>
          <w:rFonts w:ascii="Times New Roman" w:hAnsi="Times New Roman" w:cs="Times New Roman"/>
        </w:rPr>
        <w:t xml:space="preserve">edible </w:t>
      </w:r>
      <w:r w:rsidRPr="00F24103">
        <w:rPr>
          <w:rFonts w:ascii="Times New Roman" w:hAnsi="Times New Roman" w:cs="Times New Roman"/>
        </w:rPr>
        <w:t>portion.</w:t>
      </w:r>
      <w:r>
        <w:rPr>
          <w:rFonts w:ascii="Times New Roman" w:hAnsi="Times New Roman" w:cs="Times New Roman"/>
        </w:rPr>
        <w:t xml:space="preserve"> Emissions </w:t>
      </w:r>
      <w:r w:rsidRPr="006F6706">
        <w:rPr>
          <w:rFonts w:ascii="Times New Roman" w:hAnsi="Times New Roman" w:cs="Times New Roman"/>
        </w:rPr>
        <w:t xml:space="preserve">were </w:t>
      </w:r>
      <w:r>
        <w:rPr>
          <w:rFonts w:ascii="Times New Roman" w:hAnsi="Times New Roman" w:cs="Times New Roman"/>
        </w:rPr>
        <w:t xml:space="preserve">thus generated by live weights in A and </w:t>
      </w:r>
      <w:r w:rsidRPr="006F6706">
        <w:rPr>
          <w:rFonts w:ascii="Times New Roman" w:hAnsi="Times New Roman" w:cs="Times New Roman"/>
        </w:rPr>
        <w:t xml:space="preserve">edible </w:t>
      </w:r>
      <w:r>
        <w:rPr>
          <w:rFonts w:ascii="Times New Roman" w:hAnsi="Times New Roman" w:cs="Times New Roman"/>
        </w:rPr>
        <w:t>weights in C</w:t>
      </w:r>
      <w:r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4">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7">
        <w:r w:rsidRPr="00F24103">
          <w:rPr>
            <w:rFonts w:ascii="Times New Roman" w:hAnsi="Times New Roman" w:cs="Times New Roman"/>
            <w:color w:val="000000"/>
          </w:rPr>
          <w:t xml:space="preserve">(Clune </w:t>
        </w:r>
      </w:hyperlink>
      <w:hyperlink r:id="rId8">
        <w:r w:rsidRPr="00F24103">
          <w:rPr>
            <w:rFonts w:ascii="Times New Roman" w:hAnsi="Times New Roman" w:cs="Times New Roman"/>
            <w:i/>
            <w:color w:val="000000"/>
          </w:rPr>
          <w:t>et al</w:t>
        </w:r>
      </w:hyperlink>
      <w:hyperlink r:id="rId9">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0">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5CD62DD6" w14:textId="77777777" w:rsidR="009C3288" w:rsidRDefault="009C3288" w:rsidP="009C3288">
      <w:pPr>
        <w:rPr>
          <w:rFonts w:ascii="Times New Roman" w:hAnsi="Times New Roman" w:cs="Times New Roman"/>
          <w:b/>
        </w:rPr>
      </w:pPr>
    </w:p>
    <w:p w14:paraId="683640DA" w14:textId="60B00C56" w:rsidR="009C3288" w:rsidRPr="00F24103" w:rsidRDefault="009C3288" w:rsidP="009C3288">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Pr>
          <w:rFonts w:ascii="Times New Roman" w:hAnsi="Times New Roman" w:cs="Times New Roman"/>
        </w:rPr>
        <w:t>–</w:t>
      </w:r>
      <w:r w:rsidRPr="00F24103">
        <w:rPr>
          <w:rFonts w:ascii="Times New Roman" w:hAnsi="Times New Roman" w:cs="Times New Roman"/>
        </w:rPr>
        <w:t xml:space="preserve"> exports</w:t>
      </w:r>
      <w:r>
        <w:rPr>
          <w:rFonts w:ascii="Times New Roman" w:hAnsi="Times New Roman" w:cs="Times New Roman"/>
        </w:rPr>
        <w:t xml:space="preserve">, </w:t>
      </w:r>
      <w:r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imported and exported seafood were unavailable, and farmed production estimates are the average annual value across 2015-2018.</w:t>
      </w:r>
    </w:p>
    <w:p w14:paraId="5FD6D1C8" w14:textId="77777777" w:rsidR="009C3288" w:rsidRDefault="009C3288" w:rsidP="00B523C1">
      <w:pPr>
        <w:rPr>
          <w:rFonts w:ascii="Times New Roman" w:hAnsi="Times New Roman" w:cs="Times New Roman"/>
          <w:b/>
        </w:rPr>
      </w:pPr>
    </w:p>
    <w:p w14:paraId="48B8BE0A" w14:textId="0462DD77" w:rsidR="00B523C1" w:rsidRPr="00F24103" w:rsidRDefault="00B523C1" w:rsidP="00B523C1">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Pr>
          <w:rFonts w:ascii="Times New Roman" w:hAnsi="Times New Roman" w:cs="Times New Roman"/>
        </w:rPr>
        <w:t>rating</w:t>
      </w:r>
      <w:r w:rsidRPr="00F24103">
        <w:rPr>
          <w:rFonts w:ascii="Times New Roman" w:hAnsi="Times New Roman" w:cs="Times New Roman"/>
        </w:rPr>
        <w:t xml:space="preserv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68B3445F" w14:textId="77777777" w:rsidR="00D4791D" w:rsidRDefault="00D4791D"/>
    <w:sectPr w:rsidR="00D4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C1"/>
    <w:rsid w:val="0080114D"/>
    <w:rsid w:val="009C3288"/>
    <w:rsid w:val="00B523C1"/>
    <w:rsid w:val="00BC4845"/>
    <w:rsid w:val="00D47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E6B9CB"/>
  <w15:chartTrackingRefBased/>
  <w15:docId w15:val="{441E4F47-FD75-1246-BFB2-3B16CB41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C1"/>
    <w:pPr>
      <w:spacing w:line="276" w:lineRule="auto"/>
    </w:pPr>
    <w:rPr>
      <w:rFonts w:ascii="Arial" w:eastAsia="Arial"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rPr>
      <w:rFonts w:ascii="Times New Roman" w:hAnsi="Times New Roman" w:cs="Times New Roman"/>
      <w:i/>
      <w:color w:val="999999"/>
      <w:sz w:val="24"/>
      <w:szCs w:val="24"/>
      <w:lang w:val="en"/>
    </w:rPr>
  </w:style>
  <w:style w:type="paragraph" w:customStyle="1" w:styleId="Header1">
    <w:name w:val="Header1"/>
    <w:basedOn w:val="Normal"/>
    <w:qFormat/>
    <w:rsid w:val="00BC4845"/>
    <w:rPr>
      <w:rFonts w:ascii="Times New Roman" w:hAnsi="Times New Roman" w:cs="Times New Roman"/>
      <w:b/>
      <w:color w:val="000000" w:themeColor="text1"/>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vw8Sxg/gufY" TargetMode="External"/><Relationship Id="rId3" Type="http://schemas.openxmlformats.org/officeDocument/2006/relationships/webSettings" Target="webSettings.xml"/><Relationship Id="rId7" Type="http://schemas.openxmlformats.org/officeDocument/2006/relationships/hyperlink" Target="https://paperpile.com/c/vw8Sxg/guf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pile.com/c/vw8Sxg/1G66" TargetMode="External"/><Relationship Id="rId11" Type="http://schemas.openxmlformats.org/officeDocument/2006/relationships/fontTable" Target="fontTable.xml"/><Relationship Id="rId5" Type="http://schemas.openxmlformats.org/officeDocument/2006/relationships/hyperlink" Target="https://paperpile.com/c/vw8Sxg/1G66" TargetMode="External"/><Relationship Id="rId10" Type="http://schemas.openxmlformats.org/officeDocument/2006/relationships/hyperlink" Target="https://paperpile.com/c/vw8Sxg/UtlY" TargetMode="External"/><Relationship Id="rId4" Type="http://schemas.openxmlformats.org/officeDocument/2006/relationships/hyperlink" Target="https://paperpile.com/c/vw8Sxg/1G66" TargetMode="External"/><Relationship Id="rId9" Type="http://schemas.openxmlformats.org/officeDocument/2006/relationships/hyperlink" Target="https://paperpile.com/c/vw8Sxg/gu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2</cp:revision>
  <dcterms:created xsi:type="dcterms:W3CDTF">2022-11-14T16:58:00Z</dcterms:created>
  <dcterms:modified xsi:type="dcterms:W3CDTF">2022-11-14T16:59:00Z</dcterms:modified>
</cp:coreProperties>
</file>