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59E9284C"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w:t>
      </w:r>
      <w:r w:rsidR="00686DC4">
        <w:rPr>
          <w:b/>
          <w:sz w:val="28"/>
        </w:rPr>
        <w:t>36</w:t>
      </w:r>
      <w:r w:rsidR="00EA3531">
        <w:rPr>
          <w:b/>
          <w:sz w:val="28"/>
        </w:rPr>
        <w:t>]</w:t>
      </w:r>
    </w:p>
    <w:p w14:paraId="28F97ACD" w14:textId="114DD78D"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 xml:space="preserve">(controls turf algae) </w:t>
      </w:r>
      <w:r w:rsidR="00F93D4E">
        <w:t>and scraping</w:t>
      </w:r>
      <w:r w:rsidR="004F0AB1">
        <w:t xml:space="preserve"> (clears benthic substrate</w:t>
      </w:r>
      <w:r w:rsidR="00756BBD">
        <w:t xml:space="preserve"> for coral settlement</w:t>
      </w:r>
      <w:r w:rsidR="004F0AB1">
        <w:t>)</w:t>
      </w:r>
      <w:r w:rsidR="00F93D4E">
        <w:t xml:space="preserve">,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w:t>
      </w:r>
      <w:r w:rsidR="00CC56AB">
        <w:t>higher</w:t>
      </w:r>
      <w:r w:rsidR="00646B4F">
        <w:t xml:space="preserve">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9E6A93">
        <w:t>S</w:t>
      </w:r>
      <w:r w:rsidR="00CC56AB">
        <w:t>tressors which cause coral declines</w:t>
      </w:r>
      <w:r w:rsidR="001155F1">
        <w:t xml:space="preserve"> and clear substrate for turf algae</w:t>
      </w:r>
      <w:r w:rsidR="00CC56AB">
        <w:t xml:space="preserve"> </w:t>
      </w:r>
      <w:r w:rsidR="001155F1">
        <w:lastRenderedPageBreak/>
        <w:t xml:space="preserve">will likely stimulate increases in </w:t>
      </w:r>
      <w:r w:rsidR="00CC56AB">
        <w:t xml:space="preserve">cropping </w:t>
      </w:r>
      <w:r w:rsidR="001155F1">
        <w:t>rate</w:t>
      </w:r>
      <w:r w:rsidR="009E6A93">
        <w:t>s, at both fished and protected areas.</w:t>
      </w:r>
      <w:r w:rsidR="001155F1">
        <w:t xml:space="preserve"> </w:t>
      </w:r>
      <w:r w:rsidR="00012E0D">
        <w:t>In contrast, s</w:t>
      </w:r>
      <w:r w:rsidR="00EB31DB">
        <w:t>craping functions are already impaired at inhabited reefs,</w:t>
      </w:r>
      <w:r w:rsidR="00012E0D">
        <w:t xml:space="preserve"> particularly if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rsidR="009E6A93">
        <w:t xml:space="preserve">scraper </w:t>
      </w:r>
      <w:r w:rsidR="00CC56AB">
        <w:t xml:space="preserve">biomass </w:t>
      </w:r>
      <w:r w:rsidR="006124D7">
        <w:t xml:space="preserve">to be rebuilt </w:t>
      </w:r>
      <w:r w:rsidR="009E6A93">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Hughes et al. 2017</w:t>
      </w:r>
      <w:r w:rsidRPr="00F510B7">
        <w:rPr>
          <w:color w:val="000000"/>
        </w:rPr>
        <w:t>)</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w:t>
      </w:r>
      <w:r w:rsidR="005F5E21">
        <w:lastRenderedPageBreak/>
        <w:t xml:space="preserve">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70343058"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w:t>
      </w:r>
      <w:r w:rsidR="00CC0F79" w:rsidRPr="00F510B7">
        <w:lastRenderedPageBreak/>
        <w:t xml:space="preserve">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lastRenderedPageBreak/>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xml:space="preserve">. In point counts, large mobile species were censused before smaller territorial species. In </w:t>
      </w:r>
      <w:r w:rsidR="00CC0F79" w:rsidRPr="00F510B7">
        <w:lastRenderedPageBreak/>
        <w:t>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22B41C10"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w:t>
      </w:r>
      <w:r w:rsidRPr="00F510B7">
        <w:lastRenderedPageBreak/>
        <w:t xml:space="preserve">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1E59A358" w14:textId="6285C306"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 xml:space="preserve">This </w:t>
      </w:r>
      <w:r w:rsidR="004A4BC9">
        <w:lastRenderedPageBreak/>
        <w:t>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feeding data, bite rates were</w:t>
      </w:r>
      <w:r w:rsidR="00567286">
        <w:t xml:space="preserve"> only</w:t>
      </w:r>
      <w:r w:rsidR="0011368F">
        <w:t xml:space="preserv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lang w:eastAsia="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75F0193E" w:rsidR="00C65FB8" w:rsidRPr="00F510B7" w:rsidRDefault="00F87441" w:rsidP="00F81925">
      <w:r>
        <w:rPr>
          <w:noProof/>
          <w:color w:val="000000"/>
          <w:sz w:val="22"/>
          <w:szCs w:val="22"/>
        </w:rPr>
        <w:drawing>
          <wp:inline distT="0" distB="0" distL="0" distR="0" wp14:anchorId="3F53C343" wp14:editId="6389C3C6">
            <wp:extent cx="3160800" cy="165600"/>
            <wp:effectExtent l="0" t="0" r="0" b="0"/>
            <wp:docPr id="12" name="Picture 12" descr="https://lh5.googleusercontent.com/wbPcm42yRmB8Y9b4_oBKJEOdRgQExIPOPQHPoMNqyvBgmO2Ab0EgM-m776D5M091xNHNYakTmNb5Ub_pDG8JJr43Jst-MGAed7aoDXwy9mOOoi13sp5D1En7BGAi8713Ips4d8N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bPcm42yRmB8Y9b4_oBKJEOdRgQExIPOPQHPoMNqyvBgmO2Ab0EgM-m776D5M091xNHNYakTmNb5Ub_pDG8JJr43Jst-MGAed7aoDXwy9mOOoi13sp5D1En7BGAi8713Ips4d8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800" cy="165600"/>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44902B0D"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CC181D">
        <w:t xml:space="preserve">Fish belonging to genera which were not present in the feeding observation dataset were assigned average feeding rates irrespective of species and genera (i.e. the model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C181D">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w:t>
      </w:r>
      <w:r w:rsidR="00B07EFA">
        <w:t xml:space="preserve">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lang w:eastAsia="en-GB"/>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5D440FC3"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t>
      </w:r>
      <w:r w:rsidR="00B07EFA">
        <w:t xml:space="preserve">Our approach accounts for bite size increasing with body size, </w:t>
      </w:r>
      <w:r w:rsidR="004C0A50">
        <w:t xml:space="preserve">meaning that </w:t>
      </w:r>
      <w:r w:rsidR="00B07EFA">
        <w:t xml:space="preserve">larger fish </w:t>
      </w:r>
      <w:r w:rsidR="00380FAD">
        <w:t xml:space="preserve">will have </w:t>
      </w:r>
      <w:r w:rsidR="00B07EFA">
        <w:t>greater carbon intakes (</w:t>
      </w:r>
      <w:proofErr w:type="spellStart"/>
      <w:r w:rsidR="00B07EFA">
        <w:t>Marshell</w:t>
      </w:r>
      <w:proofErr w:type="spellEnd"/>
      <w:r w:rsidR="00B07EFA">
        <w:t xml:space="preserve"> &amp; Mumby 2015). </w:t>
      </w:r>
      <w:r w:rsidRPr="00F510B7">
        <w:t xml:space="preserve">We summed estimates within UVC </w:t>
      </w:r>
      <w:r w:rsidR="00F72717" w:rsidRPr="00F510B7">
        <w:t>replicate</w:t>
      </w:r>
      <w:r w:rsidR="00821A96">
        <w:t>s</w:t>
      </w:r>
      <w:r w:rsidR="00987657" w:rsidRPr="00F510B7">
        <w:t xml:space="preserve"> (i.e. point count or </w:t>
      </w:r>
      <w:r w:rsidR="00987657" w:rsidRPr="00F510B7">
        <w:lastRenderedPageBreak/>
        <w:t>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87633B8"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w:t>
      </w:r>
      <w:r w:rsidR="00FE4F4D">
        <w:t xml:space="preserve">; </w:t>
      </w:r>
      <w:r w:rsidR="00FE4F4D" w:rsidRPr="00D41DD6">
        <w:rPr>
          <w:i/>
        </w:rPr>
        <w:t>r</w:t>
      </w:r>
      <w:r w:rsidR="00FE4F4D">
        <w:t xml:space="preserve"> = -0.43</w:t>
      </w:r>
      <w:r w:rsidRPr="00F510B7">
        <w:t>)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lang w:eastAsia="en-GB"/>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1D245F2A" w:rsidR="00C65FB8" w:rsidRPr="00F510B7" w:rsidRDefault="00A67013" w:rsidP="00E80FCF">
      <w:r>
        <w:rPr>
          <w:noProof/>
          <w:color w:val="000000"/>
          <w:sz w:val="22"/>
          <w:szCs w:val="22"/>
        </w:rPr>
        <w:drawing>
          <wp:inline distT="0" distB="0" distL="0" distR="0" wp14:anchorId="3B43A39A" wp14:editId="16B57434">
            <wp:extent cx="3783600" cy="165600"/>
            <wp:effectExtent l="0" t="0" r="0" b="0"/>
            <wp:docPr id="10" name="Picture 10" descr="https://lh4.googleusercontent.com/M9vnsbjgtsk5YpJBwz_A6drrsjCpAABaqVA12ZYodRj87k1OeCju11373kfa2wW9x6S0ZjQOrw9bhQSQ8f8XMsqFZnPKqrjtXFguTe3wr6F3Zsum1VsPhMbxeGQFD3l5t828N3I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9vnsbjgtsk5YpJBwz_A6drrsjCpAABaqVA12ZYodRj87k1OeCju11373kfa2wW9x6S0ZjQOrw9bhQSQ8f8XMsqFZnPKqrjtXFguTe3wr6F3Zsum1VsPhMbxeGQFD3l5t828N3I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36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B9D9F04"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w:t>
      </w:r>
      <w:r w:rsidR="008A64A0">
        <w:t xml:space="preserve">; </w:t>
      </w:r>
      <w:r w:rsidR="008A64A0" w:rsidRPr="00EC2CA5">
        <w:rPr>
          <w:i/>
        </w:rPr>
        <w:t>r</w:t>
      </w:r>
      <w:r w:rsidR="008A64A0">
        <w:t xml:space="preserve"> = 0.83</w:t>
      </w:r>
      <w:r w:rsidRPr="00F510B7">
        <w:t>),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lang w:eastAsia="en-GB"/>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0C94F155" w:rsidR="00C65FB8" w:rsidRPr="00F510B7" w:rsidRDefault="00A67013" w:rsidP="00066989">
      <w:r>
        <w:rPr>
          <w:noProof/>
          <w:color w:val="000000"/>
          <w:sz w:val="22"/>
          <w:szCs w:val="22"/>
        </w:rPr>
        <w:drawing>
          <wp:inline distT="0" distB="0" distL="0" distR="0" wp14:anchorId="5BA21002" wp14:editId="7CB46C4F">
            <wp:extent cx="1483200" cy="165600"/>
            <wp:effectExtent l="0" t="0" r="0" b="0"/>
            <wp:docPr id="8" name="Picture 8" descr="https://lh4.googleusercontent.com/0IqwYikrlEIYsrxlK4NYUnZtMOdnaLIFiqj10BveNIZe7JF00teEG8BMtxVmTYPADIevxQI1Re38Nc8PP0dwDZHQehMAKxiuBBOuGSqkcCTAIhd85zyj3qTWMwftyrWvLwm55Uo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IqwYikrlEIYsrxlK4NYUnZtMOdnaLIFiqj10BveNIZe7JF00teEG8BMtxVmTYPADIevxQI1Re38Nc8PP0dwDZHQehMAKxiuBBOuGSqkcCTAIhd85zyj3qTWMwftyrWvLwm55Uo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3200" cy="165600"/>
                    </a:xfrm>
                    <a:prstGeom prst="rect">
                      <a:avLst/>
                    </a:prstGeom>
                    <a:noFill/>
                    <a:ln>
                      <a:noFill/>
                    </a:ln>
                  </pic:spPr>
                </pic:pic>
              </a:graphicData>
            </a:graphic>
          </wp:inline>
        </w:drawing>
      </w:r>
      <w:r>
        <w:tab/>
      </w:r>
      <w:r>
        <w:tab/>
      </w:r>
      <w:r>
        <w:tab/>
      </w:r>
      <w:r>
        <w:tab/>
      </w:r>
      <w:r>
        <w:tab/>
      </w:r>
      <w:r>
        <w:tab/>
      </w:r>
      <w:r>
        <w:tab/>
      </w:r>
      <w:r>
        <w:tab/>
      </w:r>
      <w:r>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lastRenderedPageBreak/>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105822D2"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 xml:space="preserve">Available substrate was the total cover of </w:t>
      </w:r>
      <w:commentRangeStart w:id="0"/>
      <w:commentRangeStart w:id="1"/>
      <w:r w:rsidR="00DA026A">
        <w:t>rock</w:t>
      </w:r>
      <w:r w:rsidR="005363C9">
        <w:t>, bare substrate,</w:t>
      </w:r>
      <w:r w:rsidR="00DA026A">
        <w:t xml:space="preserve"> and turf algae</w:t>
      </w:r>
      <w:r w:rsidR="00125D0B">
        <w:t>,</w:t>
      </w:r>
      <w:commentRangeEnd w:id="0"/>
      <w:r w:rsidR="008C1EF9">
        <w:rPr>
          <w:rStyle w:val="CommentReference"/>
          <w:rFonts w:ascii="Arial" w:eastAsia="Arial" w:hAnsi="Arial" w:cs="Arial"/>
          <w:lang w:val="en" w:eastAsia="en-GB"/>
        </w:rPr>
        <w:commentReference w:id="0"/>
      </w:r>
      <w:commentRangeEnd w:id="1"/>
      <w:r w:rsidR="00A41761">
        <w:rPr>
          <w:rStyle w:val="CommentReference"/>
          <w:rFonts w:ascii="Arial" w:eastAsia="Arial" w:hAnsi="Arial" w:cs="Arial"/>
          <w:lang w:val="en" w:eastAsia="en-GB"/>
        </w:rPr>
        <w:commentReference w:id="1"/>
      </w:r>
      <w:r w:rsidR="00DA026A">
        <w:t xml:space="preserve"> and represents the area of substrate available for EAM growth. </w:t>
      </w:r>
      <w:r w:rsidRPr="00F510B7">
        <w:t xml:space="preserve">To understand the range of benthic </w:t>
      </w:r>
      <w:r w:rsidRPr="00F510B7">
        <w:lastRenderedPageBreak/>
        <w:t xml:space="preserve">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319BEE3F"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 xml:space="preserve">rubble and structural complexity) and </w:t>
      </w:r>
      <w:r w:rsidR="00880BDB">
        <w:t>three</w:t>
      </w:r>
      <w:r w:rsidR="00CC0F79" w:rsidRPr="00F510B7">
        <w:t xml:space="preserve"> </w:t>
      </w:r>
      <w:r w:rsidR="009D4463">
        <w:t>fishing</w:t>
      </w:r>
      <w:r w:rsidR="00CC0F79" w:rsidRPr="00F510B7">
        <w:t xml:space="preserve"> fixed </w:t>
      </w:r>
      <w:r w:rsidR="00CC0F79" w:rsidRPr="00F510B7">
        <w:lastRenderedPageBreak/>
        <w:t xml:space="preserve">effects (fishable biomass, </w:t>
      </w:r>
      <w:r w:rsidR="005B08D9">
        <w:t>remote</w:t>
      </w:r>
      <w:r w:rsidR="00CC0F79" w:rsidRPr="00F510B7">
        <w:t xml:space="preserve"> reef, </w:t>
      </w:r>
      <w:r w:rsidR="001C3F57">
        <w:t xml:space="preserve">and </w:t>
      </w:r>
      <w:r w:rsidR="00CC0F79" w:rsidRPr="00F510B7">
        <w:t>protected reef), for gamma 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25D94452"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Eq</w:t>
      </w:r>
      <w:r w:rsidR="00CC0F79" w:rsidRPr="00F510B7">
        <w:t>. 8</w:t>
      </w:r>
    </w:p>
    <w:p w14:paraId="3410FC48" w14:textId="77777777" w:rsidR="00C65FB8" w:rsidRPr="00F510B7" w:rsidRDefault="00C65FB8" w:rsidP="00AC3B70">
      <w:pPr>
        <w:spacing w:line="480" w:lineRule="auto"/>
      </w:pPr>
    </w:p>
    <w:p w14:paraId="613B1F64" w14:textId="5DD4A5CB" w:rsidR="00C65FB8" w:rsidRPr="00F510B7" w:rsidRDefault="00CC0F79" w:rsidP="00AC3B70">
      <w:pPr>
        <w:spacing w:line="480" w:lineRule="auto"/>
        <w:ind w:firstLine="720"/>
      </w:pPr>
      <w:r w:rsidRPr="00F510B7">
        <w:t>From the global model, we fitted all possible subs</w:t>
      </w:r>
      <w:r w:rsidRPr="00F510B7">
        <w:t xml:space="preserve">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62CB57FF" w:rsidR="00C65FB8" w:rsidRPr="00F510B7" w:rsidRDefault="00B64113" w:rsidP="00BB2C97">
      <w:pPr>
        <w:spacing w:line="480" w:lineRule="auto"/>
        <w:ind w:firstLine="720"/>
      </w:pPr>
      <w:r>
        <w:lastRenderedPageBreak/>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lastRenderedPageBreak/>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2403BFF"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2A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EF326E">
        <w:t>1</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3E26AD">
        <w:t>1</w:t>
      </w:r>
      <w:r w:rsidRPr="00F510B7">
        <w:t xml:space="preserve">). </w:t>
      </w:r>
    </w:p>
    <w:p w14:paraId="62E0D19D" w14:textId="0FFAC346" w:rsidR="00AA4564" w:rsidRDefault="00BA56A6" w:rsidP="00AC3B70">
      <w:pPr>
        <w:spacing w:line="480" w:lineRule="auto"/>
      </w:pPr>
      <w:r>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1C26EAE7" w:rsidR="00AA4564" w:rsidRDefault="00AA4564" w:rsidP="005626DD">
      <w:pPr>
        <w:spacing w:line="276" w:lineRule="auto"/>
      </w:pPr>
      <w:r w:rsidRPr="00077F3E">
        <w:rPr>
          <w:b/>
        </w:rPr>
        <w:lastRenderedPageBreak/>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sidR="00CF4610">
        <w:rPr>
          <w:rFonts w:eastAsia="Gungsuh"/>
        </w:rPr>
        <w:t>c</w:t>
      </w:r>
      <w:proofErr w:type="spellEnd"/>
      <w:r w:rsidRPr="00077F3E">
        <w:rPr>
          <w:rFonts w:eastAsia="Gungsuh"/>
        </w:rPr>
        <w:t xml:space="preserve">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60893433" w:rsidR="00AA4564" w:rsidRDefault="00BB5201" w:rsidP="00AC3B70">
      <w:pPr>
        <w:spacing w:line="480" w:lineRule="auto"/>
      </w:pPr>
      <w:r>
        <w:rPr>
          <w:noProof/>
        </w:rPr>
        <w:drawing>
          <wp:inline distT="0" distB="0" distL="0" distR="0" wp14:anchorId="0AA47E3E" wp14:editId="3E9B22DE">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_predicted_effect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25B152AE"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w:t>
      </w:r>
      <w:r w:rsidR="006D18EC">
        <w:t>.</w:t>
      </w:r>
    </w:p>
    <w:p w14:paraId="5EE357E5" w14:textId="77777777" w:rsidR="007B298D" w:rsidRPr="00F510B7" w:rsidRDefault="007B298D" w:rsidP="00AC3B70">
      <w:pPr>
        <w:spacing w:line="480" w:lineRule="auto"/>
        <w:ind w:firstLine="720"/>
      </w:pPr>
    </w:p>
    <w:p w14:paraId="54BBD5FF" w14:textId="5C4F47D4"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2D) and</w:t>
      </w:r>
      <w:r w:rsidRPr="00F510B7">
        <w:t xml:space="preserve"> </w:t>
      </w:r>
      <w:r w:rsidR="00B77A20" w:rsidRPr="00F510B7">
        <w:t>structural</w:t>
      </w:r>
      <w:r w:rsidRPr="00F510B7">
        <w:t xml:space="preserve"> complexity (Fig. </w:t>
      </w:r>
      <w:r w:rsidR="00EF326E">
        <w:t>2</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w:t>
      </w:r>
      <w:r w:rsidR="00E10AC8" w:rsidRPr="00F510B7">
        <w:lastRenderedPageBreak/>
        <w:t xml:space="preserve">relatively invariant across </w:t>
      </w:r>
      <w:r w:rsidR="0079068E">
        <w:t>macroalga</w:t>
      </w:r>
      <w:r w:rsidR="00BD4224">
        <w:t>l</w:t>
      </w:r>
      <w:r w:rsidR="0079068E" w:rsidRPr="00F510B7">
        <w:t xml:space="preserve"> </w:t>
      </w:r>
      <w:r w:rsidR="00E10AC8" w:rsidRPr="00F510B7">
        <w:t xml:space="preserve">cover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EF326E">
        <w:t>1</w:t>
      </w:r>
      <w:r w:rsidRPr="00F510B7">
        <w:t>).</w:t>
      </w:r>
      <w:r w:rsidR="00F82917">
        <w:t xml:space="preserve"> </w:t>
      </w:r>
    </w:p>
    <w:p w14:paraId="2343A23A" w14:textId="1DE2D753"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commentRangeStart w:id="2"/>
      <w:commentRangeStart w:id="3"/>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commentRangeEnd w:id="2"/>
      <w:r>
        <w:rPr>
          <w:rStyle w:val="CommentReference"/>
          <w:rFonts w:ascii="Arial" w:eastAsia="Arial" w:hAnsi="Arial" w:cs="Arial"/>
          <w:lang w:val="en" w:eastAsia="en-GB"/>
        </w:rPr>
        <w:commentReference w:id="2"/>
      </w:r>
      <w:commentRangeEnd w:id="3"/>
      <w:r w:rsidR="00865474">
        <w:rPr>
          <w:rStyle w:val="CommentReference"/>
          <w:rFonts w:ascii="Arial" w:eastAsia="Arial" w:hAnsi="Arial" w:cs="Arial"/>
          <w:lang w:val="en" w:eastAsia="en-GB"/>
        </w:rPr>
        <w:commentReference w:id="3"/>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lastRenderedPageBreak/>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4"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382E989"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leads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enable</w:t>
      </w:r>
      <w:r w:rsidR="004A3B86">
        <w:t>d</w:t>
      </w:r>
      <w:r w:rsidR="006A2BD5">
        <w:t xml:space="preserve"> us </w:t>
      </w:r>
      <w:r w:rsidR="009150B8" w:rsidRPr="00077F3E">
        <w:t>to leverage observational data in a hierarchical framework which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w:t>
      </w:r>
      <w:r w:rsidR="00A6485A" w:rsidRPr="00077F3E">
        <w:lastRenderedPageBreak/>
        <w:t xml:space="preserve">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 xml:space="preserve">Cropping pressure is likely to increase in </w:t>
      </w:r>
      <w:r w:rsidR="00E062B7">
        <w:lastRenderedPageBreak/>
        <w:t>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 xml:space="preserve">Lizard Island Reef Research Foundation Doctoral Fellowship </w:t>
      </w:r>
      <w:r w:rsidR="00C0795E" w:rsidRPr="003E7EC0">
        <w:rPr>
          <w:rFonts w:eastAsia="Arial"/>
          <w:sz w:val="23"/>
          <w:szCs w:val="23"/>
          <w:lang w:val="en-US" w:eastAsia="en-GB"/>
        </w:rPr>
        <w:t>(AGL)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lastRenderedPageBreak/>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2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77777777" w:rsidR="0004681E" w:rsidRDefault="00DC6911" w:rsidP="00DC6911">
      <w:r w:rsidRPr="00DC6911">
        <w:t xml:space="preserve">Adam, T. C., Schmitt, R. J., Holbrook, S. J., Brooks, A. J., Edmunds, P. J., Carpenter, R. C., &amp; </w:t>
      </w:r>
      <w:proofErr w:type="spellStart"/>
      <w:r w:rsidRPr="00DC6911">
        <w:t>Bernardi</w:t>
      </w:r>
      <w:proofErr w:type="spellEnd"/>
      <w:r w:rsidRPr="00DC6911">
        <w:t xml:space="preserve">, G. (2011). Herbivory, connectivity, and ecosystem resilience: response of a coral reef to a large-scale perturbation. </w:t>
      </w:r>
      <w:proofErr w:type="spellStart"/>
      <w:r w:rsidRPr="00DC6911">
        <w:rPr>
          <w:i/>
          <w:iCs/>
        </w:rPr>
        <w:t>PloS</w:t>
      </w:r>
      <w:proofErr w:type="spellEnd"/>
      <w:r w:rsidRPr="00DC6911">
        <w:rPr>
          <w:i/>
          <w:iCs/>
        </w:rPr>
        <w:t xml:space="preserve"> One</w:t>
      </w:r>
      <w:r w:rsidRPr="00DC6911">
        <w:t xml:space="preserve">, </w:t>
      </w:r>
      <w:r w:rsidRPr="00DC6911">
        <w:rPr>
          <w:i/>
          <w:iCs/>
        </w:rPr>
        <w:t>6</w:t>
      </w:r>
      <w:r w:rsidRPr="00DC6911">
        <w:t>(8), e23717.</w:t>
      </w:r>
      <w:r w:rsidRPr="00DC6911">
        <w:br/>
      </w:r>
      <w:r w:rsidRPr="00DC6911">
        <w:br/>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Brandl,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7777777" w:rsidR="002F15CC" w:rsidRDefault="0004681E" w:rsidP="00DC6911">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w:t>
      </w:r>
      <w:proofErr w:type="spellStart"/>
      <w:r w:rsidR="00DC6911" w:rsidRPr="00DC6911">
        <w:t>Pauly</w:t>
      </w:r>
      <w:proofErr w:type="spellEnd"/>
      <w:r w:rsidR="00DC6911" w:rsidRPr="00DC6911">
        <w:t xml:space="preserve">,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w:t>
      </w:r>
      <w:r w:rsidR="00DC6911" w:rsidRPr="00DC6911">
        <w:lastRenderedPageBreak/>
        <w:t xml:space="preserve">(2013).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Chong-Seng, K. M., Huchery, C., Januchowski-Hartley, F. A., &amp; Nash, K. L. (2014). Coral reef community composition in the context of disturbance history on the Great Barrier Reef, Australia.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9</w:t>
      </w:r>
      <w:r w:rsidR="00DC6911" w:rsidRPr="00DC6911">
        <w:t>(7), e101204.</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77777777" w:rsidR="002F15CC" w:rsidRDefault="002F15CC" w:rsidP="00DC6911">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lastRenderedPageBreak/>
        <w:t xml:space="preserve">Hughes, T. P., Barnes, M. L., Bellwood, D. R., Cinner, J. E., Cumming, G. S., Jackson, J. B. C., … </w:t>
      </w:r>
      <w:proofErr w:type="spellStart"/>
      <w:r w:rsidR="00DC6911" w:rsidRPr="00DC6911">
        <w:t>Scheffer</w:t>
      </w:r>
      <w:proofErr w:type="spellEnd"/>
      <w:r w:rsidR="00DC6911" w:rsidRPr="00DC6911">
        <w:t xml:space="preserve">, M. (2017). Coral reefs in the Anthropocene. </w:t>
      </w:r>
      <w:r w:rsidR="00DC6911" w:rsidRPr="00DC6911">
        <w:rPr>
          <w:i/>
          <w:iCs/>
        </w:rPr>
        <w:t>Nature</w:t>
      </w:r>
      <w:r w:rsidR="00DC6911" w:rsidRPr="00DC6911">
        <w:t xml:space="preserve">, </w:t>
      </w:r>
      <w:r w:rsidR="00DC6911" w:rsidRPr="00DC6911">
        <w:rPr>
          <w:i/>
          <w:iCs/>
        </w:rPr>
        <w:t>546</w:t>
      </w:r>
      <w:r w:rsidR="00DC6911" w:rsidRPr="00DC6911">
        <w:t>(7656), 82–90.</w:t>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Hoegh-Guldberg,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t xml:space="preserve">Jouffray, J.-B., Nyström, M., Norström, A. V., Williams, I. D., Wedding, L. M., Kittinger,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00DC6911" w:rsidRPr="00DC6911">
        <w:t xml:space="preserve">, </w:t>
      </w:r>
      <w:r w:rsidR="00DC6911" w:rsidRPr="00DC6911">
        <w:rPr>
          <w:i/>
          <w:iCs/>
        </w:rPr>
        <w:t>370</w:t>
      </w:r>
      <w:r w:rsidR="00DC6911" w:rsidRPr="00DC6911">
        <w:t>(1659), 20130268.</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w:t>
      </w:r>
      <w:proofErr w:type="spellStart"/>
      <w:r w:rsidR="00DC6911" w:rsidRPr="00DC6911">
        <w:t>Espejo</w:t>
      </w:r>
      <w:proofErr w:type="spellEnd"/>
      <w:r w:rsidR="00DC6911" w:rsidRPr="00DC6911">
        <w:t xml:space="preserve">,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r>
      <w:proofErr w:type="spellStart"/>
      <w:r w:rsidR="00DC6911" w:rsidRPr="00DC6911">
        <w:t>Munday</w:t>
      </w:r>
      <w:proofErr w:type="spellEnd"/>
      <w:r w:rsidR="00DC6911" w:rsidRPr="00DC6911">
        <w:t xml:space="preserve">, P. L., &amp; Jones, G. P. (1998). The Ecological Implications of Small Body Size Among </w:t>
      </w:r>
      <w:r w:rsidR="00DC6911" w:rsidRPr="00DC6911">
        <w:lastRenderedPageBreak/>
        <w:t xml:space="preserve">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w:t>
      </w:r>
      <w:proofErr w:type="spellStart"/>
      <w:r w:rsidR="00DC6911" w:rsidRPr="00DC6911">
        <w:t>Zupan</w:t>
      </w:r>
      <w:proofErr w:type="spellEnd"/>
      <w:r w:rsidR="00DC6911" w:rsidRPr="00DC6911">
        <w:t xml:space="preserve">,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lastRenderedPageBreak/>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116EFD12" w:rsidR="00DC6911" w:rsidRPr="00DC6911" w:rsidRDefault="004F1492" w:rsidP="00DC6911">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bookmarkStart w:id="5" w:name="_GoBack"/>
      <w:bookmarkEnd w:id="5"/>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t xml:space="preserve">Van </w:t>
      </w:r>
      <w:proofErr w:type="spellStart"/>
      <w:r w:rsidR="00DC6911" w:rsidRPr="00DC6911">
        <w:t>Rooij</w:t>
      </w:r>
      <w:proofErr w:type="spellEnd"/>
      <w:r w:rsidR="00DC6911" w:rsidRPr="00DC6911">
        <w:t xml:space="preserve">, J. M., </w:t>
      </w:r>
      <w:proofErr w:type="spellStart"/>
      <w:r w:rsidR="00DC6911" w:rsidRPr="00DC6911">
        <w:t>Videler</w:t>
      </w:r>
      <w:proofErr w:type="spellEnd"/>
      <w:r w:rsidR="00DC6911" w:rsidRPr="00DC6911">
        <w:t xml:space="preserve">, J. J., &amp; Bruggemann, J. H. (1998). High biomass and production but low energy transfer </w:t>
      </w:r>
      <w:proofErr w:type="spellStart"/>
      <w:r w:rsidR="00DC6911" w:rsidRPr="00DC6911">
        <w:t>effciency</w:t>
      </w:r>
      <w:proofErr w:type="spellEnd"/>
      <w:r w:rsidR="00DC6911" w:rsidRPr="00DC6911">
        <w:t xml:space="preserve"> of Caribbean parrotfish: implications for trophic models of coral reefs. </w:t>
      </w:r>
      <w:r w:rsidR="00DC6911" w:rsidRPr="00DC6911">
        <w:rPr>
          <w:i/>
          <w:iCs/>
        </w:rPr>
        <w:t>Journal of Fish Biology</w:t>
      </w:r>
      <w:r w:rsidR="00DC6911" w:rsidRPr="00DC6911">
        <w:t xml:space="preserve">, </w:t>
      </w:r>
      <w:r w:rsidR="00DC6911" w:rsidRPr="00DC6911">
        <w:rPr>
          <w:i/>
          <w:iCs/>
        </w:rPr>
        <w:t>53</w:t>
      </w:r>
      <w:r w:rsidR="00DC6911" w:rsidRPr="00DC6911">
        <w:t>(</w:t>
      </w:r>
      <w:proofErr w:type="spellStart"/>
      <w:r w:rsidR="00DC6911" w:rsidRPr="00DC6911">
        <w:t>sA</w:t>
      </w:r>
      <w:proofErr w:type="spellEnd"/>
      <w:r w:rsidR="00DC6911" w:rsidRPr="00DC6911">
        <w:t>), 154–178.</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lastRenderedPageBreak/>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5-13T14:10:00Z" w:initials="GN">
    <w:p w14:paraId="5B93B86B" w14:textId="6637B7F7" w:rsidR="004A5EF1" w:rsidRDefault="004A5EF1">
      <w:pPr>
        <w:pStyle w:val="CommentText"/>
      </w:pPr>
      <w:r>
        <w:rPr>
          <w:rStyle w:val="CommentReference"/>
        </w:rPr>
        <w:annotationRef/>
      </w:r>
      <w:r>
        <w:t>Why was rubble not included – may need to be justified</w:t>
      </w:r>
    </w:p>
  </w:comment>
  <w:comment w:id="1" w:author="Robinson, James (robins64)" w:date="2019-05-14T15:18:00Z" w:initials="RJ(">
    <w:p w14:paraId="74832EBB" w14:textId="38532C61" w:rsidR="004A5EF1" w:rsidRDefault="004A5EF1">
      <w:pPr>
        <w:pStyle w:val="CommentText"/>
      </w:pPr>
      <w:r>
        <w:rPr>
          <w:rStyle w:val="CommentReference"/>
        </w:rPr>
        <w:annotationRef/>
      </w:r>
      <w:r>
        <w:t xml:space="preserve">Asking Andy for thoughts on rubble habitats as good/bad for grazing, and separate to consolidated substrate (rock </w:t>
      </w:r>
      <w:proofErr w:type="spellStart"/>
      <w:r>
        <w:t>etc</w:t>
      </w:r>
      <w:proofErr w:type="spellEnd"/>
      <w:r>
        <w:t>).</w:t>
      </w:r>
    </w:p>
  </w:comment>
  <w:comment w:id="2" w:author="Graham, Nick" w:date="2019-05-13T14:30:00Z" w:initials="GN">
    <w:p w14:paraId="5E81AAC9" w14:textId="55755F47" w:rsidR="004A5EF1" w:rsidRDefault="004A5EF1">
      <w:pPr>
        <w:pStyle w:val="CommentText"/>
      </w:pPr>
      <w:r>
        <w:rPr>
          <w:rStyle w:val="CommentReference"/>
        </w:rPr>
        <w:annotationRef/>
      </w:r>
      <w:r>
        <w:t>Think we need to cite and reflect on the Steneck Science Advances paper</w:t>
      </w:r>
    </w:p>
  </w:comment>
  <w:comment w:id="3" w:author="Robinson, James (robins64)" w:date="2019-05-14T13:34:00Z" w:initials="RJ(">
    <w:p w14:paraId="1CF03E7E" w14:textId="1424CE49" w:rsidR="004A5EF1" w:rsidRDefault="004A5EF1">
      <w:pPr>
        <w:pStyle w:val="CommentText"/>
      </w:pPr>
      <w:r>
        <w:rPr>
          <w:rStyle w:val="CommentReference"/>
        </w:rPr>
        <w:annotationRef/>
      </w:r>
      <w:r>
        <w:t>Cite for herbivore function being important with bite rates, but we have strong biomass dependency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3B86B" w15:done="0"/>
  <w15:commentEx w15:paraId="74832EBB" w15:paraIdParent="5B93B86B" w15:done="0"/>
  <w15:commentEx w15:paraId="5E81AAC9" w15:done="0"/>
  <w15:commentEx w15:paraId="1CF03E7E" w15:paraIdParent="5E81AA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3B86B" w16cid:durableId="208417DE"/>
  <w16cid:commentId w16cid:paraId="74832EBB" w16cid:durableId="20855ABD"/>
  <w16cid:commentId w16cid:paraId="5E81AAC9" w16cid:durableId="208417EE"/>
  <w16cid:commentId w16cid:paraId="1CF03E7E" w16cid:durableId="20854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2CF2"/>
    <w:rsid w:val="00146671"/>
    <w:rsid w:val="00146CA7"/>
    <w:rsid w:val="00147C4E"/>
    <w:rsid w:val="00152C61"/>
    <w:rsid w:val="00153312"/>
    <w:rsid w:val="00154E6E"/>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D5F"/>
    <w:rsid w:val="002E33CC"/>
    <w:rsid w:val="002E791A"/>
    <w:rsid w:val="002F06C1"/>
    <w:rsid w:val="002F09A4"/>
    <w:rsid w:val="002F10B0"/>
    <w:rsid w:val="002F137C"/>
    <w:rsid w:val="002F15C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18A"/>
    <w:rsid w:val="00411002"/>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6AEF"/>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3E22"/>
    <w:rsid w:val="00770EDC"/>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E31"/>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7DBF"/>
    <w:rsid w:val="009E0D21"/>
    <w:rsid w:val="009E589B"/>
    <w:rsid w:val="009E6A23"/>
    <w:rsid w:val="009E6A93"/>
    <w:rsid w:val="009F0AAC"/>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1115B"/>
    <w:rsid w:val="00C122DE"/>
    <w:rsid w:val="00C15149"/>
    <w:rsid w:val="00C15CD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F1534"/>
    <w:rsid w:val="00CF2714"/>
    <w:rsid w:val="00CF4610"/>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441"/>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github.com/jpwrobinson/grazing-grad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codecogs.com/eqnedit.php?latex=log(%5Cmu)%20%3D%20%5Cbeta_%7B0%7D%20%2B%20species_i%20%2B%20genus_j%20%2B%20dataset_k%250" TargetMode="Externa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decogs.com/eqnedit.php?latex=log(%5Cmu)%20%3D%20%5Cbeta_%7B0%7D%20%2B%20%5Cbeta_%7B1%7DTL%20%2B%20species_i%20%2B%20genus_j%20%2B%20dataset_k%250"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odecogs.com/eqnedit.php?latex=g%20C%20%3D%200.0342.M%5E%7B0.816%7D%250" TargetMode="External"/><Relationship Id="rId14" Type="http://schemas.openxmlformats.org/officeDocument/2006/relationships/hyperlink" Target="https://www.codecogs.com/eqnedit.php?latex=log(%5Cmu)%20%3D%20%5Cbeta_%7B0%7D%20%2B%20%5Cbeta_%7B1%7DTL%250" TargetMode="External"/><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88B9-486E-404E-A5A2-9B0FEA36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32</Pages>
  <Words>8578</Words>
  <Characters>48897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113</cp:revision>
  <cp:lastPrinted>2019-05-09T12:16:00Z</cp:lastPrinted>
  <dcterms:created xsi:type="dcterms:W3CDTF">2019-05-13T15:22:00Z</dcterms:created>
  <dcterms:modified xsi:type="dcterms:W3CDTF">2019-05-15T09:58:00Z</dcterms:modified>
</cp:coreProperties>
</file>