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BB544" w14:textId="77777777" w:rsidR="003754A7" w:rsidRPr="003754A7" w:rsidRDefault="003754A7" w:rsidP="003754A7">
      <w:pPr>
        <w:jc w:val="both"/>
        <w:rPr>
          <w:rFonts w:ascii="Helvetica" w:hAnsi="Helvetica" w:cs="Arial"/>
        </w:rPr>
      </w:pPr>
      <w:r w:rsidRPr="003754A7">
        <w:rPr>
          <w:rFonts w:ascii="Helvetica" w:hAnsi="Helvetica" w:cs="Arial"/>
          <w:b/>
          <w:bCs/>
        </w:rPr>
        <w:t>Methods</w:t>
      </w:r>
    </w:p>
    <w:p w14:paraId="11AC6DA4" w14:textId="77777777" w:rsidR="003754A7" w:rsidRPr="003754A7" w:rsidRDefault="003754A7" w:rsidP="003754A7">
      <w:pPr>
        <w:jc w:val="both"/>
        <w:rPr>
          <w:rFonts w:ascii="Helvetica" w:hAnsi="Helvetica" w:cs="Arial"/>
        </w:rPr>
      </w:pPr>
    </w:p>
    <w:p w14:paraId="64B5B07E" w14:textId="3B0F3930" w:rsidR="003754A7" w:rsidRPr="003754A7" w:rsidRDefault="003754A7" w:rsidP="003754A7">
      <w:pPr>
        <w:jc w:val="both"/>
        <w:rPr>
          <w:rFonts w:ascii="Helvetica" w:hAnsi="Helvetica" w:cs="Arial"/>
        </w:rPr>
      </w:pPr>
      <w:r w:rsidRPr="003754A7">
        <w:rPr>
          <w:rFonts w:ascii="Helvetica" w:hAnsi="Helvetica" w:cs="Arial"/>
        </w:rPr>
        <w:t>‘Interviews, observation, documentary work, [and] historical record” formed the set of methods in this ‘marketography’, which aimed to trace the market-making efforts of market actors across space and time (Roscoe and Loza, 2019, p. 221). </w:t>
      </w:r>
    </w:p>
    <w:p w14:paraId="03454906" w14:textId="77777777" w:rsidR="003754A7" w:rsidRPr="003754A7" w:rsidRDefault="003754A7" w:rsidP="003754A7">
      <w:pPr>
        <w:jc w:val="both"/>
        <w:rPr>
          <w:rFonts w:ascii="Helvetica" w:hAnsi="Helvetica" w:cs="Arial"/>
        </w:rPr>
      </w:pPr>
    </w:p>
    <w:p w14:paraId="2940B3DB" w14:textId="6AB957B9" w:rsidR="003754A7" w:rsidRPr="003754A7" w:rsidRDefault="003754A7" w:rsidP="003754A7">
      <w:pPr>
        <w:jc w:val="both"/>
        <w:rPr>
          <w:rFonts w:ascii="Helvetica" w:hAnsi="Helvetica" w:cs="Arial"/>
        </w:rPr>
      </w:pPr>
      <w:r w:rsidRPr="003754A7">
        <w:rPr>
          <w:rFonts w:ascii="Helvetica" w:hAnsi="Helvetica" w:cs="Arial"/>
        </w:rPr>
        <w:t>Interviews and observation</w:t>
      </w:r>
    </w:p>
    <w:p w14:paraId="71AB5701" w14:textId="23FF4A4C" w:rsidR="003754A7" w:rsidRPr="003754A7" w:rsidRDefault="003754A7" w:rsidP="003754A7">
      <w:pPr>
        <w:jc w:val="both"/>
        <w:rPr>
          <w:rFonts w:ascii="Helvetica" w:hAnsi="Helvetica" w:cs="Arial"/>
        </w:rPr>
      </w:pPr>
    </w:p>
    <w:p w14:paraId="6E063F19" w14:textId="3F8CE47F" w:rsidR="003754A7" w:rsidRDefault="003754A7" w:rsidP="003754A7">
      <w:pPr>
        <w:jc w:val="both"/>
        <w:rPr>
          <w:rFonts w:ascii="Helvetica" w:hAnsi="Helvetica" w:cs="Arial"/>
        </w:rPr>
      </w:pPr>
      <w:r w:rsidRPr="003754A7">
        <w:rPr>
          <w:rFonts w:ascii="Helvetica" w:hAnsi="Helvetica" w:cs="Arial"/>
        </w:rPr>
        <w:t xml:space="preserve">For the interviews, initial participant recruitment followed the identification of main players in the market through publicly available data, and starting contact via online channels. From this, a process of snowballing (Easterby-Smith et al., 2008) allowed for further potential participants to be selected. </w:t>
      </w:r>
      <w:r>
        <w:rPr>
          <w:rFonts w:ascii="Helvetica" w:hAnsi="Helvetica" w:cs="Arial"/>
        </w:rPr>
        <w:t>Sampling through s</w:t>
      </w:r>
      <w:r w:rsidRPr="003754A7">
        <w:rPr>
          <w:rFonts w:ascii="Helvetica" w:hAnsi="Helvetica" w:cs="Arial"/>
        </w:rPr>
        <w:t xml:space="preserve">nowballing </w:t>
      </w:r>
      <w:r>
        <w:rPr>
          <w:rFonts w:ascii="Helvetica" w:hAnsi="Helvetica" w:cs="Arial"/>
        </w:rPr>
        <w:t>poses the risk of</w:t>
      </w:r>
      <w:r w:rsidRPr="003754A7">
        <w:rPr>
          <w:rFonts w:ascii="Helvetica" w:hAnsi="Helvetica" w:cs="Arial"/>
        </w:rPr>
        <w:t xml:space="preserve"> distorting bias (Hammersley and Atkinson, 2019) (e.g., only meeting</w:t>
      </w:r>
      <w:r>
        <w:rPr>
          <w:rFonts w:ascii="Helvetica" w:hAnsi="Helvetica" w:cs="Arial"/>
        </w:rPr>
        <w:t xml:space="preserve"> </w:t>
      </w:r>
      <w:r w:rsidRPr="003754A7">
        <w:rPr>
          <w:rFonts w:ascii="Helvetica" w:hAnsi="Helvetica" w:cs="Arial"/>
        </w:rPr>
        <w:t>partners</w:t>
      </w:r>
      <w:r>
        <w:rPr>
          <w:rFonts w:ascii="Helvetica" w:hAnsi="Helvetica" w:cs="Arial"/>
        </w:rPr>
        <w:t xml:space="preserve"> or X’s mind-like participants</w:t>
      </w:r>
      <w:r w:rsidRPr="003754A7">
        <w:rPr>
          <w:rFonts w:ascii="Helvetica" w:hAnsi="Helvetica" w:cs="Arial"/>
        </w:rPr>
        <w:t>),</w:t>
      </w:r>
      <w:r>
        <w:rPr>
          <w:rFonts w:ascii="Helvetica" w:hAnsi="Helvetica" w:cs="Arial"/>
        </w:rPr>
        <w:t xml:space="preserve"> however, the multi-sided nature of our approach to recruitment ensured accounting for a plethora of perspectives.</w:t>
      </w:r>
    </w:p>
    <w:p w14:paraId="38D6F08D" w14:textId="77777777" w:rsidR="003754A7" w:rsidRDefault="003754A7" w:rsidP="003754A7">
      <w:pPr>
        <w:jc w:val="both"/>
        <w:rPr>
          <w:rFonts w:ascii="Helvetica" w:hAnsi="Helvetica" w:cs="Arial"/>
        </w:rPr>
      </w:pPr>
    </w:p>
    <w:p w14:paraId="7DC4E06C" w14:textId="6849B088" w:rsidR="003754A7" w:rsidRDefault="003754A7" w:rsidP="003754A7">
      <w:pPr>
        <w:jc w:val="both"/>
        <w:rPr>
          <w:rFonts w:ascii="Helvetica" w:hAnsi="Helvetica" w:cs="Arial"/>
        </w:rPr>
      </w:pPr>
      <w:r w:rsidRPr="003754A7">
        <w:rPr>
          <w:rFonts w:ascii="Helvetica" w:hAnsi="Helvetica" w:cs="Arial"/>
        </w:rPr>
        <w:t xml:space="preserve">“Cold calling” contact was made via email to industry association, corporate emails on respective websites, and LinkedIn, while direct emails were provided by the first participants’ referral in the snowballing process. Contact with activists and aquaculture researchers and experts followed a criterion of identifiable involvement with salmon farming (e.g., campaigning for or against or published research on salmon aquaculture). One of the authors also attended one of the largest industry events in Scotland in 2023 to network and identify potential participants, which resulted in one of the expert interviews. </w:t>
      </w:r>
    </w:p>
    <w:p w14:paraId="7D044B0D" w14:textId="77777777" w:rsidR="003754A7" w:rsidRDefault="003754A7" w:rsidP="003754A7">
      <w:pPr>
        <w:jc w:val="both"/>
        <w:rPr>
          <w:rFonts w:ascii="Helvetica" w:hAnsi="Helvetica" w:cs="Arial"/>
        </w:rPr>
      </w:pPr>
    </w:p>
    <w:p w14:paraId="6CDE4A28" w14:textId="0EED897B" w:rsidR="003754A7" w:rsidRDefault="003754A7" w:rsidP="003754A7">
      <w:pPr>
        <w:jc w:val="both"/>
        <w:rPr>
          <w:rFonts w:ascii="Helvetica" w:hAnsi="Helvetica" w:cs="Arial"/>
        </w:rPr>
      </w:pPr>
      <w:r w:rsidRPr="003754A7">
        <w:rPr>
          <w:rFonts w:ascii="Helvetica" w:hAnsi="Helvetica" w:cs="Arial"/>
        </w:rPr>
        <w:t>Interviews followed a semi-structured guide which allowed adaptation and exploration during conversations. Thus, the authors made decisions about “which line of questioning […] to explore further” (Easterby-Smith et al., 2008, p. 143) depending on which points were raised by the interviewees.</w:t>
      </w:r>
    </w:p>
    <w:p w14:paraId="34FDE211" w14:textId="77777777" w:rsidR="003754A7" w:rsidRPr="003754A7" w:rsidRDefault="003754A7" w:rsidP="003754A7">
      <w:pPr>
        <w:jc w:val="both"/>
        <w:rPr>
          <w:rFonts w:ascii="Helvetica" w:hAnsi="Helvetica" w:cs="Arial"/>
        </w:rPr>
      </w:pPr>
    </w:p>
    <w:p w14:paraId="01B54125" w14:textId="77777777" w:rsidR="003754A7" w:rsidRDefault="003754A7" w:rsidP="003754A7">
      <w:pPr>
        <w:jc w:val="both"/>
        <w:rPr>
          <w:rFonts w:ascii="Helvetica" w:hAnsi="Helvetica" w:cs="Arial"/>
        </w:rPr>
      </w:pPr>
      <w:r>
        <w:rPr>
          <w:rFonts w:ascii="Helvetica" w:hAnsi="Helvetica" w:cs="Arial"/>
        </w:rPr>
        <w:t>I</w:t>
      </w:r>
      <w:r w:rsidRPr="003754A7">
        <w:rPr>
          <w:rFonts w:ascii="Helvetica" w:hAnsi="Helvetica" w:cs="Arial"/>
        </w:rPr>
        <w:t xml:space="preserve">nterviews were conducted </w:t>
      </w:r>
      <w:r>
        <w:rPr>
          <w:rFonts w:ascii="Helvetica" w:hAnsi="Helvetica" w:cs="Arial"/>
        </w:rPr>
        <w:t xml:space="preserve">either </w:t>
      </w:r>
      <w:r w:rsidRPr="003754A7">
        <w:rPr>
          <w:rFonts w:ascii="Helvetica" w:hAnsi="Helvetica" w:cs="Arial"/>
        </w:rPr>
        <w:t xml:space="preserve">in person in Scotland during in one week, </w:t>
      </w:r>
      <w:r>
        <w:rPr>
          <w:rFonts w:ascii="Helvetica" w:hAnsi="Helvetica" w:cs="Arial"/>
        </w:rPr>
        <w:t>or</w:t>
      </w:r>
      <w:r w:rsidRPr="003754A7">
        <w:rPr>
          <w:rFonts w:ascii="Helvetica" w:hAnsi="Helvetica" w:cs="Arial"/>
        </w:rPr>
        <w:t xml:space="preserve"> via Microsoft Teams or Skype</w:t>
      </w:r>
      <w:r>
        <w:rPr>
          <w:rFonts w:ascii="Helvetica" w:hAnsi="Helvetica" w:cs="Arial"/>
        </w:rPr>
        <w:t>, which</w:t>
      </w:r>
      <w:r w:rsidRPr="003754A7">
        <w:rPr>
          <w:rFonts w:ascii="Helvetica" w:hAnsi="Helvetica" w:cs="Arial"/>
        </w:rPr>
        <w:t xml:space="preserve"> helped researchers in accessing geographically dispersed participants.</w:t>
      </w:r>
      <w:r>
        <w:rPr>
          <w:rFonts w:ascii="Helvetica" w:hAnsi="Helvetica" w:cs="Arial"/>
        </w:rPr>
        <w:t xml:space="preserve"> B</w:t>
      </w:r>
      <w:r w:rsidRPr="003754A7">
        <w:rPr>
          <w:rFonts w:ascii="Helvetica" w:hAnsi="Helvetica" w:cs="Arial"/>
        </w:rPr>
        <w:t xml:space="preserve">oth authors </w:t>
      </w:r>
      <w:r>
        <w:rPr>
          <w:rFonts w:ascii="Helvetica" w:hAnsi="Helvetica" w:cs="Arial"/>
        </w:rPr>
        <w:t xml:space="preserve">were </w:t>
      </w:r>
      <w:r w:rsidRPr="003754A7">
        <w:rPr>
          <w:rFonts w:ascii="Helvetica" w:hAnsi="Helvetica" w:cs="Arial"/>
        </w:rPr>
        <w:t>present at each interview</w:t>
      </w:r>
      <w:r>
        <w:rPr>
          <w:rFonts w:ascii="Helvetica" w:hAnsi="Helvetica" w:cs="Arial"/>
        </w:rPr>
        <w:t>, except for two of them because of schedule constrains</w:t>
      </w:r>
      <w:r w:rsidRPr="003754A7">
        <w:rPr>
          <w:rFonts w:ascii="Helvetica" w:hAnsi="Helvetica" w:cs="Arial"/>
        </w:rPr>
        <w:t>.</w:t>
      </w:r>
      <w:r>
        <w:rPr>
          <w:rFonts w:ascii="Helvetica" w:hAnsi="Helvetica" w:cs="Arial"/>
        </w:rPr>
        <w:t xml:space="preserve"> In this case, the non-present co-author subsequently listened to the recording of the interview.</w:t>
      </w:r>
      <w:r w:rsidRPr="003754A7">
        <w:rPr>
          <w:rFonts w:ascii="Helvetica" w:hAnsi="Helvetica" w:cs="Arial"/>
        </w:rPr>
        <w:t xml:space="preserve"> </w:t>
      </w:r>
    </w:p>
    <w:p w14:paraId="4E99494D" w14:textId="77777777" w:rsidR="003754A7" w:rsidRDefault="003754A7" w:rsidP="003754A7">
      <w:pPr>
        <w:jc w:val="both"/>
        <w:rPr>
          <w:rFonts w:ascii="Helvetica" w:hAnsi="Helvetica" w:cs="Arial"/>
        </w:rPr>
      </w:pPr>
    </w:p>
    <w:p w14:paraId="4A9C9A26" w14:textId="6DF52F8E" w:rsidR="003754A7" w:rsidRPr="003754A7" w:rsidRDefault="003754A7" w:rsidP="003754A7">
      <w:pPr>
        <w:jc w:val="both"/>
        <w:rPr>
          <w:rFonts w:ascii="Helvetica" w:hAnsi="Helvetica" w:cs="Arial"/>
        </w:rPr>
      </w:pPr>
      <w:r w:rsidRPr="003754A7">
        <w:rPr>
          <w:rFonts w:ascii="Helvetica" w:hAnsi="Helvetica" w:cs="Arial"/>
        </w:rPr>
        <w:t>Th</w:t>
      </w:r>
      <w:r>
        <w:rPr>
          <w:rFonts w:ascii="Helvetica" w:hAnsi="Helvetica" w:cs="Arial"/>
        </w:rPr>
        <w:t>e</w:t>
      </w:r>
      <w:r w:rsidRPr="003754A7">
        <w:rPr>
          <w:rFonts w:ascii="Helvetica" w:hAnsi="Helvetica" w:cs="Arial"/>
        </w:rPr>
        <w:t xml:space="preserve"> time </w:t>
      </w:r>
      <w:r w:rsidRPr="003754A7">
        <w:rPr>
          <w:rFonts w:ascii="Helvetica" w:hAnsi="Helvetica" w:cs="Arial"/>
          <w:i/>
          <w:iCs/>
        </w:rPr>
        <w:t>in situ</w:t>
      </w:r>
      <w:r w:rsidRPr="003754A7">
        <w:rPr>
          <w:rFonts w:ascii="Helvetica" w:hAnsi="Helvetica" w:cs="Arial"/>
        </w:rPr>
        <w:t xml:space="preserve"> involved a guided visit to one of the participant’s hatchery plants. We also independently visited (no participant involvement) a collection of salmon farming pens in a Scottish bay. These observations </w:t>
      </w:r>
      <w:r w:rsidR="00CD058E">
        <w:rPr>
          <w:rFonts w:ascii="Helvetica" w:hAnsi="Helvetica" w:cs="Arial"/>
        </w:rPr>
        <w:t xml:space="preserve">(cf. Gold, 1958) </w:t>
      </w:r>
      <w:r w:rsidRPr="003754A7">
        <w:rPr>
          <w:rFonts w:ascii="Helvetica" w:hAnsi="Helvetica" w:cs="Arial"/>
        </w:rPr>
        <w:t xml:space="preserve">allowed the researchers to gather further insights into the everyday operation and intricacies of salmon farming that were not detailed in interviews. All interviews, in person and online, were recorded and transcribed </w:t>
      </w:r>
      <w:proofErr w:type="spellStart"/>
      <w:r w:rsidRPr="003754A7">
        <w:rPr>
          <w:rFonts w:ascii="Helvetica" w:hAnsi="Helvetica" w:cs="Arial"/>
          <w:i/>
          <w:iCs/>
        </w:rPr>
        <w:t>ipsis</w:t>
      </w:r>
      <w:proofErr w:type="spellEnd"/>
      <w:r w:rsidRPr="003754A7">
        <w:rPr>
          <w:rFonts w:ascii="Helvetica" w:hAnsi="Helvetica" w:cs="Arial"/>
          <w:i/>
          <w:iCs/>
        </w:rPr>
        <w:t xml:space="preserve"> </w:t>
      </w:r>
      <w:proofErr w:type="spellStart"/>
      <w:r w:rsidRPr="003754A7">
        <w:rPr>
          <w:rFonts w:ascii="Helvetica" w:hAnsi="Helvetica" w:cs="Arial"/>
          <w:i/>
          <w:iCs/>
        </w:rPr>
        <w:t>literis</w:t>
      </w:r>
      <w:proofErr w:type="spellEnd"/>
      <w:r>
        <w:rPr>
          <w:rFonts w:ascii="Helvetica" w:hAnsi="Helvetica" w:cs="Arial"/>
        </w:rPr>
        <w:t xml:space="preserve"> by a hired transcriber and subsequently cross-checked by the authors. This formed the dataset of the thematic analysis</w:t>
      </w:r>
      <w:r w:rsidR="00CD058E">
        <w:rPr>
          <w:rFonts w:ascii="Helvetica" w:hAnsi="Helvetica" w:cs="Arial"/>
        </w:rPr>
        <w:t xml:space="preserve"> to identify key themes raised by the participants. </w:t>
      </w:r>
      <w:r w:rsidR="00CD058E" w:rsidRPr="00CD058E">
        <w:rPr>
          <w:rFonts w:ascii="Helvetica" w:hAnsi="Helvetica" w:cs="Arial"/>
        </w:rPr>
        <w:t xml:space="preserve">Analysis </w:t>
      </w:r>
      <w:r w:rsidR="00CD058E">
        <w:rPr>
          <w:rFonts w:ascii="Helvetica" w:hAnsi="Helvetica" w:cs="Arial"/>
        </w:rPr>
        <w:t>was performed through</w:t>
      </w:r>
      <w:r w:rsidR="00CD058E" w:rsidRPr="00CD058E">
        <w:rPr>
          <w:rFonts w:ascii="Helvetica" w:hAnsi="Helvetica" w:cs="Arial"/>
        </w:rPr>
        <w:t xml:space="preserve"> open, axial and selective coding in which every “pass-through” the data </w:t>
      </w:r>
      <w:r w:rsidR="00CD058E">
        <w:rPr>
          <w:rFonts w:ascii="Helvetica" w:hAnsi="Helvetica" w:cs="Arial"/>
        </w:rPr>
        <w:t xml:space="preserve">involved identifying and refining </w:t>
      </w:r>
      <w:r w:rsidR="00CD058E" w:rsidRPr="00CD058E">
        <w:rPr>
          <w:rFonts w:ascii="Helvetica" w:hAnsi="Helvetica" w:cs="Arial"/>
        </w:rPr>
        <w:t>themes and (Neuman, 2012, p. 354)</w:t>
      </w:r>
      <w:r w:rsidR="00CD058E">
        <w:rPr>
          <w:rFonts w:ascii="Helvetica" w:hAnsi="Helvetica" w:cs="Arial"/>
        </w:rPr>
        <w:t xml:space="preserve">. Both authors conducted an independent analysis of the texts, identifying themes. This was followed by a contrasting, discussion and </w:t>
      </w:r>
      <w:r w:rsidR="00CD058E">
        <w:rPr>
          <w:rFonts w:ascii="Helvetica" w:hAnsi="Helvetica" w:cs="Arial"/>
        </w:rPr>
        <w:lastRenderedPageBreak/>
        <w:t>agreement between the two analysis that resulted in the ‘grand themes’ making up the discussion section.</w:t>
      </w:r>
    </w:p>
    <w:p w14:paraId="6A37A580" w14:textId="74D271E1" w:rsidR="003754A7" w:rsidRDefault="003754A7" w:rsidP="003754A7">
      <w:pPr>
        <w:jc w:val="both"/>
        <w:rPr>
          <w:rFonts w:ascii="Helvetica" w:hAnsi="Helvetica" w:cs="Arial"/>
        </w:rPr>
      </w:pPr>
    </w:p>
    <w:p w14:paraId="52256E73" w14:textId="4AAD6E53" w:rsidR="003754A7" w:rsidRDefault="00E708C5" w:rsidP="003754A7">
      <w:pPr>
        <w:jc w:val="both"/>
        <w:rPr>
          <w:rFonts w:ascii="Helvetica" w:hAnsi="Helvetica" w:cs="Arial"/>
        </w:rPr>
      </w:pPr>
      <w:r>
        <w:rPr>
          <w:rFonts w:ascii="Helvetica" w:hAnsi="Helvetica" w:cs="Arial"/>
        </w:rPr>
        <w:t>References</w:t>
      </w:r>
    </w:p>
    <w:p w14:paraId="5D66BE3F" w14:textId="77777777" w:rsidR="00E708C5" w:rsidRDefault="00E708C5" w:rsidP="003754A7">
      <w:pPr>
        <w:jc w:val="both"/>
        <w:rPr>
          <w:rFonts w:ascii="Helvetica" w:hAnsi="Helvetica" w:cs="Arial"/>
        </w:rPr>
      </w:pPr>
    </w:p>
    <w:p w14:paraId="1744CE36" w14:textId="2C93A156" w:rsidR="00E708C5" w:rsidRPr="00E708C5" w:rsidRDefault="00E708C5" w:rsidP="00E708C5">
      <w:pPr>
        <w:pStyle w:val="ListParagraph"/>
        <w:numPr>
          <w:ilvl w:val="0"/>
          <w:numId w:val="1"/>
        </w:numPr>
        <w:jc w:val="both"/>
        <w:rPr>
          <w:rFonts w:ascii="Helvetica" w:hAnsi="Helvetica" w:cs="Arial"/>
        </w:rPr>
      </w:pPr>
      <w:r w:rsidRPr="00E708C5">
        <w:rPr>
          <w:rFonts w:ascii="Helvetica" w:hAnsi="Helvetica" w:cs="Arial"/>
        </w:rPr>
        <w:t xml:space="preserve">Easterby-Smith, M., Thorpe, R. &amp; Jackson, P. R. (2008) </w:t>
      </w:r>
      <w:r w:rsidRPr="00E708C5">
        <w:rPr>
          <w:rFonts w:ascii="Helvetica" w:hAnsi="Helvetica" w:cs="Arial"/>
          <w:i/>
          <w:iCs/>
        </w:rPr>
        <w:t xml:space="preserve">Management research. </w:t>
      </w:r>
      <w:r w:rsidRPr="00E708C5">
        <w:rPr>
          <w:rFonts w:ascii="Helvetica" w:hAnsi="Helvetica" w:cs="Arial"/>
        </w:rPr>
        <w:t>8 ed. London: SAGE.</w:t>
      </w:r>
    </w:p>
    <w:p w14:paraId="75B8E0FD" w14:textId="15E89911" w:rsidR="00E708C5" w:rsidRPr="00E708C5" w:rsidRDefault="00E708C5" w:rsidP="00E708C5">
      <w:pPr>
        <w:pStyle w:val="ListParagraph"/>
        <w:numPr>
          <w:ilvl w:val="0"/>
          <w:numId w:val="1"/>
        </w:numPr>
        <w:jc w:val="both"/>
        <w:rPr>
          <w:rFonts w:ascii="Helvetica" w:hAnsi="Helvetica" w:cs="Arial"/>
        </w:rPr>
      </w:pPr>
      <w:r w:rsidRPr="00E708C5">
        <w:rPr>
          <w:rFonts w:ascii="Helvetica" w:hAnsi="Helvetica" w:cs="Arial"/>
        </w:rPr>
        <w:t xml:space="preserve">Gold, R. L. (1958) Roles in sociological field observations. </w:t>
      </w:r>
      <w:r w:rsidRPr="00E708C5">
        <w:rPr>
          <w:rFonts w:ascii="Helvetica" w:hAnsi="Helvetica" w:cs="Arial"/>
          <w:i/>
          <w:iCs/>
        </w:rPr>
        <w:t xml:space="preserve">Social Forces, </w:t>
      </w:r>
      <w:r w:rsidRPr="00E708C5">
        <w:rPr>
          <w:rFonts w:ascii="Helvetica" w:hAnsi="Helvetica" w:cs="Arial"/>
        </w:rPr>
        <w:t>36(3)</w:t>
      </w:r>
      <w:r w:rsidRPr="00E708C5">
        <w:rPr>
          <w:rFonts w:ascii="Helvetica" w:hAnsi="Helvetica" w:cs="Arial"/>
          <w:b/>
          <w:bCs/>
        </w:rPr>
        <w:t xml:space="preserve">, </w:t>
      </w:r>
      <w:r w:rsidRPr="00E708C5">
        <w:rPr>
          <w:rFonts w:ascii="Helvetica" w:hAnsi="Helvetica" w:cs="Arial"/>
        </w:rPr>
        <w:t>217-223.</w:t>
      </w:r>
    </w:p>
    <w:p w14:paraId="673600B4" w14:textId="5E9AB333" w:rsidR="003754A7" w:rsidRDefault="00E708C5" w:rsidP="00E708C5">
      <w:pPr>
        <w:pStyle w:val="ListParagraph"/>
        <w:numPr>
          <w:ilvl w:val="0"/>
          <w:numId w:val="1"/>
        </w:numPr>
        <w:jc w:val="both"/>
        <w:rPr>
          <w:rFonts w:ascii="Helvetica" w:hAnsi="Helvetica" w:cs="Arial"/>
        </w:rPr>
      </w:pPr>
      <w:r w:rsidRPr="00E708C5">
        <w:rPr>
          <w:rFonts w:ascii="Helvetica" w:hAnsi="Helvetica" w:cs="Arial"/>
        </w:rPr>
        <w:t xml:space="preserve">Hammersley, M. &amp; Atkinson, P. (2019) </w:t>
      </w:r>
      <w:r w:rsidRPr="00E708C5">
        <w:rPr>
          <w:rFonts w:ascii="Helvetica" w:hAnsi="Helvetica" w:cs="Arial"/>
          <w:i/>
          <w:iCs/>
        </w:rPr>
        <w:t xml:space="preserve">Ethnography: Principles in practice. </w:t>
      </w:r>
      <w:r w:rsidRPr="00E708C5">
        <w:rPr>
          <w:rFonts w:ascii="Helvetica" w:hAnsi="Helvetica" w:cs="Arial"/>
        </w:rPr>
        <w:t>London: Routledge</w:t>
      </w:r>
    </w:p>
    <w:p w14:paraId="31ABACA6" w14:textId="0582222B" w:rsidR="00E708C5" w:rsidRPr="00E708C5" w:rsidRDefault="00E708C5" w:rsidP="00E708C5">
      <w:pPr>
        <w:pStyle w:val="ListParagraph"/>
        <w:numPr>
          <w:ilvl w:val="0"/>
          <w:numId w:val="1"/>
        </w:numPr>
        <w:jc w:val="both"/>
        <w:rPr>
          <w:rFonts w:ascii="Helvetica" w:hAnsi="Helvetica" w:cs="Arial"/>
        </w:rPr>
      </w:pPr>
      <w:r w:rsidRPr="00E708C5">
        <w:rPr>
          <w:rFonts w:ascii="Helvetica" w:hAnsi="Helvetica" w:cs="Arial"/>
        </w:rPr>
        <w:t xml:space="preserve">Neuman, W. L. (2012) </w:t>
      </w:r>
      <w:r w:rsidRPr="00E708C5">
        <w:rPr>
          <w:rFonts w:ascii="Helvetica" w:hAnsi="Helvetica" w:cs="Arial"/>
          <w:i/>
          <w:iCs/>
        </w:rPr>
        <w:t xml:space="preserve">Basics of social research. </w:t>
      </w:r>
      <w:r w:rsidRPr="00E708C5">
        <w:rPr>
          <w:rFonts w:ascii="Helvetica" w:hAnsi="Helvetica" w:cs="Arial"/>
        </w:rPr>
        <w:t>3rd ed. New Jersey: Pearson</w:t>
      </w:r>
    </w:p>
    <w:p w14:paraId="17973435" w14:textId="63FB7EFB" w:rsidR="003754A7" w:rsidRPr="00E708C5" w:rsidRDefault="00E708C5" w:rsidP="00E708C5">
      <w:pPr>
        <w:pStyle w:val="ListParagraph"/>
        <w:numPr>
          <w:ilvl w:val="0"/>
          <w:numId w:val="1"/>
        </w:numPr>
        <w:jc w:val="both"/>
        <w:rPr>
          <w:rFonts w:ascii="Helvetica" w:hAnsi="Helvetica" w:cs="Arial"/>
        </w:rPr>
      </w:pPr>
      <w:r w:rsidRPr="00E708C5">
        <w:rPr>
          <w:rFonts w:ascii="Helvetica" w:hAnsi="Helvetica" w:cs="Arial"/>
        </w:rPr>
        <w:t>Roscoe, P. &amp; Loza, O. (2019) The–</w:t>
      </w:r>
      <w:proofErr w:type="spellStart"/>
      <w:r w:rsidRPr="00E708C5">
        <w:rPr>
          <w:rFonts w:ascii="Helvetica" w:hAnsi="Helvetica" w:cs="Arial"/>
        </w:rPr>
        <w:t>ography</w:t>
      </w:r>
      <w:proofErr w:type="spellEnd"/>
      <w:r w:rsidRPr="00E708C5">
        <w:rPr>
          <w:rFonts w:ascii="Helvetica" w:hAnsi="Helvetica" w:cs="Arial"/>
        </w:rPr>
        <w:t xml:space="preserve"> of markets (</w:t>
      </w:r>
      <w:proofErr w:type="gramStart"/>
      <w:r w:rsidRPr="00E708C5">
        <w:rPr>
          <w:rFonts w:ascii="Helvetica" w:hAnsi="Helvetica" w:cs="Arial"/>
        </w:rPr>
        <w:t>or,</w:t>
      </w:r>
      <w:proofErr w:type="gramEnd"/>
      <w:r w:rsidRPr="00E708C5">
        <w:rPr>
          <w:rFonts w:ascii="Helvetica" w:hAnsi="Helvetica" w:cs="Arial"/>
        </w:rPr>
        <w:t xml:space="preserve"> the responsibilities of market studies). </w:t>
      </w:r>
      <w:r w:rsidRPr="00E708C5">
        <w:rPr>
          <w:rFonts w:ascii="Helvetica" w:hAnsi="Helvetica" w:cs="Arial"/>
          <w:i/>
          <w:iCs/>
        </w:rPr>
        <w:t xml:space="preserve">Journal of Cultural Economy, </w:t>
      </w:r>
      <w:r w:rsidRPr="00E708C5">
        <w:rPr>
          <w:rFonts w:ascii="Helvetica" w:hAnsi="Helvetica" w:cs="Arial"/>
        </w:rPr>
        <w:t>12(3)</w:t>
      </w:r>
      <w:r w:rsidRPr="00E708C5">
        <w:rPr>
          <w:rFonts w:ascii="Helvetica" w:hAnsi="Helvetica" w:cs="Arial"/>
          <w:b/>
          <w:bCs/>
        </w:rPr>
        <w:t xml:space="preserve">, </w:t>
      </w:r>
      <w:r w:rsidRPr="00E708C5">
        <w:rPr>
          <w:rFonts w:ascii="Helvetica" w:hAnsi="Helvetica" w:cs="Arial"/>
        </w:rPr>
        <w:t>215-227</w:t>
      </w:r>
    </w:p>
    <w:p w14:paraId="74308A35" w14:textId="77777777" w:rsidR="003754A7" w:rsidRDefault="003754A7" w:rsidP="003754A7">
      <w:pPr>
        <w:jc w:val="both"/>
        <w:rPr>
          <w:rFonts w:ascii="Helvetica" w:hAnsi="Helvetica" w:cs="Arial"/>
        </w:rPr>
      </w:pPr>
    </w:p>
    <w:p w14:paraId="183F3312" w14:textId="77777777" w:rsidR="003754A7" w:rsidRPr="003754A7" w:rsidRDefault="003754A7">
      <w:pPr>
        <w:jc w:val="both"/>
        <w:rPr>
          <w:rFonts w:ascii="Helvetica" w:hAnsi="Helvetica" w:cs="Arial"/>
        </w:rPr>
      </w:pPr>
    </w:p>
    <w:sectPr w:rsidR="003754A7" w:rsidRPr="0037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87DBE"/>
    <w:multiLevelType w:val="hybridMultilevel"/>
    <w:tmpl w:val="7256D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79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A7"/>
    <w:rsid w:val="000356CE"/>
    <w:rsid w:val="00037B3E"/>
    <w:rsid w:val="000403DE"/>
    <w:rsid w:val="000A0A48"/>
    <w:rsid w:val="00243CB9"/>
    <w:rsid w:val="00265A23"/>
    <w:rsid w:val="00266C41"/>
    <w:rsid w:val="00306BF1"/>
    <w:rsid w:val="00362505"/>
    <w:rsid w:val="003754A7"/>
    <w:rsid w:val="003A5226"/>
    <w:rsid w:val="003F11D4"/>
    <w:rsid w:val="004049C3"/>
    <w:rsid w:val="00405189"/>
    <w:rsid w:val="00457803"/>
    <w:rsid w:val="00471B91"/>
    <w:rsid w:val="00553A00"/>
    <w:rsid w:val="005C2347"/>
    <w:rsid w:val="0069630B"/>
    <w:rsid w:val="006D130F"/>
    <w:rsid w:val="00756606"/>
    <w:rsid w:val="007728C2"/>
    <w:rsid w:val="00785EB0"/>
    <w:rsid w:val="00795C74"/>
    <w:rsid w:val="007A0D9F"/>
    <w:rsid w:val="00852DB7"/>
    <w:rsid w:val="00877B23"/>
    <w:rsid w:val="008958AB"/>
    <w:rsid w:val="008E5861"/>
    <w:rsid w:val="0090500C"/>
    <w:rsid w:val="00912801"/>
    <w:rsid w:val="00A11A2D"/>
    <w:rsid w:val="00B35C9A"/>
    <w:rsid w:val="00B86753"/>
    <w:rsid w:val="00BC3E27"/>
    <w:rsid w:val="00C86A76"/>
    <w:rsid w:val="00CD058E"/>
    <w:rsid w:val="00D4265A"/>
    <w:rsid w:val="00D5455D"/>
    <w:rsid w:val="00D91955"/>
    <w:rsid w:val="00E02DAE"/>
    <w:rsid w:val="00E708C5"/>
    <w:rsid w:val="00EA2290"/>
    <w:rsid w:val="00ED6969"/>
    <w:rsid w:val="00F07E9B"/>
    <w:rsid w:val="00FC7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AFCDD"/>
  <w15:chartTrackingRefBased/>
  <w15:docId w15:val="{5DFC864C-0FD2-6D41-9137-8A5C8E67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4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4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4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4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4A7"/>
    <w:rPr>
      <w:rFonts w:eastAsiaTheme="majorEastAsia" w:cstheme="majorBidi"/>
      <w:color w:val="272727" w:themeColor="text1" w:themeTint="D8"/>
    </w:rPr>
  </w:style>
  <w:style w:type="paragraph" w:styleId="Title">
    <w:name w:val="Title"/>
    <w:basedOn w:val="Normal"/>
    <w:next w:val="Normal"/>
    <w:link w:val="TitleChar"/>
    <w:uiPriority w:val="10"/>
    <w:qFormat/>
    <w:rsid w:val="003754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4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54A7"/>
    <w:rPr>
      <w:i/>
      <w:iCs/>
      <w:color w:val="404040" w:themeColor="text1" w:themeTint="BF"/>
    </w:rPr>
  </w:style>
  <w:style w:type="paragraph" w:styleId="ListParagraph">
    <w:name w:val="List Paragraph"/>
    <w:basedOn w:val="Normal"/>
    <w:uiPriority w:val="34"/>
    <w:qFormat/>
    <w:rsid w:val="003754A7"/>
    <w:pPr>
      <w:ind w:left="720"/>
      <w:contextualSpacing/>
    </w:pPr>
  </w:style>
  <w:style w:type="character" w:styleId="IntenseEmphasis">
    <w:name w:val="Intense Emphasis"/>
    <w:basedOn w:val="DefaultParagraphFont"/>
    <w:uiPriority w:val="21"/>
    <w:qFormat/>
    <w:rsid w:val="003754A7"/>
    <w:rPr>
      <w:i/>
      <w:iCs/>
      <w:color w:val="0F4761" w:themeColor="accent1" w:themeShade="BF"/>
    </w:rPr>
  </w:style>
  <w:style w:type="paragraph" w:styleId="IntenseQuote">
    <w:name w:val="Intense Quote"/>
    <w:basedOn w:val="Normal"/>
    <w:next w:val="Normal"/>
    <w:link w:val="IntenseQuoteChar"/>
    <w:uiPriority w:val="30"/>
    <w:qFormat/>
    <w:rsid w:val="00375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4A7"/>
    <w:rPr>
      <w:i/>
      <w:iCs/>
      <w:color w:val="0F4761" w:themeColor="accent1" w:themeShade="BF"/>
    </w:rPr>
  </w:style>
  <w:style w:type="character" w:styleId="IntenseReference">
    <w:name w:val="Intense Reference"/>
    <w:basedOn w:val="DefaultParagraphFont"/>
    <w:uiPriority w:val="32"/>
    <w:qFormat/>
    <w:rsid w:val="00375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48647">
      <w:bodyDiv w:val="1"/>
      <w:marLeft w:val="0"/>
      <w:marRight w:val="0"/>
      <w:marTop w:val="0"/>
      <w:marBottom w:val="0"/>
      <w:divBdr>
        <w:top w:val="none" w:sz="0" w:space="0" w:color="auto"/>
        <w:left w:val="none" w:sz="0" w:space="0" w:color="auto"/>
        <w:bottom w:val="none" w:sz="0" w:space="0" w:color="auto"/>
        <w:right w:val="none" w:sz="0" w:space="0" w:color="auto"/>
      </w:divBdr>
    </w:div>
    <w:div w:id="10314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Josiane</dc:creator>
  <cp:keywords/>
  <dc:description/>
  <cp:lastModifiedBy>Fernandes, Josiane</cp:lastModifiedBy>
  <cp:revision>3</cp:revision>
  <dcterms:created xsi:type="dcterms:W3CDTF">2024-12-17T11:16:00Z</dcterms:created>
  <dcterms:modified xsi:type="dcterms:W3CDTF">2024-12-17T12:07:00Z</dcterms:modified>
</cp:coreProperties>
</file>