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</w:rPr>
        <w:t>模型计量文档（FRTB：SBA/DRC/JTD）</w:t>
      </w:r>
    </w:p>
    <w:p>
      <w:r>
        <w:t>范围：覆盖SBA、JTD、DRC计量与汇总方法。</w:t>
      </w:r>
    </w:p>
    <w:p>
      <w:r>
        <w:t>代码基线：E:\zcyh_mr\engine\mr-core 与 E:\zcyh_mr\engine\mr-app</w:t>
      </w:r>
    </w:p>
    <w:p>
      <w:pPr>
        <w:pStyle w:val="Heading1"/>
      </w:pPr>
      <w:r>
        <w:t>1. SBA标准法敏感性</w:t>
      </w:r>
    </w:p>
    <w:p>
      <w:r>
        <w:t>输入：Delta/Vega/Curvature明细与监管参数。</w:t>
      </w:r>
    </w:p>
    <w:p>
      <w:r>
        <w:t>流程：RiskFactor聚合 -&gt; Bucket内聚合 -&gt; 跨Bucket聚合 -&gt; 风险大类资本。</w:t>
      </w:r>
    </w:p>
    <w:p>
      <w:r>
        <w:t>情景：Normal/High/Low并行计算，按监管规则取值。</w:t>
      </w:r>
    </w:p>
    <w:p>
      <w:pPr>
        <w:pStyle w:val="Heading1"/>
      </w:pPr>
      <w:r>
        <w:t>2. JTD与币种口径</w:t>
      </w:r>
    </w:p>
    <w:p>
      <w:r>
        <w:t>明细字段：JTD（展示）、JTD_CNY（计量）。</w:t>
      </w:r>
    </w:p>
    <w:p>
      <w:r>
        <w:t>计量原则：DRC后续全部使用JTD_CNY，原币JTD不参与计量。</w:t>
      </w:r>
    </w:p>
    <w:p>
      <w:r>
        <w:t>分解口径：风险因子分解只基于CNY口径。</w:t>
      </w:r>
    </w:p>
    <w:p>
      <w:pPr>
        <w:pStyle w:val="Heading1"/>
      </w:pPr>
      <w:r>
        <w:t>3. DRC计量方法</w:t>
      </w:r>
    </w:p>
    <w:p>
      <w:r>
        <w:t>输入：违约暴露、对冲关系、主体/桶映射、JTD_CNY。</w:t>
      </w:r>
    </w:p>
    <w:p>
      <w:r>
        <w:t>核心：按Long/Short净额、HBR、风险权重计算Bucket资本，再汇总大类。</w:t>
      </w:r>
    </w:p>
    <w:p>
      <w:r>
        <w:t>结果层级：DRC_VALUE与DECOMP_LEGALENTITY，不落库DECOMP_DETAIL。</w:t>
      </w:r>
    </w:p>
    <w:p>
      <w:pPr>
        <w:pStyle w:val="Heading1"/>
      </w:pPr>
      <w:r>
        <w:t>4. 汇总与分配原则</w:t>
      </w:r>
    </w:p>
    <w:p>
      <w:r>
        <w:t>顶层键点：以TOTAL作为统一分配基准。</w:t>
      </w:r>
    </w:p>
    <w:p>
      <w:r>
        <w:t>可加性：同监管口径可加，跨层级/跨币种不直接可加。</w:t>
      </w:r>
    </w:p>
    <w:p>
      <w:r>
        <w:t>错误策略：关键输入缺失可fail，日志仅记录前10条。</w:t>
      </w:r>
    </w:p>
    <w:p>
      <w:pPr>
        <w:pStyle w:val="Heading1"/>
      </w:pPr>
      <w:r>
        <w:t>5. 工程落地建议</w:t>
      </w:r>
    </w:p>
    <w:p>
      <w:r>
        <w:t>DRC建议独立为任务，与Pricing/Scenario并行编排。</w:t>
      </w:r>
    </w:p>
    <w:p>
      <w:r>
        <w:t>查询条件建议统一包含batch_id、data_date。</w:t>
      </w:r>
    </w:p>
    <w:p>
      <w:r>
        <w:t>结果字段命名建议使用drc_value、drc_type等业务化名称。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