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Microsoft YaHei"/>
        </w:rPr>
        <w:t>模型计量文档（产品计量方法）</w:t>
      </w:r>
    </w:p>
    <w:p>
      <w:r>
        <w:t>范围：仅包含产品定价与模型计量方法，不包含FRTB敏感性汇总规则。</w:t>
      </w:r>
    </w:p>
    <w:p>
      <w:r>
        <w:t>代码基线：E:\zcyh_mr\engine\mr-core</w:t>
      </w:r>
    </w:p>
    <w:p>
      <w:pPr>
        <w:pStyle w:val="Heading1"/>
      </w:pPr>
      <w:r>
        <w:t>1. 计量总览</w:t>
      </w:r>
    </w:p>
    <w:p>
      <w:r>
        <w:t>线性产品：基于现金流贴现或远期定价计算PV。</w:t>
      </w:r>
    </w:p>
    <w:p>
      <w:r>
        <w:t>期权产品：按欧式、美式、障碍、数字、结构化选择解析或MC。</w:t>
      </w:r>
    </w:p>
    <w:p>
      <w:r>
        <w:t>信用产品：CDS按违约腿与保费腿净额计算。</w:t>
      </w:r>
    </w:p>
    <w:p>
      <w:r>
        <w:t>统一输出：产品层以PV为主，辅以必要中间量。</w:t>
      </w:r>
    </w:p>
    <w:p>
      <w:pPr>
        <w:pStyle w:val="Heading1"/>
      </w:pPr>
      <w:r>
        <w:t>2. 线性与利率/信用产品方法</w:t>
      </w:r>
    </w:p>
    <w:p>
      <w:r>
        <w:t>FXFWD/FXSWAP：基于即期与远期关系定价，再按结算币种贴现。</w:t>
      </w:r>
    </w:p>
    <w:p>
      <w:r>
        <w:t>COMMFWD/COMMSWAP：基于商品远期曲线与掉期现金流进行定价。</w:t>
      </w:r>
    </w:p>
    <w:p>
      <w:r>
        <w:t>STD_IRS/IRSCCS：固定腿与浮动腿贴现后净额，跨币种场景包含汇率换算。</w:t>
      </w:r>
    </w:p>
    <w:p>
      <w:r>
        <w:t>BOND/BOND_FUTURE：债券按票息和本金贴现，期货按交割规则定价。</w:t>
      </w:r>
    </w:p>
    <w:p>
      <w:r>
        <w:t>CAPFLOOR/SWAPTION：使用Black或Bachelier等欧式期权框架。</w:t>
      </w:r>
    </w:p>
    <w:p>
      <w:r>
        <w:t>CDS：违约腿现值减去保费腿现值。</w:t>
      </w:r>
    </w:p>
    <w:p>
      <w:pPr>
        <w:pStyle w:val="Heading1"/>
      </w:pPr>
      <w:r>
        <w:t>3. 期权与结构化产品方法</w:t>
      </w:r>
    </w:p>
    <w:p>
      <w:r>
        <w:t>欧式香草：EurOptUtil，支持Black与Bachelier解析公式。</w:t>
      </w:r>
    </w:p>
    <w:p>
      <w:r>
        <w:t>美式香草：AmOptUtil，采用Bjerksund-Stensland近似。</w:t>
      </w:r>
    </w:p>
    <w:p>
      <w:r>
        <w:t>障碍期权：BarOptUtil，包括单/双障碍、no-touch与VV修正。</w:t>
      </w:r>
    </w:p>
    <w:p>
      <w:r>
        <w:t>数字期权：DigOptUtil，通过call spread复制实现。</w:t>
      </w:r>
    </w:p>
    <w:p>
      <w:r>
        <w:t>价差/鲨鱼鳍/自动赎回/阶梯/婚礼蛋糕/区间累计：采用拆腿合成及解析+MC混合。</w:t>
      </w:r>
    </w:p>
    <w:p>
      <w:pPr>
        <w:pStyle w:val="Heading1"/>
      </w:pPr>
      <w:r>
        <w:t>4. 蒙特卡洛口径</w:t>
      </w:r>
    </w:p>
    <w:p>
      <w:r>
        <w:t>路径引擎：McUtil生成随机路径。</w:t>
      </w:r>
    </w:p>
    <w:p>
      <w:r>
        <w:t>定价方式：逐路径现金流贴现并取均值。</w:t>
      </w:r>
    </w:p>
    <w:p>
      <w:r>
        <w:t>边界处理：到期与障碍边界按条款执行。</w:t>
      </w:r>
    </w:p>
    <w:p>
      <w:pPr>
        <w:pStyle w:val="Heading1"/>
      </w:pPr>
      <w:r>
        <w:t>5. 输入输出口径</w:t>
      </w:r>
    </w:p>
    <w:p>
      <w:r>
        <w:t>输入：trade_data、market_data、calendar。</w:t>
      </w:r>
    </w:p>
    <w:p>
      <w:r>
        <w:t>曲线优先级：外部market_data优先，缺失时补生成曲线。</w:t>
      </w:r>
    </w:p>
    <w:p>
      <w:r>
        <w:t>输出：以PV为主，FRTB另文档说明。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