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Amsterdam Weighted Food-Waste Index</w:t>
      </w:r>
    </w:p>
    <w:p>
      <w:pPr>
        <w:spacing w:after="320"/>
      </w:pPr>
      <w:r>
        <w:rPr>
          <w:color w:val="555555"/>
          <w:sz w:val="26"/>
          <w:szCs w:val="26"/>
        </w:rPr>
        <w:t xml:space="preserve">Methodology</w:t>
      </w:r>
    </w:p>
    <w:p>
      <w:pPr>
        <w:pStyle w:val="Heading1"/>
        <w:spacing w:after="160" w:before="320"/>
      </w:pPr>
      <w:r>
        <w:t xml:space="preserve">1. Purpose</w:t>
      </w:r>
    </w:p>
    <w:p>
      <w:pPr>
        <w:spacing w:after="160" w:line="276"/>
      </w:pPr>
      <w:r>
        <w:t xml:space="preserve">This pipeline estimates, for each trapped brown rat (</w:t>
      </w:r>
      <w:r>
        <w:rPr>
          <w:i/>
          <w:iCs/>
        </w:rPr>
        <w:t xml:space="preserve">Rattus norvegicus</w:t>
      </w:r>
      <w:r>
        <w:t xml:space="preserve">) in the Amsterdam sample, the mass of food waste plausibly available to it from nearby food service establishments (FSEs) — restaurants, bars/cafés, supermarkets, and specialist food shops. The resulting </w:t>
      </w:r>
      <w:r>
        <w:rPr>
          <w:b/>
          <w:bCs/>
        </w:rPr>
        <w:t xml:space="preserve">weighted waste index (wwindex)</w:t>
      </w:r>
      <w:r>
        <w:t xml:space="preserve"> is a per-rat, per-buffer covariate intended for use alongside body-size and other urbanization covariates in downstream models of rat body size variation.</w:t>
      </w:r>
    </w:p>
    <w:p>
      <w:pPr>
        <w:spacing w:after="160" w:line="276"/>
      </w:pPr>
      <w:r>
        <w:t xml:space="preserve">The index is built in five stages: (1) locate FSEs from OpenStreetMap (OSM); (2) validate how completely OSM captures the true population of FSEs, using official Dutch statistics; (3) allocate national food-waste tonnage down to the level of an individual establishment; (4) attach that per-establishment waste rate to every mapped FSE point; and (5) sum the weights of all FSEs falling within each rat's capture buffer.</w:t>
      </w:r>
    </w:p>
    <w:p>
      <w:pPr>
        <w:pStyle w:val="Heading1"/>
        <w:spacing w:after="160" w:before="320"/>
      </w:pPr>
      <w:r>
        <w:t xml:space="preserve">2. Study Area and Geographic Discipline</w:t>
      </w:r>
    </w:p>
    <w:p>
      <w:pPr>
        <w:spacing w:after="160" w:line="276"/>
      </w:pPr>
      <w:r>
        <w:t xml:space="preserve">Two nested boundaries are used, and the pipeline enforces a strict rule about which statistics may be compared against which boundary:</w:t>
      </w:r>
    </w:p>
    <w:p>
      <w:pPr>
        <w:pStyle w:val="ListParagraph"/>
        <w:numPr>
          <w:ilvl w:val="0"/>
          <w:numId w:val="2"/>
        </w:numPr>
        <w:spacing w:after="80" w:line="276"/>
      </w:pPr>
      <w:r>
        <w:rPr>
          <w:b/>
          <w:bCs/>
        </w:rPr>
        <w:t xml:space="preserve">Groot-Amsterdam (grootams)</w:t>
      </w:r>
      <w:r>
        <w:t xml:space="preserve"> — the CR23 COROP region, a Dutch statistical metro-area unit. This is the geography at which Statistics Netherlands (CBS) publishes establishment counts, so it is the only geography CBS counts may be benchmarked against.</w:t>
      </w:r>
    </w:p>
    <w:p>
      <w:pPr>
        <w:pStyle w:val="ListParagraph"/>
        <w:numPr>
          <w:ilvl w:val="0"/>
          <w:numId w:val="2"/>
        </w:numPr>
        <w:spacing w:after="80" w:line="276"/>
      </w:pPr>
      <w:r>
        <w:rPr>
          <w:b/>
          <w:bCs/>
        </w:rPr>
        <w:t xml:space="preserve">Amsterdam city (ams_city)</w:t>
      </w:r>
      <w:r>
        <w:t xml:space="preserve"> — the municipal boundary, and the geography the rat trapping data actually falls within.</w:t>
      </w:r>
    </w:p>
    <w:p>
      <w:pPr>
        <w:spacing w:after="160" w:line="276"/>
      </w:pPr>
      <w:r>
        <w:rPr>
          <w:b/>
          <w:bCs/>
        </w:rPr>
        <w:t xml:space="preserve">Geography discipline: </w:t>
      </w:r>
      <w:r>
        <w:t xml:space="preserve">CBS establishment counts (Section 4) are compared only to OSM points within </w:t>
      </w:r>
      <w:r>
        <w:rPr>
          <w:rFonts w:ascii="Consolas" w:cs="Consolas" w:eastAsia="Consolas" w:hAnsi="Consolas"/>
          <w:sz w:val="20"/>
          <w:szCs w:val="20"/>
        </w:rPr>
        <w:t xml:space="preserve">grootams</w:t>
      </w:r>
      <w:r>
        <w:t xml:space="preserve">, never to points within </w:t>
      </w:r>
      <w:r>
        <w:rPr>
          <w:rFonts w:ascii="Consolas" w:cs="Consolas" w:eastAsia="Consolas" w:hAnsi="Consolas"/>
          <w:sz w:val="20"/>
          <w:szCs w:val="20"/>
        </w:rPr>
        <w:t xml:space="preserve">ams_city</w:t>
      </w:r>
      <w:r>
        <w:t xml:space="preserve">. City-level values are derived afterward, in Section 5, by scaling the validated metro-level totals down using the observed OSM city/metro ratio — never by re-querying CBS at the city boundary. Area is checked at load time (city area must be smaller than metro area) to catch boundary or coordinate-reference-system (CRS) errors early. All spatial layers are reprojected to the Dutch national grid (EPSG:28992) for area and distance calculations.</w:t>
      </w:r>
    </w:p>
    <w:p>
      <w:pPr>
        <w:pStyle w:val="Heading1"/>
        <w:spacing w:after="160" w:before="320"/>
      </w:pPr>
      <w:r>
        <w:t xml:space="preserve">3. Identifying Food Service Establishments from OpenStreetMap</w:t>
      </w:r>
    </w:p>
    <w:p>
      <w:pPr>
        <w:pStyle w:val="Heading2"/>
        <w:spacing w:after="120" w:before="240"/>
      </w:pPr>
      <w:r>
        <w:t xml:space="preserve">3.1 Extraction</w:t>
      </w:r>
    </w:p>
    <w:p>
      <w:pPr>
        <w:spacing w:after="160" w:line="276"/>
      </w:pPr>
      <w:r>
        <w:t xml:space="preserve">FSE points are queried from a single, fixed OSM snapshot (</w:t>
      </w:r>
      <w:r>
        <w:rPr>
          <w:rFonts w:ascii="Consolas" w:cs="Consolas" w:eastAsia="Consolas" w:hAnsi="Consolas"/>
          <w:sz w:val="20"/>
          <w:szCs w:val="20"/>
        </w:rPr>
        <w:t xml:space="preserve">2020-11-01</w:t>
      </w:r>
      <w:r>
        <w:t xml:space="preserve">, the first complete-month snapshot after October 2020) using the ohsome API, restricted to a defined OSM tag filter covering:</w:t>
      </w:r>
    </w:p>
    <w:p>
      <w:pPr>
        <w:pStyle w:val="ListParagraph"/>
        <w:numPr>
          <w:ilvl w:val="0"/>
          <w:numId w:val="2"/>
        </w:numPr>
        <w:spacing w:after="80" w:line="276"/>
      </w:pPr>
      <w:r>
        <w:t xml:space="preserve">amenity: restaurant, cafe, fast_food, bar, pub, food_court, biergarten, ice_cream, juice_bar</w:t>
      </w:r>
    </w:p>
    <w:p>
      <w:pPr>
        <w:pStyle w:val="ListParagraph"/>
        <w:numPr>
          <w:ilvl w:val="0"/>
          <w:numId w:val="2"/>
        </w:numPr>
        <w:spacing w:after="80" w:line="276"/>
      </w:pPr>
      <w:r>
        <w:t xml:space="preserve">shop: convenience, bakery, deli, supermarket, butcher, greengrocer, pastry, cheese</w:t>
      </w:r>
    </w:p>
    <w:p>
      <w:pPr>
        <w:pStyle w:val="ListParagraph"/>
        <w:numPr>
          <w:ilvl w:val="0"/>
          <w:numId w:val="2"/>
        </w:numPr>
        <w:spacing w:after="80" w:line="276"/>
      </w:pPr>
      <w:r>
        <w:t xml:space="preserve">Fuel-station amenities are explicitly excluded (some fuel stations carry a secondary food amenity tag).</w:t>
      </w:r>
    </w:p>
    <w:p>
      <w:pPr>
        <w:spacing w:after="160" w:line="276"/>
      </w:pPr>
      <w:r>
        <w:t xml:space="preserve">This filter is applied identically to both the metro and city boundaries, and results are clipped with a strict point-in-polygon test so that no establishment is double-counted across boundaries.</w:t>
      </w:r>
    </w:p>
    <w:p>
      <w:pPr>
        <w:pStyle w:val="Heading2"/>
        <w:spacing w:after="120" w:before="240"/>
      </w:pPr>
      <w:r>
        <w:t xml:space="preserve">3.2 Subsector Classification</w:t>
      </w:r>
    </w:p>
    <w:p>
      <w:pPr>
        <w:spacing w:after="160" w:line="276"/>
      </w:pPr>
      <w:r>
        <w:t xml:space="preserve">Each retained OSM point is assigned to exactly one of four analysis subsectors, chosen to align with the Dutch SBI 2008 industry classification used by CBS (Section 4). The mapping is not a literal restatement of OSM tags — two points deserve emphasis, flagged in the table below.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400"/>
        <w:gridCol w:w="3300"/>
      </w:tblGrid>
      <w:tr>
        <w:tc>
          <w:tcPr>
            <w:tcW w:type="dxa" w:w="2400"/>
            <w:shd w:fill="E8E8E8" w:val="clear"/>
            <w:tcMar>
              <w:top w:type="dxa" w:w="80"/>
              <w:left w:type="dxa" w:w="100"/>
              <w:bottom w:type="dxa" w:w="80"/>
              <w:right w:type="dxa" w:w="100"/>
            </w:tcMar>
          </w:tcPr>
          <w:p>
            <w:r>
              <w:rPr>
                <w:b/>
                <w:bCs/>
                <w:sz w:val="20"/>
                <w:szCs w:val="20"/>
              </w:rPr>
              <w:t xml:space="preserve">fse_subsector</w:t>
            </w:r>
          </w:p>
        </w:tc>
        <w:tc>
          <w:tcPr>
            <w:tcW w:type="dxa" w:w="3400"/>
            <w:shd w:fill="E8E8E8" w:val="clear"/>
            <w:tcMar>
              <w:top w:type="dxa" w:w="80"/>
              <w:left w:type="dxa" w:w="100"/>
              <w:bottom w:type="dxa" w:w="80"/>
              <w:right w:type="dxa" w:w="100"/>
            </w:tcMar>
          </w:tcPr>
          <w:p>
            <w:r>
              <w:rPr>
                <w:b/>
                <w:bCs/>
                <w:sz w:val="20"/>
                <w:szCs w:val="20"/>
              </w:rPr>
              <w:t xml:space="preserve">OSM source tags</w:t>
            </w:r>
          </w:p>
        </w:tc>
        <w:tc>
          <w:tcPr>
            <w:tcW w:type="dxa" w:w="1400"/>
            <w:shd w:fill="E8E8E8" w:val="clear"/>
            <w:tcMar>
              <w:top w:type="dxa" w:w="80"/>
              <w:left w:type="dxa" w:w="100"/>
              <w:bottom w:type="dxa" w:w="80"/>
              <w:right w:type="dxa" w:w="100"/>
            </w:tcMar>
          </w:tcPr>
          <w:p>
            <w:r>
              <w:rPr>
                <w:b/>
                <w:bCs/>
                <w:sz w:val="20"/>
                <w:szCs w:val="20"/>
              </w:rPr>
              <w:t xml:space="preserve">SBI 2008 anchor</w:t>
            </w:r>
          </w:p>
        </w:tc>
        <w:tc>
          <w:tcPr>
            <w:tcW w:type="dxa" w:w="3300"/>
            <w:shd w:fill="E8E8E8" w:val="clear"/>
            <w:tcMar>
              <w:top w:type="dxa" w:w="80"/>
              <w:left w:type="dxa" w:w="100"/>
              <w:bottom w:type="dxa" w:w="80"/>
              <w:right w:type="dxa" w:w="100"/>
            </w:tcMar>
          </w:tcPr>
          <w:p>
            <w:r>
              <w:rPr>
                <w:b/>
                <w:bCs/>
                <w:sz w:val="20"/>
                <w:szCs w:val="20"/>
              </w:rPr>
              <w:t xml:space="preserve">Note</w:t>
            </w:r>
          </w:p>
        </w:tc>
      </w:tr>
      <w:tr>
        <w:tc>
          <w:tcPr>
            <w:tcW w:type="dxa" w:w="2400"/>
            <w:tcMar>
              <w:top w:type="dxa" w:w="80"/>
              <w:left w:type="dxa" w:w="100"/>
              <w:bottom w:type="dxa" w:w="80"/>
              <w:right w:type="dxa" w:w="100"/>
            </w:tcMar>
          </w:tcPr>
          <w:p>
            <w:r>
              <w:rPr>
                <w:b w:val="false"/>
                <w:bCs w:val="false"/>
                <w:sz w:val="20"/>
                <w:szCs w:val="20"/>
              </w:rPr>
              <w:t xml:space="preserve">restaurant_fastfood</w:t>
            </w:r>
          </w:p>
        </w:tc>
        <w:tc>
          <w:tcPr>
            <w:tcW w:type="dxa" w:w="3400"/>
            <w:tcMar>
              <w:top w:type="dxa" w:w="80"/>
              <w:left w:type="dxa" w:w="100"/>
              <w:bottom w:type="dxa" w:w="80"/>
              <w:right w:type="dxa" w:w="100"/>
            </w:tcMar>
          </w:tcPr>
          <w:p>
            <w:r>
              <w:rPr>
                <w:b w:val="false"/>
                <w:bCs w:val="false"/>
                <w:sz w:val="20"/>
                <w:szCs w:val="20"/>
              </w:rPr>
              <w:t xml:space="preserve">amenity: restaurant, fast_food, food_court, ice_cream, juice_bar (+ cafe, by default)</w:t>
            </w:r>
          </w:p>
        </w:tc>
        <w:tc>
          <w:tcPr>
            <w:tcW w:type="dxa" w:w="1400"/>
            <w:tcMar>
              <w:top w:type="dxa" w:w="80"/>
              <w:left w:type="dxa" w:w="100"/>
              <w:bottom w:type="dxa" w:w="80"/>
              <w:right w:type="dxa" w:w="100"/>
            </w:tcMar>
          </w:tcPr>
          <w:p>
            <w:r>
              <w:rPr>
                <w:b w:val="false"/>
                <w:bCs w:val="false"/>
                <w:sz w:val="20"/>
                <w:szCs w:val="20"/>
              </w:rPr>
              <w:t xml:space="preserve">5610</w:t>
            </w:r>
          </w:p>
        </w:tc>
        <w:tc>
          <w:tcPr>
            <w:tcW w:type="dxa" w:w="3300"/>
            <w:tcMar>
              <w:top w:type="dxa" w:w="80"/>
              <w:left w:type="dxa" w:w="100"/>
              <w:bottom w:type="dxa" w:w="80"/>
              <w:right w:type="dxa" w:w="100"/>
            </w:tcMar>
          </w:tcPr>
          <w:p>
            <w:r>
              <w:rPr>
                <w:b w:val="false"/>
                <w:bCs w:val="false"/>
                <w:sz w:val="20"/>
                <w:szCs w:val="20"/>
              </w:rPr>
              <w:t xml:space="preserve">cafe is folded in here by default; a config toggle can route it to barpub instead</w:t>
            </w:r>
          </w:p>
        </w:tc>
      </w:tr>
      <w:tr>
        <w:tc>
          <w:tcPr>
            <w:tcW w:type="dxa" w:w="2400"/>
            <w:tcMar>
              <w:top w:type="dxa" w:w="80"/>
              <w:left w:type="dxa" w:w="100"/>
              <w:bottom w:type="dxa" w:w="80"/>
              <w:right w:type="dxa" w:w="100"/>
            </w:tcMar>
          </w:tcPr>
          <w:p>
            <w:r>
              <w:rPr>
                <w:b w:val="false"/>
                <w:bCs w:val="false"/>
                <w:sz w:val="20"/>
                <w:szCs w:val="20"/>
              </w:rPr>
              <w:t xml:space="preserve">barpub</w:t>
            </w:r>
          </w:p>
        </w:tc>
        <w:tc>
          <w:tcPr>
            <w:tcW w:type="dxa" w:w="3400"/>
            <w:tcMar>
              <w:top w:type="dxa" w:w="80"/>
              <w:left w:type="dxa" w:w="100"/>
              <w:bottom w:type="dxa" w:w="80"/>
              <w:right w:type="dxa" w:w="100"/>
            </w:tcMar>
          </w:tcPr>
          <w:p>
            <w:r>
              <w:rPr>
                <w:b w:val="false"/>
                <w:bCs w:val="false"/>
                <w:sz w:val="20"/>
                <w:szCs w:val="20"/>
              </w:rPr>
              <w:t xml:space="preserve">amenity: bar, pub, biergarten</w:t>
            </w:r>
          </w:p>
        </w:tc>
        <w:tc>
          <w:tcPr>
            <w:tcW w:type="dxa" w:w="1400"/>
            <w:tcMar>
              <w:top w:type="dxa" w:w="80"/>
              <w:left w:type="dxa" w:w="100"/>
              <w:bottom w:type="dxa" w:w="80"/>
              <w:right w:type="dxa" w:w="100"/>
            </w:tcMar>
          </w:tcPr>
          <w:p>
            <w:r>
              <w:rPr>
                <w:b w:val="false"/>
                <w:bCs w:val="false"/>
                <w:sz w:val="20"/>
                <w:szCs w:val="20"/>
              </w:rPr>
              <w:t xml:space="preserve">563</w:t>
            </w:r>
          </w:p>
        </w:tc>
        <w:tc>
          <w:tcPr>
            <w:tcW w:type="dxa" w:w="3300"/>
            <w:tcMar>
              <w:top w:type="dxa" w:w="80"/>
              <w:left w:type="dxa" w:w="100"/>
              <w:bottom w:type="dxa" w:w="80"/>
              <w:right w:type="dxa" w:w="100"/>
            </w:tcMar>
          </w:tcPr>
          <w:p>
            <w:r>
              <w:rPr>
                <w:b w:val="false"/>
                <w:bCs w:val="false"/>
                <w:sz w:val="20"/>
                <w:szCs w:val="20"/>
              </w:rPr>
              <w:t xml:space="preserve">Represents Dutch “Cafés” (drinking establishments), not coffee shops</w:t>
            </w:r>
          </w:p>
        </w:tc>
      </w:tr>
      <w:tr>
        <w:tc>
          <w:tcPr>
            <w:tcW w:type="dxa" w:w="2400"/>
            <w:tcMar>
              <w:top w:type="dxa" w:w="80"/>
              <w:left w:type="dxa" w:w="100"/>
              <w:bottom w:type="dxa" w:w="80"/>
              <w:right w:type="dxa" w:w="100"/>
            </w:tcMar>
          </w:tcPr>
          <w:p>
            <w:r>
              <w:rPr>
                <w:b w:val="false"/>
                <w:bCs w:val="false"/>
                <w:sz w:val="20"/>
                <w:szCs w:val="20"/>
              </w:rPr>
              <w:t xml:space="preserve">grocery</w:t>
            </w:r>
          </w:p>
        </w:tc>
        <w:tc>
          <w:tcPr>
            <w:tcW w:type="dxa" w:w="3400"/>
            <w:tcMar>
              <w:top w:type="dxa" w:w="80"/>
              <w:left w:type="dxa" w:w="100"/>
              <w:bottom w:type="dxa" w:w="80"/>
              <w:right w:type="dxa" w:w="100"/>
            </w:tcMar>
          </w:tcPr>
          <w:p>
            <w:r>
              <w:rPr>
                <w:b w:val="false"/>
                <w:bCs w:val="false"/>
                <w:sz w:val="20"/>
                <w:szCs w:val="20"/>
              </w:rPr>
              <w:t xml:space="preserve">shop: supermarket, convenience</w:t>
            </w:r>
          </w:p>
        </w:tc>
        <w:tc>
          <w:tcPr>
            <w:tcW w:type="dxa" w:w="1400"/>
            <w:tcMar>
              <w:top w:type="dxa" w:w="80"/>
              <w:left w:type="dxa" w:w="100"/>
              <w:bottom w:type="dxa" w:w="80"/>
              <w:right w:type="dxa" w:w="100"/>
            </w:tcMar>
          </w:tcPr>
          <w:p>
            <w:r>
              <w:rPr>
                <w:b w:val="false"/>
                <w:bCs w:val="false"/>
                <w:sz w:val="20"/>
                <w:szCs w:val="20"/>
              </w:rPr>
              <w:t xml:space="preserve">4711</w:t>
            </w:r>
          </w:p>
        </w:tc>
        <w:tc>
          <w:tcPr>
            <w:tcW w:type="dxa" w:w="3300"/>
            <w:tcMar>
              <w:top w:type="dxa" w:w="80"/>
              <w:left w:type="dxa" w:w="100"/>
              <w:bottom w:type="dxa" w:w="80"/>
              <w:right w:type="dxa" w:w="100"/>
            </w:tcMar>
          </w:tcPr>
          <w:p>
            <w:r>
              <w:rPr>
                <w:b w:val="false"/>
                <w:bCs w:val="false"/>
                <w:sz w:val="20"/>
                <w:szCs w:val="20"/>
              </w:rPr>
              <w:t xml:space="preserve">OSM shop=convenience lands here (general retail), not in the subsector named “convenience” below</w:t>
            </w:r>
          </w:p>
        </w:tc>
      </w:tr>
      <w:tr>
        <w:tc>
          <w:tcPr>
            <w:tcW w:type="dxa" w:w="2400"/>
            <w:tcMar>
              <w:top w:type="dxa" w:w="80"/>
              <w:left w:type="dxa" w:w="100"/>
              <w:bottom w:type="dxa" w:w="80"/>
              <w:right w:type="dxa" w:w="100"/>
            </w:tcMar>
          </w:tcPr>
          <w:p>
            <w:r>
              <w:rPr>
                <w:b w:val="false"/>
                <w:bCs w:val="false"/>
                <w:sz w:val="20"/>
                <w:szCs w:val="20"/>
              </w:rPr>
              <w:t xml:space="preserve">convenience</w:t>
            </w:r>
          </w:p>
        </w:tc>
        <w:tc>
          <w:tcPr>
            <w:tcW w:type="dxa" w:w="3400"/>
            <w:tcMar>
              <w:top w:type="dxa" w:w="80"/>
              <w:left w:type="dxa" w:w="100"/>
              <w:bottom w:type="dxa" w:w="80"/>
              <w:right w:type="dxa" w:w="100"/>
            </w:tcMar>
          </w:tcPr>
          <w:p>
            <w:r>
              <w:rPr>
                <w:b w:val="false"/>
                <w:bCs w:val="false"/>
                <w:sz w:val="20"/>
                <w:szCs w:val="20"/>
              </w:rPr>
              <w:t xml:space="preserve">shop: bakery, deli, butcher, greengrocer, pastry, cheese</w:t>
            </w:r>
          </w:p>
        </w:tc>
        <w:tc>
          <w:tcPr>
            <w:tcW w:type="dxa" w:w="1400"/>
            <w:tcMar>
              <w:top w:type="dxa" w:w="80"/>
              <w:left w:type="dxa" w:w="100"/>
              <w:bottom w:type="dxa" w:w="80"/>
              <w:right w:type="dxa" w:w="100"/>
            </w:tcMar>
          </w:tcPr>
          <w:p>
            <w:r>
              <w:rPr>
                <w:b w:val="false"/>
                <w:bCs w:val="false"/>
                <w:sz w:val="20"/>
                <w:szCs w:val="20"/>
              </w:rPr>
              <w:t xml:space="preserve">472</w:t>
            </w:r>
          </w:p>
        </w:tc>
        <w:tc>
          <w:tcPr>
            <w:tcW w:type="dxa" w:w="3300"/>
            <w:tcMar>
              <w:top w:type="dxa" w:w="80"/>
              <w:left w:type="dxa" w:w="100"/>
              <w:bottom w:type="dxa" w:w="80"/>
              <w:right w:type="dxa" w:w="100"/>
            </w:tcMar>
          </w:tcPr>
          <w:p>
            <w:r>
              <w:rPr>
                <w:b w:val="false"/>
                <w:bCs w:val="false"/>
                <w:sz w:val="20"/>
                <w:szCs w:val="20"/>
              </w:rPr>
              <w:t xml:space="preserve">Specialist food shops. Named to match the CBS category label, which differs from the OSM tag shop=convenience</w:t>
            </w:r>
          </w:p>
        </w:tc>
      </w:tr>
    </w:tbl>
    <w:p>
      <w:pPr>
        <w:spacing w:after="160" w:line="276"/>
      </w:pPr>
      <w:r>
        <w:rPr>
          <w:i/>
          <w:iCs/>
        </w:rPr>
        <w:t xml:space="preserve">Naming caution: </w:t>
      </w:r>
      <w:r>
        <w:t xml:space="preserve">the fse_subsector labeled </w:t>
      </w:r>
      <w:r>
        <w:rPr>
          <w:rFonts w:ascii="Consolas" w:cs="Consolas" w:eastAsia="Consolas" w:hAnsi="Consolas"/>
          <w:sz w:val="20"/>
          <w:szCs w:val="20"/>
        </w:rPr>
        <w:t xml:space="preserve">convenience</w:t>
      </w:r>
      <w:r>
        <w:t xml:space="preserve"> corresponds to CBS's “specialist food shops” category, </w:t>
      </w:r>
      <w:r>
        <w:rPr>
          <w:b/>
          <w:bCs/>
        </w:rPr>
        <w:t xml:space="preserve">not</w:t>
      </w:r>
      <w:r>
        <w:t xml:space="preserve"> to the OSM tag </w:t>
      </w:r>
      <w:r>
        <w:rPr>
          <w:rFonts w:ascii="Consolas" w:cs="Consolas" w:eastAsia="Consolas" w:hAnsi="Consolas"/>
          <w:sz w:val="20"/>
          <w:szCs w:val="20"/>
        </w:rPr>
        <w:t xml:space="preserve">shop=convenience</w:t>
      </w:r>
      <w:r>
        <w:t xml:space="preserve">, which is instead classified under </w:t>
      </w:r>
      <w:r>
        <w:rPr>
          <w:rFonts w:ascii="Consolas" w:cs="Consolas" w:eastAsia="Consolas" w:hAnsi="Consolas"/>
          <w:sz w:val="20"/>
          <w:szCs w:val="20"/>
        </w:rPr>
        <w:t xml:space="preserve">grocery</w:t>
      </w:r>
      <w:r>
        <w:t xml:space="preserve">. This is a deliberate alignment to the CBS taxonomy, kept for consistency with prior analysis stages, but worth restating explicitly here since the names alone are easy to conflate.</w:t>
      </w:r>
    </w:p>
    <w:p>
      <w:pPr>
        <w:pStyle w:val="Heading1"/>
        <w:spacing w:after="160" w:before="320"/>
      </w:pPr>
      <w:r>
        <w:t xml:space="preserve">4. Validating OSM Against Official Statistics (CBS)</w:t>
      </w:r>
    </w:p>
    <w:p>
      <w:pPr>
        <w:spacing w:after="160" w:line="276"/>
      </w:pPr>
      <w:r>
        <w:t xml:space="preserve">OpenStreetMap is a crowdsourced, voluntarily maintained dataset and is known to under-represent some business categories more than others. Before OSM points are used to weight anything, the pipeline benchmarks them against Statistics Netherlands' live establishment register (table </w:t>
      </w:r>
      <w:r>
        <w:rPr>
          <w:rFonts w:ascii="Consolas" w:cs="Consolas" w:eastAsia="Consolas" w:hAnsi="Consolas"/>
          <w:sz w:val="20"/>
          <w:szCs w:val="20"/>
        </w:rPr>
        <w:t xml:space="preserve">81578NED</w:t>
      </w:r>
      <w:r>
        <w:t xml:space="preserve">, “Vestigingen; bedrijfstak, regio”) for the CR23 region, year 2020.</w:t>
      </w:r>
    </w:p>
    <w:p>
      <w:pPr>
        <w:spacing w:after="160" w:line="276"/>
      </w:pPr>
      <w:r>
        <w:rPr>
          <w:b/>
          <w:bCs/>
        </w:rPr>
        <w:t xml:space="preserve">Live resolution, not hardcoded counts or keys. </w:t>
      </w:r>
      <w:r>
        <w:t xml:space="preserve">Category and region identifiers in CBS tables are opaque, whitespace-padded codes (e.g. a region key with trailing blanks) that break naive equality filters and can change between table revisions. The pipeline resolves the correct key at runtime by matching on the human-readable category label (e.g. matching the text “Groot-Amsterdam (CR)” rather than hardcoding its key), then uses the resolved key verbatim for the actual data pull. This makes the pipeline robust to CBS re-publishing the same categories under different internal codes.</w:t>
      </w:r>
    </w:p>
    <w:p>
      <w:pPr>
        <w:pStyle w:val="Heading2"/>
        <w:spacing w:after="120" w:before="240"/>
      </w:pPr>
      <w:r>
        <w:t xml:space="preserve">4.1 Deliverable — OSM Completeness vs. Census</w:t>
      </w:r>
    </w:p>
    <w:p>
      <w:pPr>
        <w:spacing w:after="160" w:line="276"/>
      </w:pPr>
      <w:r>
        <w:t xml:space="preserve">For each subsector, the count of OSM points within Groot-Amsterdam is compared to the CBS establishment count for the matching SBI branch, at the same CR23 geography. This produces a completeness percentage per subsector (OSM count ÷ CBS count × 100).</w:t>
      </w:r>
    </w:p>
    <w:p>
      <w:pPr>
        <w:spacing w:after="160" w:line="276"/>
      </w:pPr>
      <w:r>
        <w:rPr>
          <w:i/>
          <w:iCs/>
        </w:rPr>
        <w:t xml:space="preserve">Interpretation: </w:t>
      </w:r>
      <w:r>
        <w:t xml:space="preserve">because OSM tag definitions and SBI branch definitions are only approximately aligned, the </w:t>
      </w:r>
      <w:r>
        <w:rPr>
          <w:b/>
          <w:bCs/>
        </w:rPr>
        <w:t xml:space="preserve">rank order</w:t>
      </w:r>
      <w:r>
        <w:t xml:space="preserve"> of completeness across subsectors is the reliable signal, not the absolute percentage. In the underlying dataset, grocery (supermarkets) was best-mapped (~99% of census count) and convenience (specialist food shops) was worst-mapped (~32%), with restaurant_fastfood and barpub in between — indicating OSM coverage in Amsterdam is uneven across FSE types and should not be treated as a complete census on its own.</w:t>
      </w:r>
    </w:p>
    <w:p>
      <w:pPr>
        <w:pStyle w:val="Heading2"/>
        <w:spacing w:after="120" w:before="240"/>
      </w:pPr>
      <w:r>
        <w:t xml:space="preserve">4.2 Deliverable — City Share of Metro</w:t>
      </w:r>
    </w:p>
    <w:p>
      <w:pPr>
        <w:spacing w:after="160" w:line="276"/>
      </w:pPr>
      <w:r>
        <w:t xml:space="preserve">For each subsector, the fraction of Groot-Amsterdam OSM points that fall specifically within the Amsterdam city boundary is computed. This ratio is the mechanism used later (Section 5.3) to scale metro-level waste totals and establishment counts down to the city level, since CBS does not publish establishment counts at a matching city-level geography for this table.</w:t>
      </w:r>
    </w:p>
    <w:p>
      <w:pPr>
        <w:pStyle w:val="Heading1"/>
        <w:spacing w:after="160" w:before="320"/>
      </w:pPr>
      <w:r>
        <w:t xml:space="preserve">5. Allocating National Food-Waste Tonnage to Individual Establishments</w:t>
      </w:r>
    </w:p>
    <w:p>
      <w:pPr>
        <w:spacing w:after="160" w:line="276"/>
      </w:pPr>
      <w:r>
        <w:t xml:space="preserve">This is the core of the index: converting a national annual tonnage figure into a kg/year rate for one representative establishment of each subsector, staying internally consistent from the national level down to the city level.</w:t>
      </w:r>
    </w:p>
    <w:p>
      <w:pPr>
        <w:pStyle w:val="Heading2"/>
        <w:spacing w:after="120" w:before="240"/>
      </w:pPr>
      <w:r>
        <w:t xml:space="preserve">5.1 National Tonnage and Waste Tiers</w:t>
      </w:r>
    </w:p>
    <w:p>
      <w:pPr>
        <w:spacing w:after="160" w:line="276"/>
      </w:pPr>
      <w:r>
        <w:t xml:space="preserve">National annual food-waste tonnage figures are taken from an external national monitor (Wageningen University &amp; Research) and are treated as fixed inputs, not recalculated: </w:t>
      </w:r>
      <w:r>
        <w:rPr>
          <w:b/>
          <w:bCs/>
        </w:rPr>
        <w:t xml:space="preserve">210 kt</w:t>
      </w:r>
      <w:r>
        <w:t xml:space="preserve"> for retail food waste and </w:t>
      </w:r>
      <w:r>
        <w:rPr>
          <w:b/>
          <w:bCs/>
        </w:rPr>
        <w:t xml:space="preserve">83 kt</w:t>
      </w:r>
      <w:r>
        <w:t xml:space="preserve"> for horeca (hospitality) food waste.</w:t>
      </w:r>
    </w:p>
    <w:p>
      <w:pPr>
        <w:spacing w:after="160" w:line="276"/>
      </w:pPr>
      <w:r>
        <w:t xml:space="preserve">The national monitor reports retail as a </w:t>
      </w:r>
      <w:r>
        <w:rPr>
          <w:b/>
          <w:bCs/>
        </w:rPr>
        <w:t xml:space="preserve">single aggregate</w:t>
      </w:r>
      <w:r>
        <w:t xml:space="preserve"> — it does not separately report supermarkets versus specialist food shops. Because there is no national split to allocate from, the </w:t>
      </w:r>
      <w:r>
        <w:rPr>
          <w:rFonts w:ascii="Consolas" w:cs="Consolas" w:eastAsia="Consolas" w:hAnsi="Consolas"/>
          <w:sz w:val="20"/>
          <w:szCs w:val="20"/>
        </w:rPr>
        <w:t xml:space="preserve">grocery</w:t>
      </w:r>
      <w:r>
        <w:t xml:space="preserve"> and </w:t>
      </w:r>
      <w:r>
        <w:rPr>
          <w:rFonts w:ascii="Consolas" w:cs="Consolas" w:eastAsia="Consolas" w:hAnsi="Consolas"/>
          <w:sz w:val="20"/>
          <w:szCs w:val="20"/>
        </w:rPr>
        <w:t xml:space="preserve">convenience</w:t>
      </w:r>
      <w:r>
        <w:t xml:space="preserve"> subsectors are merged into a single </w:t>
      </w:r>
      <w:r>
        <w:rPr>
          <w:b/>
          <w:bCs/>
        </w:rPr>
        <w:t xml:space="preserve">retail</w:t>
      </w:r>
      <w:r>
        <w:t xml:space="preserve"> waste tier for the purpose of tonnage allocation, and receive the same per-establishment rate. Horeca, by contrast, </w:t>
      </w:r>
      <w:r>
        <w:rPr>
          <w:b/>
          <w:bCs/>
        </w:rPr>
        <w:t xml:space="preserve">is</w:t>
      </w:r>
      <w:r>
        <w:t xml:space="preserve"> split into its two real subsectors (</w:t>
      </w:r>
      <w:r>
        <w:rPr>
          <w:rFonts w:ascii="Consolas" w:cs="Consolas" w:eastAsia="Consolas" w:hAnsi="Consolas"/>
          <w:sz w:val="20"/>
          <w:szCs w:val="20"/>
        </w:rPr>
        <w:t xml:space="preserve">restaurant_fastfood</w:t>
      </w:r>
      <w:r>
        <w:t xml:space="preserve"> and </w:t>
      </w:r>
      <w:r>
        <w:rPr>
          <w:rFonts w:ascii="Consolas" w:cs="Consolas" w:eastAsia="Consolas" w:hAnsi="Consolas"/>
          <w:sz w:val="20"/>
          <w:szCs w:val="20"/>
        </w:rPr>
        <w:t xml:space="preserve">barpub</w:t>
      </w:r>
      <w:r>
        <w:t xml:space="preserve">), using each subsector's share of national horeca establishment counts as the split proportion. This retail merge is a disclosed data limitation, not a claim that supermarkets and specialist food shops generate identical waste per shop — it is the coarsest assumption the source data permits.</w:t>
      </w:r>
    </w:p>
    <w:p>
      <w:pPr>
        <w:pStyle w:val="Heading2"/>
        <w:spacing w:after="120" w:before="240"/>
      </w:pPr>
      <w:r>
        <w:t xml:space="preserve">5.2 National → Metro Localization</w:t>
      </w:r>
    </w:p>
    <w:p>
      <w:pPr>
        <w:spacing w:after="160" w:line="276"/>
      </w:pPr>
      <w:r>
        <w:t xml:space="preserve">Each tier's national tonnage is converted to kilograms and multiplied by a </w:t>
      </w:r>
      <w:r>
        <w:rPr>
          <w:rFonts w:ascii="Consolas" w:cs="Consolas" w:eastAsia="Consolas" w:hAnsi="Consolas"/>
          <w:sz w:val="20"/>
          <w:szCs w:val="20"/>
        </w:rPr>
        <w:t xml:space="preserve">loc_scalar</w:t>
      </w:r>
      <w:r>
        <w:t xml:space="preserve"> — a pre-computed localization scalar (supplied separately, per subsector, and averaged within each merged tier) representing Groot-Amsterdam's estimated share of national activity for that tier. This yields the tier's waste pool at the metro (Groot-Amsterdam) level.</w:t>
      </w:r>
    </w:p>
    <w:p>
      <w:pPr>
        <w:pStyle w:val="Heading2"/>
        <w:spacing w:after="120" w:before="240"/>
      </w:pPr>
      <w:r>
        <w:t xml:space="preserve">5.3 Metro → City Scaling</w:t>
      </w:r>
    </w:p>
    <w:p>
      <w:pPr>
        <w:spacing w:after="160" w:line="276"/>
      </w:pPr>
      <w:r>
        <w:t xml:space="preserve">The metro-level waste pool is scaled down to the city level using the OSM city-share ratio from Section 4.2 (aggregated to tier). This assumes the metro-to-city drop-off in </w:t>
      </w:r>
      <w:r>
        <w:rPr>
          <w:i/>
          <w:iCs/>
        </w:rPr>
        <w:t xml:space="preserve">real</w:t>
      </w:r>
      <w:r>
        <w:t xml:space="preserve"> establishment activity is reasonably approximated by the metro-to-city drop-off observed in </w:t>
      </w:r>
      <w:r>
        <w:rPr>
          <w:i/>
          <w:iCs/>
        </w:rPr>
        <w:t xml:space="preserve">mapped</w:t>
      </w:r>
      <w:r>
        <w:t xml:space="preserve"> OSM points — an assumption, not a measurement, and one worth stating explicitly as a limitation (Section 8).</w:t>
      </w:r>
    </w:p>
    <w:p>
      <w:pPr>
        <w:pStyle w:val="Heading2"/>
        <w:spacing w:after="120" w:before="240"/>
      </w:pPr>
      <w:r>
        <w:t xml:space="preserve">5.4 Per-Establishment Annual Rate</w:t>
      </w:r>
    </w:p>
    <w:p>
      <w:pPr>
        <w:spacing w:after="160" w:line="276"/>
      </w:pPr>
      <w:r>
        <w:t xml:space="preserve">The city-level waste pool for each tier is divided by a </w:t>
      </w:r>
      <w:r>
        <w:rPr>
          <w:b/>
          <w:bCs/>
        </w:rPr>
        <w:t xml:space="preserve">city-equivalent establishment count</w:t>
      </w:r>
      <w:r>
        <w:t xml:space="preserve">: the CBS metro establishment count for that tier, scaled to the city using the same OSM city-share ratio used in Section 5.3. Dividing by a </w:t>
      </w:r>
      <w:r>
        <w:rPr>
          <w:i/>
          <w:iCs/>
        </w:rPr>
        <w:t xml:space="preserve">census-based</w:t>
      </w:r>
      <w:r>
        <w:t xml:space="preserve"> count (rather than the raw OSM point count) is deliberate — it means OSM's uneven completeness (Section 4.1) affects how many establishments end up carrying weight in space (via the point layer's density), </w:t>
      </w:r>
      <w:r>
        <w:rPr>
          <w:b/>
          <w:bCs/>
        </w:rPr>
        <w:t xml:space="preserve">not</w:t>
      </w:r>
      <w:r>
        <w:t xml:space="preserve"> how much weight each individual mapped establishment is assigned. This design choice follows the reasoning in Herfort et al. on OSM-based amenity density estimation: under-mapping should show up as sparser coverage, not inflated per-point values.</w:t>
      </w:r>
    </w:p>
    <w:p>
      <w:pPr>
        <w:spacing w:after="160" w:line="276"/>
      </w:pPr>
      <w:r>
        <w:t xml:space="preserve">The resulting tier-level rate is then broadcast back to the subsector level so it can be joined onto individual OSM points — both retail subsectors (grocery, convenience) inherit the identical retail-tier rate, by design (Section 5.1).</w:t>
      </w:r>
    </w:p>
    <w:p>
      <w:pPr>
        <w:pStyle w:val="Heading1"/>
        <w:spacing w:after="160" w:before="320"/>
      </w:pPr>
      <w:r>
        <w:t xml:space="preserve">6. Temporal Weighting: Flat vs. Seasonal</w:t>
      </w:r>
    </w:p>
    <w:p>
      <w:pPr>
        <w:spacing w:after="160" w:line="276"/>
      </w:pPr>
      <w:r>
        <w:t xml:space="preserve">The annual per-establishment rate (Section 5.4) is converted to a monthly rate two ways, computed in parallel:</w:t>
      </w:r>
    </w:p>
    <w:p>
      <w:pPr>
        <w:pStyle w:val="ListParagraph"/>
        <w:numPr>
          <w:ilvl w:val="0"/>
          <w:numId w:val="3"/>
        </w:numPr>
        <w:spacing w:after="80" w:line="276"/>
      </w:pPr>
      <w:r>
        <w:t xml:space="preserve">Primary — flat monthly: annual rate ÷ 12. Used as the primary estimate because it is insensitive to any single year's demand shocks.</w:t>
      </w:r>
    </w:p>
    <w:p>
      <w:pPr>
        <w:pStyle w:val="ListParagraph"/>
        <w:numPr>
          <w:ilvl w:val="0"/>
          <w:numId w:val="3"/>
        </w:numPr>
        <w:spacing w:after="80" w:line="276"/>
      </w:pPr>
      <w:r>
        <w:rPr>
          <w:b/>
          <w:bCs/>
        </w:rPr>
        <w:t xml:space="preserve">Sensitivity — seasonal: </w:t>
      </w:r>
      <w:r>
        <w:t xml:space="preserve">the annual rate is redistributed across months using the quarterly turnover </w:t>
      </w:r>
      <w:r>
        <w:rPr>
          <w:i/>
          <w:iCs/>
        </w:rPr>
        <w:t xml:space="preserve">shape</w:t>
      </w:r>
      <w:r>
        <w:t xml:space="preserve"> (relative pattern, not absolute values) reported by CBS production/turnover statistics (table </w:t>
      </w:r>
      <w:r>
        <w:rPr>
          <w:rFonts w:ascii="Consolas" w:cs="Consolas" w:eastAsia="Consolas" w:hAnsi="Consolas"/>
          <w:sz w:val="20"/>
          <w:szCs w:val="20"/>
        </w:rPr>
        <w:t xml:space="preserve">85828ENG</w:t>
      </w:r>
      <w:r>
        <w:t xml:space="preserve">), resolved per subsector by matching SBI branch codes and aggregated to tier for internal consistency. Each quarter's share of annual turnover is divided evenly across its three months.</w:t>
      </w:r>
    </w:p>
    <w:p>
      <w:pPr>
        <w:spacing w:after="160" w:line="276"/>
      </w:pPr>
      <w:r>
        <w:rPr>
          <w:b/>
          <w:bCs/>
        </w:rPr>
        <w:t xml:space="preserve">Why flat is primary, not seasonal: </w:t>
      </w:r>
      <w:r>
        <w:t xml:space="preserve">the pipeline explicitly compares each tier's 2019 vs. 2020 quarterly turnover shape. 2020 shows a materially different seasonal pattern from 2019 (consistent with COVID-19 disruption to hospitality and retail demand during the trapping period), which would bias a seasonal estimate anchored to 2020 alone. The flat monthly rate is used as the reported estimate for that reason; the seasonal (2020-shape) version is retained and reported as a sensitivity check, not as the headline figure.</w:t>
      </w:r>
    </w:p>
    <w:p>
      <w:pPr>
        <w:pStyle w:val="Heading1"/>
        <w:spacing w:after="160" w:before="320"/>
      </w:pPr>
      <w:r>
        <w:t xml:space="preserve">7. Constructing the Per-Rat Weighted Waste Index</w:t>
      </w:r>
    </w:p>
    <w:p>
      <w:pPr>
        <w:spacing w:after="160" w:line="276"/>
      </w:pPr>
      <w:r>
        <w:t xml:space="preserve">Every OSM FSE point within Amsterdam city carries a per-establishment annual (and monthly flat/seasonal) waste weight after Section 6. Separately, each trapped rat has already been spatially joined — in an upstream step, outside this pipeline — to the FSE points falling within one or more fixed-radius buffers around its capture location (</w:t>
      </w:r>
      <w:r>
        <w:rPr>
          <w:rFonts w:ascii="Consolas" w:cs="Consolas" w:eastAsia="Consolas" w:hAnsi="Consolas"/>
          <w:sz w:val="20"/>
          <w:szCs w:val="20"/>
        </w:rPr>
        <w:t xml:space="preserve">buffer_label</w:t>
      </w:r>
      <w:r>
        <w:t xml:space="preserve">).</w:t>
      </w:r>
    </w:p>
    <w:p>
      <w:pPr>
        <w:spacing w:after="160" w:line="276"/>
      </w:pPr>
      <w:r>
        <w:t xml:space="preserve">For each rat and each buffer radius, this pipeline:</w:t>
      </w:r>
    </w:p>
    <w:p>
      <w:pPr>
        <w:pStyle w:val="ListParagraph"/>
        <w:numPr>
          <w:ilvl w:val="0"/>
          <w:numId w:val="3"/>
        </w:numPr>
        <w:spacing w:after="80" w:line="276"/>
      </w:pPr>
      <w:r>
        <w:t xml:space="preserve">re-derives each joined FSE point's fse_subsector from its OSM tags, and attaches that subsector's per-establishment annual waste rate (or, in the seasonal version, the rate for the rat's specific capture month);</w:t>
      </w:r>
    </w:p>
    <w:p>
      <w:pPr>
        <w:pStyle w:val="ListParagraph"/>
        <w:numPr>
          <w:ilvl w:val="0"/>
          <w:numId w:val="3"/>
        </w:numPr>
        <w:spacing w:after="80" w:line="276"/>
      </w:pPr>
      <w:r>
        <w:t xml:space="preserve">sums the per-establishment rate across every FSE point in that rat's buffer.</w:t>
      </w:r>
    </w:p>
    <w:p>
      <w:pPr>
        <w:spacing w:after="160" w:line="276"/>
      </w:pPr>
      <w:r>
        <w:t xml:space="preserve">The result, </w:t>
      </w:r>
      <w:r>
        <w:rPr>
          <w:rFonts w:ascii="Consolas" w:cs="Consolas" w:eastAsia="Consolas" w:hAnsi="Consolas"/>
          <w:sz w:val="20"/>
          <w:szCs w:val="20"/>
        </w:rPr>
        <w:t xml:space="preserve">wwindex_kg_year</w:t>
      </w:r>
      <w:r>
        <w:t xml:space="preserve"> (and its seasonal counterpart </w:t>
      </w:r>
      <w:r>
        <w:rPr>
          <w:rFonts w:ascii="Consolas" w:cs="Consolas" w:eastAsia="Consolas" w:hAnsi="Consolas"/>
          <w:sz w:val="20"/>
          <w:szCs w:val="20"/>
        </w:rPr>
        <w:t xml:space="preserve">wwindex_kg_season</w:t>
      </w:r>
      <w:r>
        <w:t xml:space="preserve">), is a </w:t>
      </w:r>
      <w:r>
        <w:rPr>
          <w:b/>
          <w:bCs/>
        </w:rPr>
        <w:t xml:space="preserve">sum, not a mean</w:t>
      </w:r>
      <w:r>
        <w:t xml:space="preserve">: it represents total estimated food-waste mass available within the buffer, so multiple nearby establishments of the same subsector are intended to add up rather than average out. Rat-buffer rows where no FSE falls in range, or where an FSE's tags don't resolve to a known subsector, contribute zero rather than a missing value, so every rat/buffer combination receives a defined index value.</w:t>
      </w:r>
    </w:p>
    <w:p>
      <w:pPr>
        <w:pStyle w:val="Heading1"/>
        <w:spacing w:after="160" w:before="320"/>
      </w:pPr>
      <w:r>
        <w:t xml:space="preserve">8. Assumptions and Limitations</w:t>
      </w:r>
    </w:p>
    <w:p>
      <w:pPr>
        <w:pStyle w:val="ListParagraph"/>
        <w:numPr>
          <w:ilvl w:val="0"/>
          <w:numId w:val="2"/>
        </w:numPr>
        <w:spacing w:after="80" w:line="276"/>
      </w:pPr>
      <w:r>
        <w:t xml:space="preserve">Retail waste (grocery + specialist food shops) is not separable in the national source data, so both subsectors share one per-establishment rate — a coarser assumption than the horeca split, and disclosed as such rather than resolved.</w:t>
      </w:r>
    </w:p>
    <w:p>
      <w:pPr>
        <w:pStyle w:val="ListParagraph"/>
        <w:numPr>
          <w:ilvl w:val="0"/>
          <w:numId w:val="2"/>
        </w:numPr>
        <w:spacing w:after="80" w:line="276"/>
      </w:pPr>
      <w:r>
        <w:t xml:space="preserve">Metro→city scaling for both waste tonnage and establishment counts (Sections 5.3–5.4) uses the OSM-observed city/metro ratio as a proxy for the true spatial distribution of establishments; this is an approximation where OSM coverage is itself uneven by subsector (Section 4.1).</w:t>
      </w:r>
    </w:p>
    <w:p>
      <w:pPr>
        <w:pStyle w:val="ListParagraph"/>
        <w:numPr>
          <w:ilvl w:val="0"/>
          <w:numId w:val="2"/>
        </w:numPr>
        <w:spacing w:after="80" w:line="276"/>
      </w:pPr>
      <w:r>
        <w:t xml:space="preserve">OSM tag definitions and CBS SBI branch definitions are only approximately aligned, so absolute completeness percentages (Section 4.1) should be read as directional, not precise.</w:t>
      </w:r>
    </w:p>
    <w:p>
      <w:pPr>
        <w:pStyle w:val="ListParagraph"/>
        <w:numPr>
          <w:ilvl w:val="0"/>
          <w:numId w:val="2"/>
        </w:numPr>
        <w:spacing w:after="80" w:line="276"/>
      </w:pPr>
      <w:r>
        <w:t xml:space="preserve">The seasonal (2020-shape) weighting reflects a demand pattern likely disrupted by COVID-19 and is reported only as a sensitivity check against the flat primary estimate.</w:t>
      </w:r>
    </w:p>
    <w:p>
      <w:pPr>
        <w:pStyle w:val="ListParagraph"/>
        <w:numPr>
          <w:ilvl w:val="0"/>
          <w:numId w:val="2"/>
        </w:numPr>
        <w:spacing w:after="80" w:line="276"/>
      </w:pPr>
      <w:r>
        <w:t xml:space="preserve">The index assumes food waste “availability” scales with a fixed per-establishment annual rate within a subsector; it does not account for establishment size, individual business practices, or within-subsector heterogeneity beyond what the national and CBS data can resolve.</w:t>
      </w:r>
    </w:p>
    <w:p>
      <w:pPr>
        <w:pStyle w:val="ListParagraph"/>
        <w:numPr>
          <w:ilvl w:val="0"/>
          <w:numId w:val="2"/>
        </w:numPr>
        <w:spacing w:after="80" w:line="276"/>
      </w:pPr>
      <w:r>
        <w:t xml:space="preserve">All establishment classification, benchmarking, and tonnage allocation is performed once per pipeline run against a fixed OSM snapshot (2020-11-01) and fixed CBS reference periods (2020, with 2019 used only for the seasonal-shape comparison).</w:t>
      </w:r>
    </w:p>
    <w:p>
      <w:pPr>
        <w:pStyle w:val="Heading1"/>
        <w:spacing w:after="160" w:before="320"/>
      </w:pPr>
      <w:r>
        <w:t xml:space="preserve">9. Outputs</w:t>
      </w:r>
    </w:p>
    <w:p>
      <w:pPr>
        <w:spacing w:after="160" w:line="276"/>
      </w:pPr>
      <w:r>
        <w:t xml:space="preserve">The pipeline writes the following files, all under a single output directory, from one consolidated write step at the end of the run: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8E8E8" w:val="clear"/>
            <w:tcMar>
              <w:top w:type="dxa" w:w="80"/>
              <w:left w:type="dxa" w:w="100"/>
              <w:bottom w:type="dxa" w:w="80"/>
              <w:right w:type="dxa" w:w="100"/>
            </w:tcMar>
          </w:tcPr>
          <w:p>
            <w:r>
              <w:rPr>
                <w:b/>
                <w:bCs/>
                <w:sz w:val="20"/>
                <w:szCs w:val="20"/>
              </w:rPr>
              <w:t xml:space="preserve">File</w:t>
            </w:r>
          </w:p>
        </w:tc>
        <w:tc>
          <w:tcPr>
            <w:tcW w:type="dxa" w:w="6300"/>
            <w:shd w:fill="E8E8E8" w:val="clear"/>
            <w:tcMar>
              <w:top w:type="dxa" w:w="80"/>
              <w:left w:type="dxa" w:w="100"/>
              <w:bottom w:type="dxa" w:w="80"/>
              <w:right w:type="dxa" w:w="100"/>
            </w:tcMar>
          </w:tcPr>
          <w:p>
            <w:r>
              <w:rPr>
                <w:b/>
                <w:bCs/>
                <w:sz w:val="20"/>
                <w:szCs w:val="20"/>
              </w:rPr>
              <w:t xml:space="preserve">Contents</w:t>
            </w:r>
          </w:p>
        </w:tc>
      </w:tr>
      <w:tr>
        <w:tc>
          <w:tcPr>
            <w:tcW w:type="dxa" w:w="3200"/>
            <w:tcMar>
              <w:top w:type="dxa" w:w="80"/>
              <w:left w:type="dxa" w:w="100"/>
              <w:bottom w:type="dxa" w:w="80"/>
              <w:right w:type="dxa" w:w="100"/>
            </w:tcMar>
          </w:tcPr>
          <w:p>
            <w:r>
              <w:rPr>
                <w:b w:val="false"/>
                <w:bCs w:val="false"/>
                <w:sz w:val="20"/>
                <w:szCs w:val="20"/>
              </w:rPr>
              <w:t xml:space="preserve">ams_osm_fse_counts.csv</w:t>
            </w:r>
          </w:p>
        </w:tc>
        <w:tc>
          <w:tcPr>
            <w:tcW w:type="dxa" w:w="6300"/>
            <w:tcMar>
              <w:top w:type="dxa" w:w="80"/>
              <w:left w:type="dxa" w:w="100"/>
              <w:bottom w:type="dxa" w:w="80"/>
              <w:right w:type="dxa" w:w="100"/>
            </w:tcMar>
          </w:tcPr>
          <w:p>
            <w:r>
              <w:rPr>
                <w:b w:val="false"/>
                <w:bCs w:val="false"/>
                <w:sz w:val="20"/>
                <w:szCs w:val="20"/>
              </w:rPr>
              <w:t xml:space="preserve">OSM FSE point counts by subsector, metro and city</w:t>
            </w:r>
          </w:p>
        </w:tc>
      </w:tr>
      <w:tr>
        <w:tc>
          <w:tcPr>
            <w:tcW w:type="dxa" w:w="3200"/>
            <w:tcMar>
              <w:top w:type="dxa" w:w="80"/>
              <w:left w:type="dxa" w:w="100"/>
              <w:bottom w:type="dxa" w:w="80"/>
              <w:right w:type="dxa" w:w="100"/>
            </w:tcMar>
          </w:tcPr>
          <w:p>
            <w:r>
              <w:rPr>
                <w:b w:val="false"/>
                <w:bCs w:val="false"/>
                <w:sz w:val="20"/>
                <w:szCs w:val="20"/>
              </w:rPr>
              <w:t xml:space="preserve">ams_osm_vs_cbs_cr23.csv</w:t>
            </w:r>
          </w:p>
        </w:tc>
        <w:tc>
          <w:tcPr>
            <w:tcW w:type="dxa" w:w="6300"/>
            <w:tcMar>
              <w:top w:type="dxa" w:w="80"/>
              <w:left w:type="dxa" w:w="100"/>
              <w:bottom w:type="dxa" w:w="80"/>
              <w:right w:type="dxa" w:w="100"/>
            </w:tcMar>
          </w:tcPr>
          <w:p>
            <w:r>
              <w:rPr>
                <w:b w:val="false"/>
                <w:bCs w:val="false"/>
                <w:sz w:val="20"/>
                <w:szCs w:val="20"/>
              </w:rPr>
              <w:t xml:space="preserve">OSM completeness vs. CBS census, by subsector (Section 4.1)</w:t>
            </w:r>
          </w:p>
        </w:tc>
      </w:tr>
      <w:tr>
        <w:tc>
          <w:tcPr>
            <w:tcW w:type="dxa" w:w="3200"/>
            <w:tcMar>
              <w:top w:type="dxa" w:w="80"/>
              <w:left w:type="dxa" w:w="100"/>
              <w:bottom w:type="dxa" w:w="80"/>
              <w:right w:type="dxa" w:w="100"/>
            </w:tcMar>
          </w:tcPr>
          <w:p>
            <w:r>
              <w:rPr>
                <w:b w:val="false"/>
                <w:bCs w:val="false"/>
                <w:sz w:val="20"/>
                <w:szCs w:val="20"/>
              </w:rPr>
              <w:t xml:space="preserve">ams_cbs_cr23_counts.csv</w:t>
            </w:r>
          </w:p>
        </w:tc>
        <w:tc>
          <w:tcPr>
            <w:tcW w:type="dxa" w:w="6300"/>
            <w:tcMar>
              <w:top w:type="dxa" w:w="80"/>
              <w:left w:type="dxa" w:w="100"/>
              <w:bottom w:type="dxa" w:w="80"/>
              <w:right w:type="dxa" w:w="100"/>
            </w:tcMar>
          </w:tcPr>
          <w:p>
            <w:r>
              <w:rPr>
                <w:b w:val="false"/>
                <w:bCs w:val="false"/>
                <w:sz w:val="20"/>
                <w:szCs w:val="20"/>
              </w:rPr>
              <w:t xml:space="preserve">Resolved CBS establishment counts by subsector</w:t>
            </w:r>
          </w:p>
        </w:tc>
      </w:tr>
      <w:tr>
        <w:tc>
          <w:tcPr>
            <w:tcW w:type="dxa" w:w="3200"/>
            <w:tcMar>
              <w:top w:type="dxa" w:w="80"/>
              <w:left w:type="dxa" w:w="100"/>
              <w:bottom w:type="dxa" w:w="80"/>
              <w:right w:type="dxa" w:w="100"/>
            </w:tcMar>
          </w:tcPr>
          <w:p>
            <w:r>
              <w:rPr>
                <w:b w:val="false"/>
                <w:bCs w:val="false"/>
                <w:sz w:val="20"/>
                <w:szCs w:val="20"/>
              </w:rPr>
              <w:t xml:space="preserve">ams_city_waste_pool.csv</w:t>
            </w:r>
          </w:p>
        </w:tc>
        <w:tc>
          <w:tcPr>
            <w:tcW w:type="dxa" w:w="6300"/>
            <w:tcMar>
              <w:top w:type="dxa" w:w="80"/>
              <w:left w:type="dxa" w:w="100"/>
              <w:bottom w:type="dxa" w:w="80"/>
              <w:right w:type="dxa" w:w="100"/>
            </w:tcMar>
          </w:tcPr>
          <w:p>
            <w:r>
              <w:rPr>
                <w:b w:val="false"/>
                <w:bCs w:val="false"/>
                <w:sz w:val="20"/>
                <w:szCs w:val="20"/>
              </w:rPr>
              <w:t xml:space="preserve">City-level waste pool by tier (Section 5.3)</w:t>
            </w:r>
          </w:p>
        </w:tc>
      </w:tr>
      <w:tr>
        <w:tc>
          <w:tcPr>
            <w:tcW w:type="dxa" w:w="3200"/>
            <w:tcMar>
              <w:top w:type="dxa" w:w="80"/>
              <w:left w:type="dxa" w:w="100"/>
              <w:bottom w:type="dxa" w:w="80"/>
              <w:right w:type="dxa" w:w="100"/>
            </w:tcMar>
          </w:tcPr>
          <w:p>
            <w:r>
              <w:rPr>
                <w:b w:val="false"/>
                <w:bCs w:val="false"/>
                <w:sz w:val="20"/>
                <w:szCs w:val="20"/>
              </w:rPr>
              <w:t xml:space="preserve">ams_per_fse_annual.csv</w:t>
            </w:r>
          </w:p>
        </w:tc>
        <w:tc>
          <w:tcPr>
            <w:tcW w:type="dxa" w:w="6300"/>
            <w:tcMar>
              <w:top w:type="dxa" w:w="80"/>
              <w:left w:type="dxa" w:w="100"/>
              <w:bottom w:type="dxa" w:w="80"/>
              <w:right w:type="dxa" w:w="100"/>
            </w:tcMar>
          </w:tcPr>
          <w:p>
            <w:r>
              <w:rPr>
                <w:b w:val="false"/>
                <w:bCs w:val="false"/>
                <w:sz w:val="20"/>
                <w:szCs w:val="20"/>
              </w:rPr>
              <w:t xml:space="preserve">Per-establishment annual waste rate by subsector (Section 5.4)</w:t>
            </w:r>
          </w:p>
        </w:tc>
      </w:tr>
      <w:tr>
        <w:tc>
          <w:tcPr>
            <w:tcW w:type="dxa" w:w="3200"/>
            <w:tcMar>
              <w:top w:type="dxa" w:w="80"/>
              <w:left w:type="dxa" w:w="100"/>
              <w:bottom w:type="dxa" w:w="80"/>
              <w:right w:type="dxa" w:w="100"/>
            </w:tcMar>
          </w:tcPr>
          <w:p>
            <w:r>
              <w:rPr>
                <w:b w:val="false"/>
                <w:bCs w:val="false"/>
                <w:sz w:val="20"/>
                <w:szCs w:val="20"/>
              </w:rPr>
              <w:t xml:space="preserve">ams_sj_all_weighted.csv</w:t>
            </w:r>
          </w:p>
        </w:tc>
        <w:tc>
          <w:tcPr>
            <w:tcW w:type="dxa" w:w="6300"/>
            <w:tcMar>
              <w:top w:type="dxa" w:w="80"/>
              <w:left w:type="dxa" w:w="100"/>
              <w:bottom w:type="dxa" w:w="80"/>
              <w:right w:type="dxa" w:w="100"/>
            </w:tcMar>
          </w:tcPr>
          <w:p>
            <w:r>
              <w:rPr>
                <w:b w:val="false"/>
                <w:bCs w:val="false"/>
                <w:sz w:val="20"/>
                <w:szCs w:val="20"/>
              </w:rPr>
              <w:t xml:space="preserve">Amsterdam rat–FSE spatial join, with per-establishment weights attached</w:t>
            </w:r>
          </w:p>
        </w:tc>
      </w:tr>
      <w:tr>
        <w:tc>
          <w:tcPr>
            <w:tcW w:type="dxa" w:w="3200"/>
            <w:tcMar>
              <w:top w:type="dxa" w:w="80"/>
              <w:left w:type="dxa" w:w="100"/>
              <w:bottom w:type="dxa" w:w="80"/>
              <w:right w:type="dxa" w:w="100"/>
            </w:tcMar>
          </w:tcPr>
          <w:p>
            <w:r>
              <w:rPr>
                <w:b w:val="false"/>
                <w:bCs w:val="false"/>
                <w:sz w:val="20"/>
                <w:szCs w:val="20"/>
              </w:rPr>
              <w:t xml:space="preserve">ams_rat_buffer_wwindex.csv</w:t>
            </w:r>
          </w:p>
        </w:tc>
        <w:tc>
          <w:tcPr>
            <w:tcW w:type="dxa" w:w="6300"/>
            <w:tcMar>
              <w:top w:type="dxa" w:w="80"/>
              <w:left w:type="dxa" w:w="100"/>
              <w:bottom w:type="dxa" w:w="80"/>
              <w:right w:type="dxa" w:w="100"/>
            </w:tcMar>
          </w:tcPr>
          <w:p>
            <w:r>
              <w:rPr>
                <w:b w:val="false"/>
                <w:bCs w:val="false"/>
                <w:sz w:val="20"/>
                <w:szCs w:val="20"/>
              </w:rPr>
              <w:t xml:space="preserve">Final per-rat, per-buffer weighted waste index (flat + seasonal)</w:t>
            </w:r>
          </w:p>
        </w:tc>
      </w:tr>
      <w:tr>
        <w:tc>
          <w:tcPr>
            <w:tcW w:type="dxa" w:w="3200"/>
            <w:tcMar>
              <w:top w:type="dxa" w:w="80"/>
              <w:left w:type="dxa" w:w="100"/>
              <w:bottom w:type="dxa" w:w="80"/>
              <w:right w:type="dxa" w:w="100"/>
            </w:tcMar>
          </w:tcPr>
          <w:p>
            <w:r>
              <w:rPr>
                <w:b w:val="false"/>
                <w:bCs w:val="false"/>
                <w:sz w:val="20"/>
                <w:szCs w:val="20"/>
              </w:rPr>
              <w:t xml:space="preserve">ams_fse_city_weighted.gpkg</w:t>
            </w:r>
          </w:p>
        </w:tc>
        <w:tc>
          <w:tcPr>
            <w:tcW w:type="dxa" w:w="6300"/>
            <w:tcMar>
              <w:top w:type="dxa" w:w="80"/>
              <w:left w:type="dxa" w:w="100"/>
              <w:bottom w:type="dxa" w:w="80"/>
              <w:right w:type="dxa" w:w="100"/>
            </w:tcMar>
          </w:tcPr>
          <w:p>
            <w:r>
              <w:rPr>
                <w:b w:val="false"/>
                <w:bCs w:val="false"/>
                <w:sz w:val="20"/>
                <w:szCs w:val="20"/>
              </w:rPr>
              <w:t xml:space="preserve">City FSE points as a spatial layer, carrying all weight columns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2026-07-17T17:42:55.093Z</dcterms:created>
  <dcterms:modified xsi:type="dcterms:W3CDTF">2026-07-17T17:42:55.094Z</dcterms:modified>
</cp:coreProperties>
</file>

<file path=docProps/custom.xml><?xml version="1.0" encoding="utf-8"?>
<Properties xmlns="http://schemas.openxmlformats.org/officeDocument/2006/custom-properties" xmlns:vt="http://schemas.openxmlformats.org/officeDocument/2006/docPropsVTypes"/>
</file>