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0DA9" w14:textId="7303F22D" w:rsidR="007C075B" w:rsidRDefault="007C075B" w:rsidP="007C075B">
      <w:pPr>
        <w:pStyle w:val="Heading1"/>
        <w:spacing w:before="240" w:after="120"/>
      </w:pPr>
      <w:r>
        <w:t>Table 1: DRM Diagnostic and Maturity Level Assessment — Cameroon</w:t>
      </w:r>
    </w:p>
    <w:p w14:paraId="6D8FEB67" w14:textId="77777777" w:rsidR="007C075B" w:rsidRDefault="007C075B" w:rsidP="007C075B">
      <w:pPr>
        <w:pBdr>
          <w:left w:val="single" w:sz="12" w:space="0" w:color="CCCCCC"/>
        </w:pBdr>
        <w:spacing w:before="120" w:after="120"/>
        <w:ind w:left="720"/>
      </w:pPr>
      <w:r>
        <w:rPr>
          <w:i/>
          <w:iCs/>
        </w:rPr>
        <w:t>Note: Maturity levels are assigned based on a synthesis of World Bank project documents, the Bolivia Country Partnership Framework FY23–26, the DRM Development Policy Credit and Loan (P150751) and its ICR, the Climate Resilience – Integrated Basin Management Project (P129640), GFDRR country notes, and other publicly available sources as of early 2025. This table is intended as a discussion draft and should be validated with in-country teams and government counterparts.</w:t>
      </w:r>
    </w:p>
    <w:p w14:paraId="4546B48C" w14:textId="77777777" w:rsidR="007C075B" w:rsidRDefault="007C075B" w:rsidP="007C075B">
      <w:pPr>
        <w:spacing w:after="120"/>
      </w:pPr>
      <w:r>
        <w:t>Maturity Level Key:</w:t>
      </w:r>
    </w:p>
    <w:p w14:paraId="44892884" w14:textId="77777777" w:rsidR="007C075B" w:rsidRDefault="007C075B" w:rsidP="007C075B">
      <w:pPr>
        <w:pStyle w:val="ListParagraph"/>
        <w:numPr>
          <w:ilvl w:val="0"/>
          <w:numId w:val="2"/>
        </w:numPr>
        <w:spacing w:after="60"/>
      </w:pPr>
      <w:r>
        <w:t>Nascent — Frameworks drafted/proposed; coordination limited; instruments absent or early-stage</w:t>
      </w:r>
    </w:p>
    <w:p w14:paraId="5CE418A2" w14:textId="77777777" w:rsidR="007C075B" w:rsidRDefault="007C075B" w:rsidP="007C075B">
      <w:pPr>
        <w:pStyle w:val="ListParagraph"/>
        <w:numPr>
          <w:ilvl w:val="0"/>
          <w:numId w:val="2"/>
        </w:numPr>
        <w:spacing w:after="60"/>
      </w:pPr>
      <w:r>
        <w:t>Emerging — Frameworks adopted; initial implementation begun; basic institutional setups; tools piloted</w:t>
      </w:r>
    </w:p>
    <w:p w14:paraId="3591E009" w14:textId="77777777" w:rsidR="007C075B" w:rsidRDefault="007C075B" w:rsidP="007C075B">
      <w:pPr>
        <w:pStyle w:val="ListParagraph"/>
        <w:numPr>
          <w:ilvl w:val="0"/>
          <w:numId w:val="2"/>
        </w:numPr>
        <w:spacing w:after="60"/>
      </w:pPr>
      <w:r>
        <w:t>Established — Frameworks/plans implemented across sectors; institutional arrangements operational; instruments regularly utilized</w:t>
      </w:r>
    </w:p>
    <w:p w14:paraId="61776824" w14:textId="14EF80E7" w:rsidR="007C075B" w:rsidRDefault="007C075B" w:rsidP="007C075B">
      <w:pPr>
        <w:pStyle w:val="ListParagraph"/>
        <w:numPr>
          <w:ilvl w:val="0"/>
          <w:numId w:val="2"/>
        </w:numPr>
        <w:spacing w:after="60"/>
      </w:pPr>
      <w:r>
        <w:t>Advanced — Full integration and institutionalization; comprehensive coverage; sophisticated, sustainable, and regularly updated systems</w:t>
      </w:r>
    </w:p>
    <w:p w14:paraId="78027C9B" w14:textId="77777777" w:rsidR="003E6357" w:rsidRDefault="00000000">
      <w:pPr>
        <w:pStyle w:val="Heading3"/>
        <w:spacing w:before="240" w:after="120"/>
      </w:pPr>
      <w:r>
        <w:t>Roadmap for Disaster Risk Management (DRM) &amp; Climate Resilience Policy Reforms</w:t>
      </w:r>
    </w:p>
    <w:p w14:paraId="12732CD0" w14:textId="77777777" w:rsidR="003E6357" w:rsidRDefault="00000000">
      <w:pPr>
        <w:pBdr>
          <w:left w:val="single" w:sz="12" w:space="0" w:color="CCCCCC"/>
        </w:pBdr>
        <w:spacing w:before="120" w:after="120"/>
        <w:ind w:left="720"/>
      </w:pPr>
      <w:r>
        <w:rPr>
          <w:i/>
          <w:iCs/>
        </w:rPr>
        <w:t>Sources and sequencing: This assessment draws primarily on the World Bank Ready2Respond EPR Diagnostic Report (February 2026) and the EPR Investment Opportunities Report (February 2026) as the most recent evidence base, supplemented by the Crisis Preparedness Gap Analysis (CPGA) Briefing Note and Technical Annex (November 2024) and earlier World Bank analytical work. Where the two primary sources differ, the EPR Diagnostic (2026) takes precedence.</w:t>
      </w:r>
    </w:p>
    <w:p w14:paraId="678AED9E" w14:textId="77777777" w:rsidR="003E6357" w:rsidRDefault="003E6357">
      <w:pPr>
        <w:pBdr>
          <w:bottom w:val="single" w:sz="6" w:space="0" w:color="CCCCCC"/>
        </w:pBdr>
        <w:spacing w:before="120" w:after="120"/>
      </w:pPr>
    </w:p>
    <w:p w14:paraId="57CAC03B" w14:textId="77777777" w:rsidR="003E6357" w:rsidRDefault="00000000">
      <w:pPr>
        <w:pStyle w:val="Heading2"/>
        <w:spacing w:before="240" w:after="120"/>
      </w:pPr>
      <w:r>
        <w:t>Table 1: DRM Diagnostic and Maturity Level Assessment – Cameroon</w:t>
      </w:r>
    </w:p>
    <w:p w14:paraId="183D7E9D" w14:textId="77777777" w:rsidR="003E6357" w:rsidRDefault="003E6357">
      <w:pPr>
        <w:pBdr>
          <w:bottom w:val="single" w:sz="6" w:space="0" w:color="CCCCCC"/>
        </w:pBdr>
        <w:spacing w:before="120" w:after="120"/>
      </w:pPr>
    </w:p>
    <w:p w14:paraId="0A2F0516" w14:textId="77777777" w:rsidR="003E6357" w:rsidRDefault="00000000">
      <w:pPr>
        <w:pStyle w:val="Heading3"/>
        <w:spacing w:before="240" w:after="120"/>
      </w:pPr>
      <w:r>
        <w:t>PILLAR 1: Legal &amp; Institutional Framework</w:t>
      </w:r>
    </w:p>
    <w:p w14:paraId="48E2CB5F" w14:textId="77777777" w:rsidR="003E6357" w:rsidRDefault="00000000">
      <w:pPr>
        <w:spacing w:after="120"/>
      </w:pPr>
      <w:r>
        <w:t>Objective: Establish a legal and institutional foundation for DRM governance and coordination.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960"/>
        <w:gridCol w:w="1223"/>
        <w:gridCol w:w="4613"/>
      </w:tblGrid>
      <w:tr w:rsidR="007C075B" w14:paraId="716B0EF0" w14:textId="77777777" w:rsidTr="007C075B">
        <w:tc>
          <w:tcPr>
            <w:tcW w:w="677" w:type="pct"/>
          </w:tcPr>
          <w:p w14:paraId="3FA0E60F" w14:textId="77777777" w:rsidR="007C075B" w:rsidRDefault="007C075B">
            <w:r>
              <w:rPr>
                <w:b/>
                <w:bCs/>
              </w:rPr>
              <w:t>DRM Sub-Pillar</w:t>
            </w:r>
          </w:p>
        </w:tc>
        <w:tc>
          <w:tcPr>
            <w:tcW w:w="1087" w:type="pct"/>
          </w:tcPr>
          <w:p w14:paraId="1AA6B288" w14:textId="77777777" w:rsidR="007C075B" w:rsidRDefault="007C075B">
            <w:r>
              <w:rPr>
                <w:b/>
                <w:bCs/>
              </w:rPr>
              <w:t>DRM Action</w:t>
            </w:r>
          </w:p>
        </w:tc>
        <w:tc>
          <w:tcPr>
            <w:tcW w:w="678" w:type="pct"/>
          </w:tcPr>
          <w:p w14:paraId="2BA79394" w14:textId="5D5E5EC5" w:rsidR="007C075B" w:rsidRDefault="007C075B">
            <w:r>
              <w:rPr>
                <w:b/>
                <w:bCs/>
              </w:rPr>
              <w:t xml:space="preserve">Maturity </w:t>
            </w:r>
            <w:proofErr w:type="spellStart"/>
            <w:r>
              <w:rPr>
                <w:b/>
                <w:bCs/>
              </w:rPr>
              <w:t>Lervel</w:t>
            </w:r>
            <w:proofErr w:type="spellEnd"/>
          </w:p>
        </w:tc>
        <w:tc>
          <w:tcPr>
            <w:tcW w:w="2559" w:type="pct"/>
          </w:tcPr>
          <w:p w14:paraId="56D54E76" w14:textId="1D13EBE4" w:rsidR="007C075B" w:rsidRDefault="007C075B">
            <w:r>
              <w:rPr>
                <w:b/>
                <w:bCs/>
              </w:rPr>
              <w:t>Comments &amp; Assessment</w:t>
            </w:r>
          </w:p>
        </w:tc>
      </w:tr>
      <w:tr w:rsidR="007C075B" w14:paraId="60C7794B" w14:textId="77777777" w:rsidTr="007C075B">
        <w:tc>
          <w:tcPr>
            <w:tcW w:w="677" w:type="pct"/>
          </w:tcPr>
          <w:p w14:paraId="33290FA4" w14:textId="77777777" w:rsidR="007C075B" w:rsidRDefault="007C075B">
            <w:r>
              <w:t>DRM Policies &amp; Institutions</w:t>
            </w:r>
          </w:p>
        </w:tc>
        <w:tc>
          <w:tcPr>
            <w:tcW w:w="1087" w:type="pct"/>
          </w:tcPr>
          <w:p w14:paraId="4949C332" w14:textId="77777777" w:rsidR="007C075B" w:rsidRDefault="007C075B">
            <w:r>
              <w:t>Is there a dedicated DRM law, policy, or strategy? Are institutional mandates for DRM clearly assigned?</w:t>
            </w:r>
          </w:p>
        </w:tc>
        <w:tc>
          <w:tcPr>
            <w:tcW w:w="678" w:type="pct"/>
          </w:tcPr>
          <w:p w14:paraId="73146E86" w14:textId="77777777" w:rsidR="007C075B" w:rsidRDefault="007C075B">
            <w:r>
              <w:t>Emerging</w:t>
            </w:r>
          </w:p>
        </w:tc>
        <w:tc>
          <w:tcPr>
            <w:tcW w:w="2559" w:type="pct"/>
          </w:tcPr>
          <w:p w14:paraId="71E1069C" w14:textId="77777777" w:rsidR="007C075B" w:rsidRDefault="007C075B">
            <w:r>
              <w:t xml:space="preserve">Significant legislative progress: The landmark 2024 Civil Protection Law (Law No. 2024/015) consolidates institutional mandates, establishes a dedicated Civil Protection Fund, </w:t>
            </w:r>
            <w:proofErr w:type="spellStart"/>
            <w:r>
              <w:t>formalises</w:t>
            </w:r>
            <w:proofErr w:type="spellEnd"/>
            <w:r>
              <w:t xml:space="preserve"> volunteer engagement, and </w:t>
            </w:r>
            <w:proofErr w:type="spellStart"/>
            <w:r>
              <w:t>modernises</w:t>
            </w:r>
            <w:proofErr w:type="spellEnd"/>
            <w:r>
              <w:t xml:space="preserve"> international cooperation mechanisms — replacing the outdated Law No. 86/016 (1986). The Directorate of Civil Protection (DPC) under MINAT remains the operational lead, supported by the National Council for Civil Protection (CNPC), Crisis Committees (Decree No. 98/031), the National Platform for DRR (created 2010), and sectoral observatories (ONR, ONACC, ONSP). A national DRF Strategy was </w:t>
            </w:r>
            <w:proofErr w:type="spellStart"/>
            <w:r>
              <w:t>finalised</w:t>
            </w:r>
            <w:proofErr w:type="spellEnd"/>
            <w:r>
              <w:t xml:space="preserve"> in April 2025 with IMF support. Despite this progress, the framework remains Emerging: the DPC lacks the administrative authority and "convening power" to effectively direct other line ministries during crises; decision-making is highly </w:t>
            </w:r>
            <w:proofErr w:type="spellStart"/>
            <w:r>
              <w:t>centralised</w:t>
            </w:r>
            <w:proofErr w:type="spellEnd"/>
            <w:r>
              <w:t xml:space="preserve"> in Yaoundé; institutional responsibilities are fragmented with overlapping mandates; and implementing decrees for the 2024 Law are still required. The CPGA (2024) assigned </w:t>
            </w:r>
            <w:r>
              <w:lastRenderedPageBreak/>
              <w:t>a maturity score of 2.0 (Basic) to this pillar. The EPR Diagnostic (2026) rates the overall system at 90/360.</w:t>
            </w:r>
          </w:p>
        </w:tc>
      </w:tr>
      <w:tr w:rsidR="007C075B" w14:paraId="4ED4128B" w14:textId="77777777" w:rsidTr="007C075B">
        <w:tc>
          <w:tcPr>
            <w:tcW w:w="677" w:type="pct"/>
          </w:tcPr>
          <w:p w14:paraId="5F851E5E" w14:textId="77777777" w:rsidR="007C075B" w:rsidRDefault="007C075B">
            <w:r>
              <w:lastRenderedPageBreak/>
              <w:t>DRM in National Development Plans</w:t>
            </w:r>
          </w:p>
        </w:tc>
        <w:tc>
          <w:tcPr>
            <w:tcW w:w="1087" w:type="pct"/>
          </w:tcPr>
          <w:p w14:paraId="10EADA1D" w14:textId="77777777" w:rsidR="007C075B" w:rsidRDefault="007C075B">
            <w:r>
              <w:t>Is DRM/climate resilience integrated into national development planning instruments (e.g., NDPs, budgets)?</w:t>
            </w:r>
          </w:p>
        </w:tc>
        <w:tc>
          <w:tcPr>
            <w:tcW w:w="678" w:type="pct"/>
          </w:tcPr>
          <w:p w14:paraId="48161981" w14:textId="77777777" w:rsidR="007C075B" w:rsidRDefault="007C075B">
            <w:r>
              <w:t>Emerging</w:t>
            </w:r>
          </w:p>
        </w:tc>
        <w:tc>
          <w:tcPr>
            <w:tcW w:w="2559" w:type="pct"/>
          </w:tcPr>
          <w:p w14:paraId="12DD4CB2" w14:textId="77777777" w:rsidR="007C075B" w:rsidRDefault="007C075B">
            <w:r>
              <w:t xml:space="preserve">DRM and climate resilience are referenced in the National Development Strategy 2020–2030 (SND30) and Vision 2035. The updated NDC (2021) commits to adaptation priorities in agriculture, energy, infrastructure, and transport. A National Climate Plan was developed in 2025. The </w:t>
            </w:r>
            <w:proofErr w:type="spellStart"/>
            <w:r>
              <w:t>Decentralisation</w:t>
            </w:r>
            <w:proofErr w:type="spellEnd"/>
            <w:r>
              <w:t xml:space="preserve"> Law (2019) formally transfers DRM competencies to local governments, but without commensurate financial resources — local authorities remain severely under-resourced. Only 13 out of 54 ministries have DRM functions or projects (UNDRR). No law mandates that public institutions integrate climate change into planning instruments or budget processes. Local governments have no regulatory requirements to set adaptation targets or report on implementation. Integration of DRM into public investment appraisal remains ad hoc.</w:t>
            </w:r>
          </w:p>
        </w:tc>
      </w:tr>
    </w:tbl>
    <w:p w14:paraId="38D83C15" w14:textId="77777777" w:rsidR="003E6357" w:rsidRDefault="003E6357">
      <w:pPr>
        <w:pBdr>
          <w:bottom w:val="single" w:sz="6" w:space="0" w:color="CCCCCC"/>
        </w:pBdr>
        <w:spacing w:before="120" w:after="120"/>
      </w:pPr>
    </w:p>
    <w:p w14:paraId="5A85C672" w14:textId="77777777" w:rsidR="003E6357" w:rsidRDefault="00000000">
      <w:pPr>
        <w:pStyle w:val="Heading3"/>
        <w:spacing w:before="240" w:after="120"/>
      </w:pPr>
      <w:r>
        <w:t>PILLAR 2: Risk Identification</w:t>
      </w:r>
    </w:p>
    <w:p w14:paraId="591AF4EE" w14:textId="77777777" w:rsidR="003E6357" w:rsidRDefault="00000000">
      <w:pPr>
        <w:spacing w:after="120"/>
      </w:pPr>
      <w:r>
        <w:t xml:space="preserve">Objective: Collect, </w:t>
      </w:r>
      <w:proofErr w:type="spellStart"/>
      <w:r>
        <w:t>analyse</w:t>
      </w:r>
      <w:proofErr w:type="spellEnd"/>
      <w:r>
        <w:t>, and disseminate data on disaster and climate risks to inform decision-making.</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6"/>
        <w:gridCol w:w="1968"/>
        <w:gridCol w:w="1351"/>
        <w:gridCol w:w="4499"/>
      </w:tblGrid>
      <w:tr w:rsidR="007C075B" w14:paraId="4D8B1BCC" w14:textId="77777777" w:rsidTr="007C075B">
        <w:tc>
          <w:tcPr>
            <w:tcW w:w="654" w:type="pct"/>
          </w:tcPr>
          <w:p w14:paraId="7A332F6A" w14:textId="77777777" w:rsidR="007C075B" w:rsidRDefault="007C075B" w:rsidP="007C075B">
            <w:r>
              <w:rPr>
                <w:b/>
                <w:bCs/>
              </w:rPr>
              <w:t>DRM Sub-Pillar</w:t>
            </w:r>
          </w:p>
        </w:tc>
        <w:tc>
          <w:tcPr>
            <w:tcW w:w="1094" w:type="pct"/>
          </w:tcPr>
          <w:p w14:paraId="18AEF75C" w14:textId="77777777" w:rsidR="007C075B" w:rsidRDefault="007C075B" w:rsidP="007C075B">
            <w:r>
              <w:rPr>
                <w:b/>
                <w:bCs/>
              </w:rPr>
              <w:t>DRM Action</w:t>
            </w:r>
          </w:p>
        </w:tc>
        <w:tc>
          <w:tcPr>
            <w:tcW w:w="751" w:type="pct"/>
          </w:tcPr>
          <w:p w14:paraId="3D74D03D" w14:textId="714F53ED" w:rsidR="007C075B" w:rsidRDefault="007C075B" w:rsidP="007C075B">
            <w:r>
              <w:rPr>
                <w:b/>
                <w:bCs/>
              </w:rPr>
              <w:t xml:space="preserve">Maturity </w:t>
            </w:r>
            <w:proofErr w:type="spellStart"/>
            <w:r>
              <w:rPr>
                <w:b/>
                <w:bCs/>
              </w:rPr>
              <w:t>Lervel</w:t>
            </w:r>
            <w:proofErr w:type="spellEnd"/>
          </w:p>
        </w:tc>
        <w:tc>
          <w:tcPr>
            <w:tcW w:w="2501" w:type="pct"/>
          </w:tcPr>
          <w:p w14:paraId="45658682" w14:textId="23F679B0" w:rsidR="007C075B" w:rsidRDefault="007C075B" w:rsidP="007C075B">
            <w:r>
              <w:rPr>
                <w:b/>
                <w:bCs/>
              </w:rPr>
              <w:t>Comments &amp; Assessment</w:t>
            </w:r>
          </w:p>
        </w:tc>
      </w:tr>
      <w:tr w:rsidR="007C075B" w14:paraId="3C52146D" w14:textId="77777777" w:rsidTr="007C075B">
        <w:tc>
          <w:tcPr>
            <w:tcW w:w="654" w:type="pct"/>
          </w:tcPr>
          <w:p w14:paraId="6CB6485C" w14:textId="77777777" w:rsidR="007C075B" w:rsidRDefault="007C075B">
            <w:r>
              <w:t>Collection, Analysis &amp; Dissemination of Data</w:t>
            </w:r>
          </w:p>
        </w:tc>
        <w:tc>
          <w:tcPr>
            <w:tcW w:w="1094" w:type="pct"/>
          </w:tcPr>
          <w:p w14:paraId="2802D6CD" w14:textId="77777777" w:rsidR="007C075B" w:rsidRDefault="007C075B">
            <w:r>
              <w:t xml:space="preserve">Are national risk assessments conducted? Is hazard and exposure data collected, </w:t>
            </w:r>
            <w:proofErr w:type="spellStart"/>
            <w:r>
              <w:t>analysed</w:t>
            </w:r>
            <w:proofErr w:type="spellEnd"/>
            <w:r>
              <w:t>, and disseminated?</w:t>
            </w:r>
          </w:p>
        </w:tc>
        <w:tc>
          <w:tcPr>
            <w:tcW w:w="751" w:type="pct"/>
          </w:tcPr>
          <w:p w14:paraId="1C722E84" w14:textId="77777777" w:rsidR="007C075B" w:rsidRDefault="007C075B">
            <w:r>
              <w:t>Emerging</w:t>
            </w:r>
          </w:p>
        </w:tc>
        <w:tc>
          <w:tcPr>
            <w:tcW w:w="2501" w:type="pct"/>
          </w:tcPr>
          <w:p w14:paraId="636F3506" w14:textId="77777777" w:rsidR="007C075B" w:rsidRDefault="007C075B">
            <w:r>
              <w:t xml:space="preserve">Cameroon is exposed to high levels of river and urban flooding, water scarcity, extreme heat, wildfire, landslides, volcanic hazards, and coastal flooding. Several agencies hold mandated roles in risk data collection: the National Risk Observatory (ONR, est. 2003), the National Observatory of Climate Change (ONACC, est. 2009) which produces seasonal and multi-hazard climate-risk bulletins, the National Public Health Observatory (ONSP, est. 2010), the Department of National Meteorology (DMN) operating 54 functional stations (below the WHO-recommended 58, many non-automated), the Institute of Geological and Mining Research (IRGM), and MINADER (with 50 automatic hydro stations, only 9 fully operative at time of EPR Diagnostic). However, the system suffers from severe fragmentation: assessments focus on individual hazards rather than a multi-hazard approach; data is siloed across agencies in incompatible formats; and there are no explicit guidelines for the frequency or </w:t>
            </w:r>
            <w:proofErr w:type="spellStart"/>
            <w:r>
              <w:t>standardised</w:t>
            </w:r>
            <w:proofErr w:type="spellEnd"/>
            <w:r>
              <w:t xml:space="preserve"> procedures for conducting risk assessments. The EPR Diagnostic (2026) scores Geomatics at 1.00/5 — two-thirds of the country </w:t>
            </w:r>
            <w:proofErr w:type="gramStart"/>
            <w:r>
              <w:t>lacks</w:t>
            </w:r>
            <w:proofErr w:type="gramEnd"/>
            <w:r>
              <w:t xml:space="preserve"> basic geomatic data, and population/infrastructure datasets are often over 20 years old. The planned Disaster Management Information System (CRSIS) has not been </w:t>
            </w:r>
            <w:proofErr w:type="spellStart"/>
            <w:r>
              <w:t>operationalised</w:t>
            </w:r>
            <w:proofErr w:type="spellEnd"/>
            <w:r>
              <w:t xml:space="preserve"> (scored 0.00/5) due to lack of server infrastructure. Early Warning Systems scored 1.50/5 — threat-specific and fragmented, without a Multi-Hazard Early Warning System (MHEWS). A positive development is the 2025 launch of a regional User Interface Platform (UIP) via WhatsApp for user-centric warnings. The National Institute of Cartography (INC) faces major structural and budget constraints.</w:t>
            </w:r>
          </w:p>
        </w:tc>
      </w:tr>
    </w:tbl>
    <w:p w14:paraId="33E66CFE" w14:textId="77777777" w:rsidR="003E6357" w:rsidRDefault="003E6357">
      <w:pPr>
        <w:pBdr>
          <w:bottom w:val="single" w:sz="6" w:space="0" w:color="CCCCCC"/>
        </w:pBdr>
        <w:spacing w:before="120" w:after="120"/>
      </w:pPr>
    </w:p>
    <w:p w14:paraId="29F02C7C" w14:textId="77777777" w:rsidR="003E6357" w:rsidRDefault="00000000">
      <w:pPr>
        <w:pStyle w:val="Heading3"/>
        <w:spacing w:before="240" w:after="120"/>
      </w:pPr>
      <w:r>
        <w:t>PILLAR 3: Risk Reduction</w:t>
      </w:r>
    </w:p>
    <w:p w14:paraId="7DE74D36" w14:textId="77777777" w:rsidR="003E6357" w:rsidRDefault="00000000">
      <w:pPr>
        <w:spacing w:after="120"/>
      </w:pPr>
      <w:r>
        <w:t>Objective: Reduce underlying disaster risk through land use planning, public investment management, and sector-specific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039"/>
        <w:gridCol w:w="1174"/>
        <w:gridCol w:w="4629"/>
      </w:tblGrid>
      <w:tr w:rsidR="007C075B" w14:paraId="7AB45B19" w14:textId="77777777" w:rsidTr="007C075B">
        <w:tc>
          <w:tcPr>
            <w:tcW w:w="651" w:type="pct"/>
          </w:tcPr>
          <w:p w14:paraId="2D8A0B5A" w14:textId="77777777" w:rsidR="007C075B" w:rsidRDefault="007C075B" w:rsidP="007C075B">
            <w:r>
              <w:rPr>
                <w:b/>
                <w:bCs/>
              </w:rPr>
              <w:t>DRM Sub-Pillar</w:t>
            </w:r>
          </w:p>
        </w:tc>
        <w:tc>
          <w:tcPr>
            <w:tcW w:w="1131" w:type="pct"/>
          </w:tcPr>
          <w:p w14:paraId="23E2438E" w14:textId="77777777" w:rsidR="007C075B" w:rsidRDefault="007C075B" w:rsidP="007C075B">
            <w:r>
              <w:rPr>
                <w:b/>
                <w:bCs/>
              </w:rPr>
              <w:t>DRM Action</w:t>
            </w:r>
          </w:p>
        </w:tc>
        <w:tc>
          <w:tcPr>
            <w:tcW w:w="651" w:type="pct"/>
          </w:tcPr>
          <w:p w14:paraId="37E394AF" w14:textId="753E6005" w:rsidR="007C075B" w:rsidRDefault="007C075B" w:rsidP="007C075B">
            <w:r>
              <w:rPr>
                <w:b/>
                <w:bCs/>
              </w:rPr>
              <w:t xml:space="preserve">Maturity </w:t>
            </w:r>
            <w:proofErr w:type="spellStart"/>
            <w:r>
              <w:rPr>
                <w:b/>
                <w:bCs/>
              </w:rPr>
              <w:t>Lervel</w:t>
            </w:r>
            <w:proofErr w:type="spellEnd"/>
          </w:p>
        </w:tc>
        <w:tc>
          <w:tcPr>
            <w:tcW w:w="2567" w:type="pct"/>
          </w:tcPr>
          <w:p w14:paraId="30CBBE9D" w14:textId="35098A1E" w:rsidR="007C075B" w:rsidRDefault="007C075B" w:rsidP="007C075B">
            <w:r>
              <w:rPr>
                <w:b/>
                <w:bCs/>
              </w:rPr>
              <w:t>Comments &amp; Assessment</w:t>
            </w:r>
          </w:p>
        </w:tc>
      </w:tr>
      <w:tr w:rsidR="007C075B" w14:paraId="653155DA" w14:textId="77777777" w:rsidTr="007C075B">
        <w:tc>
          <w:tcPr>
            <w:tcW w:w="651" w:type="pct"/>
          </w:tcPr>
          <w:p w14:paraId="7417B81A" w14:textId="77777777" w:rsidR="007C075B" w:rsidRDefault="007C075B">
            <w:r>
              <w:t>Territorial and Urban Planning</w:t>
            </w:r>
          </w:p>
        </w:tc>
        <w:tc>
          <w:tcPr>
            <w:tcW w:w="1131" w:type="pct"/>
          </w:tcPr>
          <w:p w14:paraId="4CFEBE8C" w14:textId="77777777" w:rsidR="007C075B" w:rsidRDefault="007C075B">
            <w:r>
              <w:t>Are disaster risks integrated into land use planning, zoning, and urban development regulations?</w:t>
            </w:r>
          </w:p>
        </w:tc>
        <w:tc>
          <w:tcPr>
            <w:tcW w:w="651" w:type="pct"/>
          </w:tcPr>
          <w:p w14:paraId="4404D8C5" w14:textId="77777777" w:rsidR="007C075B" w:rsidRDefault="007C075B">
            <w:r>
              <w:t>Nascent</w:t>
            </w:r>
          </w:p>
        </w:tc>
        <w:tc>
          <w:tcPr>
            <w:tcW w:w="2567" w:type="pct"/>
          </w:tcPr>
          <w:p w14:paraId="08FCCC2B" w14:textId="77777777" w:rsidR="007C075B" w:rsidRDefault="007C075B">
            <w:r>
              <w:t xml:space="preserve">Article 9 of the Urban Planning Code (Law No. 2004/003) designates land exposed to natural risks (floods, erosion, landslides) as unbuildable and requires environmental impact studies, but these provisions are poorly enforced. Urban growth in Douala, Yaoundé, and </w:t>
            </w:r>
            <w:proofErr w:type="spellStart"/>
            <w:r>
              <w:t>Ngaoundéré</w:t>
            </w:r>
            <w:proofErr w:type="spellEnd"/>
            <w:r>
              <w:t xml:space="preserve"> remains largely unplanned, with settlements expanding into floodplains, wetlands, and mountain slopes. The 2023 Yaoundé landslide underscored the urgent need to enforce zoning. MINHDU is undertaking some anticipatory urban risk management supported by the World Bank's Cameroon Inclusive and Resilient Cities Development Project, and sustainable urban drainage systems are being developed in Douala. However, municipal capacity constraints continue to undermine enforcement, and no comprehensive risk-informed national urban planning framework is in place.</w:t>
            </w:r>
          </w:p>
        </w:tc>
      </w:tr>
      <w:tr w:rsidR="007C075B" w14:paraId="7DF79E78" w14:textId="77777777" w:rsidTr="007C075B">
        <w:tc>
          <w:tcPr>
            <w:tcW w:w="651" w:type="pct"/>
          </w:tcPr>
          <w:p w14:paraId="30B769EF" w14:textId="77777777" w:rsidR="007C075B" w:rsidRDefault="007C075B">
            <w:r>
              <w:t>Public Investment Management</w:t>
            </w:r>
          </w:p>
        </w:tc>
        <w:tc>
          <w:tcPr>
            <w:tcW w:w="1131" w:type="pct"/>
          </w:tcPr>
          <w:p w14:paraId="0767B238" w14:textId="77777777" w:rsidR="007C075B" w:rsidRDefault="007C075B">
            <w:r>
              <w:t>Is DRM integrated into the appraisal and screening of public investments?</w:t>
            </w:r>
          </w:p>
        </w:tc>
        <w:tc>
          <w:tcPr>
            <w:tcW w:w="651" w:type="pct"/>
          </w:tcPr>
          <w:p w14:paraId="42648C52" w14:textId="77777777" w:rsidR="007C075B" w:rsidRDefault="007C075B">
            <w:r>
              <w:t>Nascent</w:t>
            </w:r>
          </w:p>
        </w:tc>
        <w:tc>
          <w:tcPr>
            <w:tcW w:w="2567" w:type="pct"/>
          </w:tcPr>
          <w:p w14:paraId="2667FA3C" w14:textId="77777777" w:rsidR="007C075B" w:rsidRDefault="007C075B">
            <w:r>
              <w:t>DRR remains heavily under-</w:t>
            </w:r>
            <w:proofErr w:type="spellStart"/>
            <w:r>
              <w:t>prioritised</w:t>
            </w:r>
            <w:proofErr w:type="spellEnd"/>
            <w:r>
              <w:t xml:space="preserve"> in public investment. The CPGA Technical Annex (2024) found only 1.5% (~$68.3 million) of the 2019 national budget allocated to significant DRR investments, and only 13 of 54 ministries have DRM functions. The EPR Diagnostic (2026) notes that in 2019, 3.4% of the budget was allocated to DRR, with 82% concentrated in the Ministry of Public Health — leaving all other DRM functions severely underfunded. No legal requirement exists to screen public investments for disaster or climate risks. </w:t>
            </w:r>
            <w:proofErr w:type="spellStart"/>
            <w:r>
              <w:t>Decentralisation</w:t>
            </w:r>
            <w:proofErr w:type="spellEnd"/>
            <w:r>
              <w:t xml:space="preserve"> has transferred competencies but not financial resources to local governments. A National Critical Infrastructure Assurance programme and critical infrastructure inventory are proposed in the EPR Investment Report (2026) but not yet established.</w:t>
            </w:r>
          </w:p>
        </w:tc>
      </w:tr>
      <w:tr w:rsidR="007C075B" w14:paraId="1C1309AC" w14:textId="77777777" w:rsidTr="007C075B">
        <w:tc>
          <w:tcPr>
            <w:tcW w:w="651" w:type="pct"/>
          </w:tcPr>
          <w:p w14:paraId="1F875729" w14:textId="77777777" w:rsidR="007C075B" w:rsidRDefault="007C075B">
            <w:r>
              <w:t>Sector-Specific Risk Reduction Measures</w:t>
            </w:r>
          </w:p>
        </w:tc>
        <w:tc>
          <w:tcPr>
            <w:tcW w:w="1131" w:type="pct"/>
          </w:tcPr>
          <w:p w14:paraId="26277339" w14:textId="77777777" w:rsidR="007C075B" w:rsidRDefault="007C075B">
            <w:r>
              <w:t>Are DRM/climate adaptation measures embedded in key sector strategies (agriculture, transport, infrastructure, health)?</w:t>
            </w:r>
          </w:p>
        </w:tc>
        <w:tc>
          <w:tcPr>
            <w:tcW w:w="651" w:type="pct"/>
          </w:tcPr>
          <w:p w14:paraId="7D4F71AE" w14:textId="77777777" w:rsidR="007C075B" w:rsidRDefault="007C075B">
            <w:r>
              <w:t>Emerging</w:t>
            </w:r>
          </w:p>
        </w:tc>
        <w:tc>
          <w:tcPr>
            <w:tcW w:w="2567" w:type="pct"/>
          </w:tcPr>
          <w:p w14:paraId="6BC9140C" w14:textId="77777777" w:rsidR="007C075B" w:rsidRDefault="007C075B">
            <w:r>
              <w:t xml:space="preserve">Sector-level progress is uneven but notable in some areas. Positive developments include: the National Health Strategy (2020–2030) and the National Multi-Risk Preparedness and Response Plan (2022–2024) in the health sector, with a PHEOC and 750-laboratory surveillance network; the Food Security Crisis Preparedness Plan (FSCPP) being </w:t>
            </w:r>
            <w:proofErr w:type="spellStart"/>
            <w:r>
              <w:t>finalised</w:t>
            </w:r>
            <w:proofErr w:type="spellEnd"/>
            <w:r>
              <w:t xml:space="preserve"> with World Bank support; the 2025 National Water Policy </w:t>
            </w:r>
            <w:proofErr w:type="spellStart"/>
            <w:r>
              <w:t>prioritising</w:t>
            </w:r>
            <w:proofErr w:type="spellEnd"/>
            <w:r>
              <w:t xml:space="preserve"> water risk management; the National Emergency Telecommunication Network (2022); community-led mitigation activities (reforestation, drainage, agroforestry) supported by GEF and UNDP; and the National Fire Brigade's community awareness campaigns. However, cross-sectoral integration of DRR remains weak, most sector legislation does not explicitly mandate climate or disaster risk integration, and implementation capacity is constrained by funding and technical gaps.</w:t>
            </w:r>
          </w:p>
        </w:tc>
      </w:tr>
    </w:tbl>
    <w:p w14:paraId="2166C1F6" w14:textId="77777777" w:rsidR="003E6357" w:rsidRDefault="003E6357">
      <w:pPr>
        <w:pBdr>
          <w:bottom w:val="single" w:sz="6" w:space="0" w:color="CCCCCC"/>
        </w:pBdr>
        <w:spacing w:before="120" w:after="120"/>
      </w:pPr>
    </w:p>
    <w:p w14:paraId="7E2BAFDD" w14:textId="77777777" w:rsidR="003E6357" w:rsidRDefault="00000000">
      <w:pPr>
        <w:pStyle w:val="Heading3"/>
        <w:spacing w:before="240" w:after="120"/>
      </w:pPr>
      <w:r>
        <w:lastRenderedPageBreak/>
        <w:t>PILLAR 4: Emergency Preparedness</w:t>
      </w:r>
    </w:p>
    <w:p w14:paraId="6D06A5A5" w14:textId="77777777" w:rsidR="003E6357" w:rsidRDefault="00000000">
      <w:pPr>
        <w:spacing w:after="120"/>
      </w:pPr>
      <w:r>
        <w:t>Objective: Strengthen readiness to respond to disasters through early warning, contingency planning, and adaptive social protection.</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1885"/>
        <w:gridCol w:w="1263"/>
        <w:gridCol w:w="4587"/>
      </w:tblGrid>
      <w:tr w:rsidR="007C075B" w14:paraId="26F1E015" w14:textId="77777777" w:rsidTr="007C075B">
        <w:tc>
          <w:tcPr>
            <w:tcW w:w="700" w:type="pct"/>
          </w:tcPr>
          <w:p w14:paraId="330DAE97" w14:textId="77777777" w:rsidR="007C075B" w:rsidRDefault="007C075B" w:rsidP="007C075B">
            <w:r>
              <w:rPr>
                <w:b/>
                <w:bCs/>
              </w:rPr>
              <w:t>DRM Sub-Pillar</w:t>
            </w:r>
          </w:p>
        </w:tc>
        <w:tc>
          <w:tcPr>
            <w:tcW w:w="1048" w:type="pct"/>
          </w:tcPr>
          <w:p w14:paraId="2EEFB63E" w14:textId="77777777" w:rsidR="007C075B" w:rsidRDefault="007C075B" w:rsidP="007C075B">
            <w:r>
              <w:rPr>
                <w:b/>
                <w:bCs/>
              </w:rPr>
              <w:t>DRM Action</w:t>
            </w:r>
          </w:p>
        </w:tc>
        <w:tc>
          <w:tcPr>
            <w:tcW w:w="702" w:type="pct"/>
          </w:tcPr>
          <w:p w14:paraId="54A24E8A" w14:textId="644C0200" w:rsidR="007C075B" w:rsidRDefault="007C075B" w:rsidP="007C075B">
            <w:r>
              <w:rPr>
                <w:b/>
                <w:bCs/>
              </w:rPr>
              <w:t xml:space="preserve">Maturity </w:t>
            </w:r>
            <w:proofErr w:type="spellStart"/>
            <w:r>
              <w:rPr>
                <w:b/>
                <w:bCs/>
              </w:rPr>
              <w:t>Lervel</w:t>
            </w:r>
            <w:proofErr w:type="spellEnd"/>
          </w:p>
        </w:tc>
        <w:tc>
          <w:tcPr>
            <w:tcW w:w="2550" w:type="pct"/>
          </w:tcPr>
          <w:p w14:paraId="71ABEE14" w14:textId="3534EE40" w:rsidR="007C075B" w:rsidRDefault="007C075B" w:rsidP="007C075B">
            <w:r>
              <w:rPr>
                <w:b/>
                <w:bCs/>
              </w:rPr>
              <w:t>Comments &amp; Assessment</w:t>
            </w:r>
          </w:p>
        </w:tc>
      </w:tr>
      <w:tr w:rsidR="007C075B" w14:paraId="3A390415" w14:textId="77777777" w:rsidTr="007C075B">
        <w:tc>
          <w:tcPr>
            <w:tcW w:w="700" w:type="pct"/>
          </w:tcPr>
          <w:p w14:paraId="282E3B81" w14:textId="77777777" w:rsidR="007C075B" w:rsidRDefault="007C075B">
            <w:r>
              <w:t>Early Warning Systems (EWS)</w:t>
            </w:r>
          </w:p>
        </w:tc>
        <w:tc>
          <w:tcPr>
            <w:tcW w:w="1048" w:type="pct"/>
          </w:tcPr>
          <w:p w14:paraId="10AD8E58" w14:textId="77777777" w:rsidR="007C075B" w:rsidRDefault="007C075B">
            <w:r>
              <w:t>Are multi-hazard early warning systems operational and able to reach at-risk communities in a timely manner?</w:t>
            </w:r>
          </w:p>
        </w:tc>
        <w:tc>
          <w:tcPr>
            <w:tcW w:w="702" w:type="pct"/>
          </w:tcPr>
          <w:p w14:paraId="7A7C779D" w14:textId="77777777" w:rsidR="007C075B" w:rsidRDefault="007C075B">
            <w:r>
              <w:t>Emerging</w:t>
            </w:r>
          </w:p>
        </w:tc>
        <w:tc>
          <w:tcPr>
            <w:tcW w:w="2550" w:type="pct"/>
          </w:tcPr>
          <w:p w14:paraId="1405B68D" w14:textId="77777777" w:rsidR="007C075B" w:rsidRDefault="007C075B">
            <w:r>
              <w:t xml:space="preserve">EWS in Cameroon remain threat-specific and fragmented, scoring 1.50/5 in the EPR Diagnostic (2026). The DMN disseminates near real-time data and bi-weekly meteorological bulletins; ONACC produces seasonal and climate-risk bulletins; ONSP collects weekly disease surveillance data. The Cameroon Red Cross Society (CRCS) and local NGOs play a key role in last-mile community outreach and door-to-door information sharing. In 2025, a regional User Interface Platform (UIP) via WhatsApp was established to deliver user-centric warnings. However, a comprehensive MHEWS does not </w:t>
            </w:r>
            <w:proofErr w:type="gramStart"/>
            <w:r>
              <w:t>exist:</w:t>
            </w:r>
            <w:proofErr w:type="gramEnd"/>
            <w:r>
              <w:t xml:space="preserve"> legislative roles between DMN and ONACC remain ambiguous, causing duplication; many ground-level systems (e.g., sirens at volcanic lakes) require human intervention to activate; public awareness is low; and rural, conflict-affected, and isolated communities remain systematically underserved. The CRSIS information management system remains non-operational (0.00/5).</w:t>
            </w:r>
          </w:p>
        </w:tc>
      </w:tr>
      <w:tr w:rsidR="007C075B" w14:paraId="66614F8F" w14:textId="77777777" w:rsidTr="007C075B">
        <w:tc>
          <w:tcPr>
            <w:tcW w:w="700" w:type="pct"/>
          </w:tcPr>
          <w:p w14:paraId="385E70B2" w14:textId="77777777" w:rsidR="007C075B" w:rsidRDefault="007C075B">
            <w:r>
              <w:t>Geographic Dispersion &amp; Isolation</w:t>
            </w:r>
          </w:p>
        </w:tc>
        <w:tc>
          <w:tcPr>
            <w:tcW w:w="1048" w:type="pct"/>
          </w:tcPr>
          <w:p w14:paraId="1A16390E" w14:textId="77777777" w:rsidR="007C075B" w:rsidRDefault="007C075B">
            <w:r>
              <w:t xml:space="preserve">Are populations in isolated or hard-to-reach areas considered in </w:t>
            </w:r>
            <w:proofErr w:type="gramStart"/>
            <w:r>
              <w:t>preparedness</w:t>
            </w:r>
            <w:proofErr w:type="gramEnd"/>
            <w:r>
              <w:t xml:space="preserve"> planning?</w:t>
            </w:r>
          </w:p>
        </w:tc>
        <w:tc>
          <w:tcPr>
            <w:tcW w:w="702" w:type="pct"/>
          </w:tcPr>
          <w:p w14:paraId="0C1BA572" w14:textId="77777777" w:rsidR="007C075B" w:rsidRDefault="007C075B">
            <w:r>
              <w:t>Nascent</w:t>
            </w:r>
          </w:p>
        </w:tc>
        <w:tc>
          <w:tcPr>
            <w:tcW w:w="2550" w:type="pct"/>
          </w:tcPr>
          <w:p w14:paraId="1BA6BB04" w14:textId="77777777" w:rsidR="007C075B" w:rsidRDefault="007C075B">
            <w:r>
              <w:t xml:space="preserve">Geographic isolation — especially in the Far North, East, Adamawa, North-West, and South-West regions — severely compounds disaster vulnerability and response capacity. Active FCV dynamics (Boko Haram; Anglophone crisis) further restrict access to these areas. Over 2.1 million forcibly displaced individuals are present in Cameroon, managed primarily by international NGOs with minimal national framework integration. Only 15 community-level response plans exist nationally (EPR Diagnostic, </w:t>
            </w:r>
            <w:proofErr w:type="gramStart"/>
            <w:r>
              <w:t>2026) —</w:t>
            </w:r>
            <w:proofErr w:type="gramEnd"/>
            <w:r>
              <w:t xml:space="preserve"> a critical deficit. The system currently bypasses local authorities, who are in practice the first responders to most emergencies. Last-mile preparedness protocols are absent.</w:t>
            </w:r>
          </w:p>
        </w:tc>
      </w:tr>
      <w:tr w:rsidR="007C075B" w14:paraId="6DE5EAF4" w14:textId="77777777" w:rsidTr="007C075B">
        <w:tc>
          <w:tcPr>
            <w:tcW w:w="700" w:type="pct"/>
          </w:tcPr>
          <w:p w14:paraId="3E360940" w14:textId="77777777" w:rsidR="007C075B" w:rsidRDefault="007C075B">
            <w:r>
              <w:t>EP&amp;R Plans &amp; Contingency Planning</w:t>
            </w:r>
          </w:p>
        </w:tc>
        <w:tc>
          <w:tcPr>
            <w:tcW w:w="1048" w:type="pct"/>
          </w:tcPr>
          <w:p w14:paraId="3A0DB018" w14:textId="77777777" w:rsidR="007C075B" w:rsidRDefault="007C075B">
            <w:r>
              <w:t>Are contingency plans developed, maintained, and regularly tested for key hazards?</w:t>
            </w:r>
          </w:p>
        </w:tc>
        <w:tc>
          <w:tcPr>
            <w:tcW w:w="702" w:type="pct"/>
          </w:tcPr>
          <w:p w14:paraId="622F68AD" w14:textId="77777777" w:rsidR="007C075B" w:rsidRDefault="007C075B">
            <w:r>
              <w:t>Emerging</w:t>
            </w:r>
          </w:p>
        </w:tc>
        <w:tc>
          <w:tcPr>
            <w:tcW w:w="2550" w:type="pct"/>
          </w:tcPr>
          <w:p w14:paraId="4FCFB1D4" w14:textId="77777777" w:rsidR="007C075B" w:rsidRDefault="007C075B">
            <w:r>
              <w:t xml:space="preserve">The National Contingency Plan (PNC, 2017) provides a general framework for disaster prevention, intervention, and rehabilitation, but has not been updated since its inception and requires urgent revision — it lacks integration of sectoral plans and climate change considerations. ORSEC plans are statutorily required at national, regional, departmental, district, and community levels but most are outdated or non-existent. Only 15 community-level response plans exist nationally. Planning is largely driven by international partners rather than </w:t>
            </w:r>
            <w:proofErr w:type="spellStart"/>
            <w:r>
              <w:t>institutionalised</w:t>
            </w:r>
            <w:proofErr w:type="spellEnd"/>
            <w:r>
              <w:t xml:space="preserve"> within government. The CPGA (2024) rated this pillar at Basic (2.0). Sectoral plans exist in health (National Multi-Risk Preparedness and Response Plan, 2022–2024) but are not integrated into a unified national framework.</w:t>
            </w:r>
          </w:p>
        </w:tc>
      </w:tr>
      <w:tr w:rsidR="007C075B" w14:paraId="6885814C" w14:textId="77777777" w:rsidTr="007C075B">
        <w:tc>
          <w:tcPr>
            <w:tcW w:w="700" w:type="pct"/>
          </w:tcPr>
          <w:p w14:paraId="287383C9" w14:textId="77777777" w:rsidR="007C075B" w:rsidRDefault="007C075B">
            <w:r>
              <w:t>Shelters &amp; Public Spaces</w:t>
            </w:r>
          </w:p>
        </w:tc>
        <w:tc>
          <w:tcPr>
            <w:tcW w:w="1048" w:type="pct"/>
          </w:tcPr>
          <w:p w14:paraId="72937448" w14:textId="77777777" w:rsidR="007C075B" w:rsidRDefault="007C075B">
            <w:r>
              <w:t>Are disaster shelters and emergency public spaces designated and maintained?</w:t>
            </w:r>
          </w:p>
        </w:tc>
        <w:tc>
          <w:tcPr>
            <w:tcW w:w="702" w:type="pct"/>
          </w:tcPr>
          <w:p w14:paraId="58D1B4FE" w14:textId="77777777" w:rsidR="007C075B" w:rsidRDefault="007C075B">
            <w:r>
              <w:t>Nascent</w:t>
            </w:r>
          </w:p>
        </w:tc>
        <w:tc>
          <w:tcPr>
            <w:tcW w:w="2550" w:type="pct"/>
          </w:tcPr>
          <w:p w14:paraId="00196006" w14:textId="77777777" w:rsidR="007C075B" w:rsidRDefault="007C075B">
            <w:r>
              <w:t>Shelters scored 0.00/5 in the EPR Diagnostic (</w:t>
            </w:r>
            <w:proofErr w:type="gramStart"/>
            <w:r>
              <w:t>2026) —</w:t>
            </w:r>
            <w:proofErr w:type="gramEnd"/>
            <w:r>
              <w:t xml:space="preserve"> one of the most critical structural deficits identified. While the 2024 Civil Protection Law mandates shelter provision, implementing regulations and pre-approved funding are absent. In practice, affected households resort to self-settled solutions or hosting by families; </w:t>
            </w:r>
            <w:r>
              <w:lastRenderedPageBreak/>
              <w:t xml:space="preserve">schools are not considered viable shelter options due to poor structural resilience. There are no pre-established agreements to </w:t>
            </w:r>
            <w:proofErr w:type="gramStart"/>
            <w:r>
              <w:t>designate</w:t>
            </w:r>
            <w:proofErr w:type="gramEnd"/>
            <w:r>
              <w:t xml:space="preserve"> open spaces for evacuation, and negotiations with landowners during active crises cause significant delays. The CPGA (2024) flagged a priority need to create a database of shelters in at-risk areas. The EPR Investment Report (2026) proposes a National Shelter, Evacuation Routes, and Safe Open Spaces Programme (Project 14, US$8M), </w:t>
            </w:r>
            <w:proofErr w:type="spellStart"/>
            <w:r>
              <w:t>prioritising</w:t>
            </w:r>
            <w:proofErr w:type="spellEnd"/>
            <w:r>
              <w:t xml:space="preserve"> use of existing community buildings with low-cost safety upgrades and gender-sensitive shelter standards.</w:t>
            </w:r>
          </w:p>
        </w:tc>
      </w:tr>
      <w:tr w:rsidR="007C075B" w14:paraId="289A16B7" w14:textId="77777777" w:rsidTr="007C075B">
        <w:tc>
          <w:tcPr>
            <w:tcW w:w="700" w:type="pct"/>
          </w:tcPr>
          <w:p w14:paraId="64BE2683" w14:textId="77777777" w:rsidR="007C075B" w:rsidRDefault="007C075B">
            <w:r>
              <w:lastRenderedPageBreak/>
              <w:t>Adaptive Social Protection Systems</w:t>
            </w:r>
          </w:p>
        </w:tc>
        <w:tc>
          <w:tcPr>
            <w:tcW w:w="1048" w:type="pct"/>
          </w:tcPr>
          <w:p w14:paraId="6DD85843" w14:textId="77777777" w:rsidR="007C075B" w:rsidRDefault="007C075B">
            <w:r>
              <w:t>Are social protection systems designed to scale up in response to shocks?</w:t>
            </w:r>
          </w:p>
        </w:tc>
        <w:tc>
          <w:tcPr>
            <w:tcW w:w="702" w:type="pct"/>
          </w:tcPr>
          <w:p w14:paraId="7C645097" w14:textId="77777777" w:rsidR="007C075B" w:rsidRDefault="007C075B">
            <w:r>
              <w:t>Emerging</w:t>
            </w:r>
          </w:p>
        </w:tc>
        <w:tc>
          <w:tcPr>
            <w:tcW w:w="2550" w:type="pct"/>
          </w:tcPr>
          <w:p w14:paraId="2F74A2E6" w14:textId="77777777" w:rsidR="007C075B" w:rsidRDefault="007C075B">
            <w:r>
              <w:t xml:space="preserve">The National Social Protection Policy (PNPS, 2020–2030) </w:t>
            </w:r>
            <w:proofErr w:type="spellStart"/>
            <w:r>
              <w:t>recognises</w:t>
            </w:r>
            <w:proofErr w:type="spellEnd"/>
            <w:r>
              <w:t xml:space="preserve"> SP's role in crisis management but does not fully integrate Adaptive Social Protection (ASP) principles. SP coverage is very limited — reaching approximately 10% of the population — with </w:t>
            </w:r>
            <w:proofErr w:type="gramStart"/>
            <w:r>
              <w:t>the vast majority of</w:t>
            </w:r>
            <w:proofErr w:type="gramEnd"/>
            <w:r>
              <w:t xml:space="preserve"> informal workers </w:t>
            </w:r>
            <w:proofErr w:type="gramStart"/>
            <w:r>
              <w:t>excluded</w:t>
            </w:r>
            <w:proofErr w:type="gramEnd"/>
            <w:r>
              <w:t xml:space="preserve">. The World Bank-funded Adaptive Safety Nets and Economic Inclusion Project (ASNEIP/PFS-AIE) is the primary nationally operated non-contributory safety net. It demonstrated a capacity to scale emergency cash transfers to over 100,000 flood-affected households (2024–2025), representing an important operational precedent. However, the programme lacks formal, crisis-triggered payout mechanisms, and no shared triggers or data-sharing protocols link SP registries with DRM systems. </w:t>
            </w:r>
            <w:proofErr w:type="gramStart"/>
            <w:r>
              <w:t>A national</w:t>
            </w:r>
            <w:proofErr w:type="gramEnd"/>
            <w:r>
              <w:t xml:space="preserve"> social registry has been in development since 2015 but is not yet fully operational. Legislation does not explicitly address the needs of women, the elderly, or persons with disabilities in disaster contexts. The EPR Investment Report proposes a dedicated SP-DRM integration programme (Project 15, US$10M).</w:t>
            </w:r>
          </w:p>
        </w:tc>
      </w:tr>
    </w:tbl>
    <w:p w14:paraId="3A66370F" w14:textId="77777777" w:rsidR="003E6357" w:rsidRDefault="003E6357">
      <w:pPr>
        <w:pBdr>
          <w:bottom w:val="single" w:sz="6" w:space="0" w:color="CCCCCC"/>
        </w:pBdr>
        <w:spacing w:before="120" w:after="120"/>
      </w:pPr>
    </w:p>
    <w:p w14:paraId="7E5B0659" w14:textId="77777777" w:rsidR="003E6357" w:rsidRDefault="00000000">
      <w:pPr>
        <w:pStyle w:val="Heading3"/>
        <w:spacing w:before="240" w:after="120"/>
      </w:pPr>
      <w:r>
        <w:t>PILLAR 5: Financial Protection</w:t>
      </w:r>
    </w:p>
    <w:p w14:paraId="050F849D" w14:textId="77777777" w:rsidR="003E6357" w:rsidRDefault="00000000">
      <w:pPr>
        <w:spacing w:after="120"/>
      </w:pPr>
      <w:r>
        <w:t>Objective: Strengthen the government's financial resilience to disasters through fiscal risk assessment, DRF strategies, contingency funds, and risk transfer instruments.</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1923"/>
        <w:gridCol w:w="1225"/>
        <w:gridCol w:w="4623"/>
      </w:tblGrid>
      <w:tr w:rsidR="007C075B" w14:paraId="1AE2300C" w14:textId="77777777" w:rsidTr="007C075B">
        <w:tc>
          <w:tcPr>
            <w:tcW w:w="680" w:type="pct"/>
          </w:tcPr>
          <w:p w14:paraId="3F5F2D50" w14:textId="77777777" w:rsidR="007C075B" w:rsidRDefault="007C075B" w:rsidP="007C075B">
            <w:r>
              <w:rPr>
                <w:b/>
                <w:bCs/>
              </w:rPr>
              <w:t>DRM Sub-Pillar</w:t>
            </w:r>
          </w:p>
        </w:tc>
        <w:tc>
          <w:tcPr>
            <w:tcW w:w="1069" w:type="pct"/>
          </w:tcPr>
          <w:p w14:paraId="415A2B55" w14:textId="77777777" w:rsidR="007C075B" w:rsidRDefault="007C075B" w:rsidP="007C075B">
            <w:r>
              <w:rPr>
                <w:b/>
                <w:bCs/>
              </w:rPr>
              <w:t>DRM Action</w:t>
            </w:r>
          </w:p>
        </w:tc>
        <w:tc>
          <w:tcPr>
            <w:tcW w:w="681" w:type="pct"/>
          </w:tcPr>
          <w:p w14:paraId="349378EA" w14:textId="2E494623" w:rsidR="007C075B" w:rsidRDefault="007C075B" w:rsidP="007C075B">
            <w:r>
              <w:rPr>
                <w:b/>
                <w:bCs/>
              </w:rPr>
              <w:t xml:space="preserve">Maturity </w:t>
            </w:r>
            <w:proofErr w:type="spellStart"/>
            <w:r>
              <w:rPr>
                <w:b/>
                <w:bCs/>
              </w:rPr>
              <w:t>Lervel</w:t>
            </w:r>
            <w:proofErr w:type="spellEnd"/>
          </w:p>
        </w:tc>
        <w:tc>
          <w:tcPr>
            <w:tcW w:w="2570" w:type="pct"/>
          </w:tcPr>
          <w:p w14:paraId="189286BF" w14:textId="4A7AC742" w:rsidR="007C075B" w:rsidRDefault="007C075B" w:rsidP="007C075B">
            <w:r>
              <w:rPr>
                <w:b/>
                <w:bCs/>
              </w:rPr>
              <w:t>Comments &amp; Assessment</w:t>
            </w:r>
          </w:p>
        </w:tc>
      </w:tr>
      <w:tr w:rsidR="007C075B" w14:paraId="1839A837" w14:textId="77777777" w:rsidTr="007C075B">
        <w:tc>
          <w:tcPr>
            <w:tcW w:w="680" w:type="pct"/>
          </w:tcPr>
          <w:p w14:paraId="725A0B1B" w14:textId="77777777" w:rsidR="007C075B" w:rsidRDefault="007C075B">
            <w:r>
              <w:t>Fiscal Risk Assessment</w:t>
            </w:r>
          </w:p>
        </w:tc>
        <w:tc>
          <w:tcPr>
            <w:tcW w:w="1069" w:type="pct"/>
          </w:tcPr>
          <w:p w14:paraId="03690758" w14:textId="77777777" w:rsidR="007C075B" w:rsidRDefault="007C075B">
            <w:r>
              <w:t>Has the government assessed its fiscal exposure to disaster risk? Is this reflected in fiscal policy documents?</w:t>
            </w:r>
          </w:p>
        </w:tc>
        <w:tc>
          <w:tcPr>
            <w:tcW w:w="681" w:type="pct"/>
          </w:tcPr>
          <w:p w14:paraId="3B37E454" w14:textId="77777777" w:rsidR="007C075B" w:rsidRDefault="007C075B">
            <w:r>
              <w:t>Nascent–Emerging</w:t>
            </w:r>
          </w:p>
        </w:tc>
        <w:tc>
          <w:tcPr>
            <w:tcW w:w="2570" w:type="pct"/>
          </w:tcPr>
          <w:p w14:paraId="6A3F44A7" w14:textId="77777777" w:rsidR="007C075B" w:rsidRDefault="007C075B">
            <w:r>
              <w:t xml:space="preserve">The DRF Strategy (April 2025), developed with IMF support, represents the first systematic effort to assess fiscal exposure to disaster risk, clarify contingent liabilities, and quantify financing gaps. The strategy calculates that for a 1-in-100-year event, the combined Emergency Response and Reconstruction Gap </w:t>
            </w:r>
            <w:proofErr w:type="gramStart"/>
            <w:r>
              <w:t>exceeds</w:t>
            </w:r>
            <w:proofErr w:type="gramEnd"/>
            <w:r>
              <w:t xml:space="preserve"> $650 million. However, no dedicated fiscal risk unit exists within MINFI, and disaster risk is not yet routinely reflected in medium-term fiscal frameworks or budget documents. The CPGA Technical Annex (2024) scored Financial Preparedness at 0.2 (</w:t>
            </w:r>
            <w:proofErr w:type="gramStart"/>
            <w:r>
              <w:t>Unmet) —</w:t>
            </w:r>
            <w:proofErr w:type="gramEnd"/>
            <w:r>
              <w:t xml:space="preserve"> the weakest pillar in the entire assessment. The EPR Diagnostic (2026) rates overall financial risk management at 1.75/5 (partial functionality).</w:t>
            </w:r>
          </w:p>
        </w:tc>
      </w:tr>
      <w:tr w:rsidR="007C075B" w14:paraId="723DFB73" w14:textId="77777777" w:rsidTr="007C075B">
        <w:tc>
          <w:tcPr>
            <w:tcW w:w="680" w:type="pct"/>
          </w:tcPr>
          <w:p w14:paraId="76F70EE2" w14:textId="77777777" w:rsidR="007C075B" w:rsidRDefault="007C075B">
            <w:r>
              <w:t>Disaster Risk Financing (DRF) Strategy</w:t>
            </w:r>
          </w:p>
        </w:tc>
        <w:tc>
          <w:tcPr>
            <w:tcW w:w="1069" w:type="pct"/>
          </w:tcPr>
          <w:p w14:paraId="7F02EA2F" w14:textId="77777777" w:rsidR="007C075B" w:rsidRDefault="007C075B">
            <w:r>
              <w:t>Is there a national DRF strategy or policy in place?</w:t>
            </w:r>
          </w:p>
        </w:tc>
        <w:tc>
          <w:tcPr>
            <w:tcW w:w="681" w:type="pct"/>
          </w:tcPr>
          <w:p w14:paraId="62941CF3" w14:textId="77777777" w:rsidR="007C075B" w:rsidRDefault="007C075B">
            <w:r>
              <w:t>Nascent–Emerging</w:t>
            </w:r>
          </w:p>
        </w:tc>
        <w:tc>
          <w:tcPr>
            <w:tcW w:w="2570" w:type="pct"/>
          </w:tcPr>
          <w:p w14:paraId="6727859E" w14:textId="77777777" w:rsidR="007C075B" w:rsidRDefault="007C075B">
            <w:r>
              <w:t xml:space="preserve">A national DRF Strategy was </w:t>
            </w:r>
            <w:proofErr w:type="spellStart"/>
            <w:r>
              <w:t>finalised</w:t>
            </w:r>
            <w:proofErr w:type="spellEnd"/>
            <w:r>
              <w:t xml:space="preserve"> in April 2025 with IMF </w:t>
            </w:r>
            <w:proofErr w:type="gramStart"/>
            <w:r>
              <w:t>support —</w:t>
            </w:r>
            <w:proofErr w:type="gramEnd"/>
            <w:r>
              <w:t xml:space="preserve"> a significant milestone since the CPGA (2024). The strategy clarifies contingent liabilities, sets policy priorities, establishes guiding </w:t>
            </w:r>
            <w:r>
              <w:lastRenderedPageBreak/>
              <w:t xml:space="preserve">principles (sovereign duty to protect, risk stratification, </w:t>
            </w:r>
            <w:proofErr w:type="spellStart"/>
            <w:r>
              <w:t>decentralisation</w:t>
            </w:r>
            <w:proofErr w:type="spellEnd"/>
            <w:r>
              <w:t>), and proposes a menu of instruments including Cat Bonds, climate insurance, and the World Bank Cat DDO. However, the strategy is not yet backed by a binding legal framework; implementation has barely begun; financial procedures for emergencies remain lacking in transparency and timeliness; and the system is still predominantly reactive. The EPR Investment Report (2026) explicitly aligns its investment framework with a prospective Cat-DDO.</w:t>
            </w:r>
          </w:p>
        </w:tc>
      </w:tr>
      <w:tr w:rsidR="007C075B" w14:paraId="7F587ECB" w14:textId="77777777" w:rsidTr="007C075B">
        <w:tc>
          <w:tcPr>
            <w:tcW w:w="680" w:type="pct"/>
          </w:tcPr>
          <w:p w14:paraId="4EE4710C" w14:textId="77777777" w:rsidR="007C075B" w:rsidRDefault="007C075B">
            <w:r>
              <w:lastRenderedPageBreak/>
              <w:t>Contingency Fund</w:t>
            </w:r>
          </w:p>
        </w:tc>
        <w:tc>
          <w:tcPr>
            <w:tcW w:w="1069" w:type="pct"/>
          </w:tcPr>
          <w:p w14:paraId="2CD1C662" w14:textId="77777777" w:rsidR="007C075B" w:rsidRDefault="007C075B">
            <w:r>
              <w:t xml:space="preserve">Is a dedicated disaster contingency fund established and </w:t>
            </w:r>
            <w:proofErr w:type="spellStart"/>
            <w:r>
              <w:t>operationalised</w:t>
            </w:r>
            <w:proofErr w:type="spellEnd"/>
            <w:r>
              <w:t>?</w:t>
            </w:r>
          </w:p>
        </w:tc>
        <w:tc>
          <w:tcPr>
            <w:tcW w:w="681" w:type="pct"/>
          </w:tcPr>
          <w:p w14:paraId="503DCAED" w14:textId="77777777" w:rsidR="007C075B" w:rsidRDefault="007C075B">
            <w:r>
              <w:t>Nascent–Emerging</w:t>
            </w:r>
          </w:p>
        </w:tc>
        <w:tc>
          <w:tcPr>
            <w:tcW w:w="2570" w:type="pct"/>
          </w:tcPr>
          <w:p w14:paraId="6D9EC781" w14:textId="77777777" w:rsidR="007C075B" w:rsidRDefault="007C075B">
            <w:r>
              <w:t>The 2024 Civil Protection Law legally establishes a dedicated Civil Protection Fund. Budget allocations were integrated into the national budget in 2025, with the fund expected to become operational in 2026. Additionally, the government has used Special Purpose Accounts (</w:t>
            </w:r>
            <w:proofErr w:type="spellStart"/>
            <w:r>
              <w:t>Comptes</w:t>
            </w:r>
            <w:proofErr w:type="spellEnd"/>
            <w:r>
              <w:t xml:space="preserve"> </w:t>
            </w:r>
            <w:proofErr w:type="spellStart"/>
            <w:r>
              <w:t>d'affectation</w:t>
            </w:r>
            <w:proofErr w:type="spellEnd"/>
            <w:r>
              <w:t xml:space="preserve"> </w:t>
            </w:r>
            <w:proofErr w:type="spellStart"/>
            <w:r>
              <w:t>spéciale</w:t>
            </w:r>
            <w:proofErr w:type="spellEnd"/>
            <w:r>
              <w:t>): a Fund Supporting Populations Affected by Natural Disasters (created post-2012 floods, ~$3.31M in 2019); a Reconstruction Fund (2023) for the Far North, NW, and SW (~$49.6M in 2024); and FEICOM, which maintains a municipality-level emergency account replenished via 4% internal financing. The DPC has an explicit budget line of XAF 2.4 billion (~$3.9M). None of these mechanisms are yet pre-</w:t>
            </w:r>
            <w:proofErr w:type="spellStart"/>
            <w:r>
              <w:t>capitalised</w:t>
            </w:r>
            <w:proofErr w:type="spellEnd"/>
            <w:r>
              <w:t xml:space="preserve">, rules-based, or </w:t>
            </w:r>
            <w:proofErr w:type="spellStart"/>
            <w:r>
              <w:t>operationalised</w:t>
            </w:r>
            <w:proofErr w:type="spellEnd"/>
            <w:r>
              <w:t xml:space="preserve"> in a systematic way. Post-disaster financing continues to rely heavily on ad hoc presidential disbursements.</w:t>
            </w:r>
          </w:p>
        </w:tc>
      </w:tr>
      <w:tr w:rsidR="007C075B" w14:paraId="1182589E" w14:textId="77777777" w:rsidTr="007C075B">
        <w:tc>
          <w:tcPr>
            <w:tcW w:w="680" w:type="pct"/>
          </w:tcPr>
          <w:p w14:paraId="01053759" w14:textId="77777777" w:rsidR="007C075B" w:rsidRDefault="007C075B">
            <w:r>
              <w:t>Risk Transfer Instruments</w:t>
            </w:r>
          </w:p>
        </w:tc>
        <w:tc>
          <w:tcPr>
            <w:tcW w:w="1069" w:type="pct"/>
          </w:tcPr>
          <w:p w14:paraId="4028FFB7" w14:textId="77777777" w:rsidR="007C075B" w:rsidRDefault="007C075B">
            <w:r>
              <w:t>Are risk transfer mechanisms (e.g., sovereign insurance, parametric products, CAT bonds) in place?</w:t>
            </w:r>
          </w:p>
        </w:tc>
        <w:tc>
          <w:tcPr>
            <w:tcW w:w="681" w:type="pct"/>
          </w:tcPr>
          <w:p w14:paraId="5553114D" w14:textId="77777777" w:rsidR="007C075B" w:rsidRDefault="007C075B">
            <w:r>
              <w:t>Nascent–Emerging</w:t>
            </w:r>
          </w:p>
        </w:tc>
        <w:tc>
          <w:tcPr>
            <w:tcW w:w="2570" w:type="pct"/>
          </w:tcPr>
          <w:p w14:paraId="6ECB8A37" w14:textId="77777777" w:rsidR="007C075B" w:rsidRDefault="007C075B">
            <w:r>
              <w:t>Cameroon joined the African Risk Capacity (ARC) Risk Pool in October 2023 and is working, with WFP support, to take out a drought insurance policy covering vulnerable populations. The DRF Strategy (2025) proposes Cat Bonds, parametric insurance, and Cat DDO as future instruments. AXA is developing parametric micro-insurance for flood risk (not yet operational); IFC previously piloted index insurance for cotton growers. The domestic private insurance market remains very small (premiums &lt; 2% of GDP) and largely inaccessible. While sovereign risk transfer capacity is nascent, the direction of travel is clearly established.</w:t>
            </w:r>
          </w:p>
        </w:tc>
      </w:tr>
      <w:tr w:rsidR="007C075B" w14:paraId="412ECB58" w14:textId="77777777" w:rsidTr="007C075B">
        <w:tc>
          <w:tcPr>
            <w:tcW w:w="680" w:type="pct"/>
          </w:tcPr>
          <w:p w14:paraId="508E69F5" w14:textId="77777777" w:rsidR="007C075B" w:rsidRDefault="007C075B">
            <w:r>
              <w:t>Budget Tagging for DRM Expenditures</w:t>
            </w:r>
          </w:p>
        </w:tc>
        <w:tc>
          <w:tcPr>
            <w:tcW w:w="1069" w:type="pct"/>
          </w:tcPr>
          <w:p w14:paraId="0283BD91" w14:textId="77777777" w:rsidR="007C075B" w:rsidRDefault="007C075B">
            <w:r>
              <w:t>Is there a system for tracking DRM-related public expenditures in the budget?</w:t>
            </w:r>
          </w:p>
        </w:tc>
        <w:tc>
          <w:tcPr>
            <w:tcW w:w="681" w:type="pct"/>
          </w:tcPr>
          <w:p w14:paraId="4EFB6635" w14:textId="77777777" w:rsidR="007C075B" w:rsidRDefault="007C075B">
            <w:r>
              <w:t>Nascent</w:t>
            </w:r>
          </w:p>
        </w:tc>
        <w:tc>
          <w:tcPr>
            <w:tcW w:w="2570" w:type="pct"/>
          </w:tcPr>
          <w:p w14:paraId="1D8CE4B6" w14:textId="77777777" w:rsidR="007C075B" w:rsidRDefault="007C075B">
            <w:r>
              <w:t>No systematic budget tagging or tracking system for DRM-related expenditures exists. Current PFM policies lack specific protocols for post-disaster budgetary expenditures, leading to ad hoc reallocations and limited transparency. Post-disaster disbursements typically require presidential decree, causing delays and unpredictability. The EPR Investment Report (2026) proposes disaster expenditure tracking through budget tagging as a priority reform under Project 3 (DRF, Emergency Procurement, and Risk Transfer Reform Package, US$1.5M). This is identified as a Year 1 priority in the proposed Cat-DDO policy matrix.</w:t>
            </w:r>
          </w:p>
        </w:tc>
      </w:tr>
    </w:tbl>
    <w:p w14:paraId="3B3BD5C5" w14:textId="77777777" w:rsidR="003E6357" w:rsidRDefault="003E6357">
      <w:pPr>
        <w:pBdr>
          <w:bottom w:val="single" w:sz="6" w:space="0" w:color="CCCCCC"/>
        </w:pBdr>
        <w:spacing w:before="120" w:after="120"/>
      </w:pPr>
    </w:p>
    <w:p w14:paraId="0184C880" w14:textId="77777777" w:rsidR="003E6357" w:rsidRDefault="00000000">
      <w:pPr>
        <w:pStyle w:val="Heading3"/>
        <w:spacing w:before="240" w:after="120"/>
      </w:pPr>
      <w:r>
        <w:t>PILLAR 6: Resilient Reconstruction</w:t>
      </w:r>
    </w:p>
    <w:p w14:paraId="5E0C997C" w14:textId="77777777" w:rsidR="003E6357" w:rsidRDefault="00000000">
      <w:pPr>
        <w:spacing w:after="120"/>
      </w:pPr>
      <w:r>
        <w:t xml:space="preserve">Objective: Ensure post-disaster recovery and </w:t>
      </w:r>
      <w:proofErr w:type="gramStart"/>
      <w:r>
        <w:t>reconstruction</w:t>
      </w:r>
      <w:proofErr w:type="gramEnd"/>
      <w:r>
        <w:t xml:space="preserve"> rebuild resilience and prevent future risk accumulation.</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1878"/>
        <w:gridCol w:w="1268"/>
        <w:gridCol w:w="4580"/>
      </w:tblGrid>
      <w:tr w:rsidR="007C075B" w14:paraId="7A80D376" w14:textId="77777777" w:rsidTr="007C075B">
        <w:tc>
          <w:tcPr>
            <w:tcW w:w="705" w:type="pct"/>
          </w:tcPr>
          <w:p w14:paraId="246912BA" w14:textId="77777777" w:rsidR="007C075B" w:rsidRDefault="007C075B" w:rsidP="007C075B">
            <w:r>
              <w:rPr>
                <w:b/>
                <w:bCs/>
              </w:rPr>
              <w:t>DRM Sub-Pillar</w:t>
            </w:r>
          </w:p>
        </w:tc>
        <w:tc>
          <w:tcPr>
            <w:tcW w:w="1044" w:type="pct"/>
          </w:tcPr>
          <w:p w14:paraId="6E001EFE" w14:textId="77777777" w:rsidR="007C075B" w:rsidRDefault="007C075B" w:rsidP="007C075B">
            <w:r>
              <w:rPr>
                <w:b/>
                <w:bCs/>
              </w:rPr>
              <w:t>DRM Action</w:t>
            </w:r>
          </w:p>
        </w:tc>
        <w:tc>
          <w:tcPr>
            <w:tcW w:w="705" w:type="pct"/>
          </w:tcPr>
          <w:p w14:paraId="6477F873" w14:textId="4D0859C4" w:rsidR="007C075B" w:rsidRDefault="007C075B" w:rsidP="007C075B">
            <w:r>
              <w:rPr>
                <w:b/>
                <w:bCs/>
              </w:rPr>
              <w:t xml:space="preserve">Maturity </w:t>
            </w:r>
            <w:proofErr w:type="spellStart"/>
            <w:r>
              <w:rPr>
                <w:b/>
                <w:bCs/>
              </w:rPr>
              <w:t>Lervel</w:t>
            </w:r>
            <w:proofErr w:type="spellEnd"/>
          </w:p>
        </w:tc>
        <w:tc>
          <w:tcPr>
            <w:tcW w:w="2546" w:type="pct"/>
          </w:tcPr>
          <w:p w14:paraId="6983521B" w14:textId="48E1DBE5" w:rsidR="007C075B" w:rsidRDefault="007C075B" w:rsidP="007C075B">
            <w:r>
              <w:rPr>
                <w:b/>
                <w:bCs/>
              </w:rPr>
              <w:t>Comments &amp; Assessment</w:t>
            </w:r>
          </w:p>
        </w:tc>
      </w:tr>
      <w:tr w:rsidR="007C075B" w14:paraId="4A92BB86" w14:textId="77777777" w:rsidTr="007C075B">
        <w:tc>
          <w:tcPr>
            <w:tcW w:w="705" w:type="pct"/>
          </w:tcPr>
          <w:p w14:paraId="3B3D5F96" w14:textId="77777777" w:rsidR="007C075B" w:rsidRDefault="007C075B">
            <w:r>
              <w:lastRenderedPageBreak/>
              <w:t>Recovery Framework</w:t>
            </w:r>
          </w:p>
        </w:tc>
        <w:tc>
          <w:tcPr>
            <w:tcW w:w="1044" w:type="pct"/>
          </w:tcPr>
          <w:p w14:paraId="3C88D1F0" w14:textId="77777777" w:rsidR="007C075B" w:rsidRDefault="007C075B">
            <w:r>
              <w:t>Is a national recovery and reconstruction framework or policy in place?</w:t>
            </w:r>
          </w:p>
        </w:tc>
        <w:tc>
          <w:tcPr>
            <w:tcW w:w="705" w:type="pct"/>
          </w:tcPr>
          <w:p w14:paraId="31DC977C" w14:textId="77777777" w:rsidR="007C075B" w:rsidRDefault="007C075B">
            <w:r>
              <w:t>Nascent–Emerging</w:t>
            </w:r>
          </w:p>
        </w:tc>
        <w:tc>
          <w:tcPr>
            <w:tcW w:w="2546" w:type="pct"/>
          </w:tcPr>
          <w:p w14:paraId="76AC49A8" w14:textId="77777777" w:rsidR="007C075B" w:rsidRDefault="007C075B">
            <w:r>
              <w:t>The 2024 Civil Protection Law establishes institutional responsibilities for preventing, preparing for, responding to, and recovering from disasters (Articles 12 and 45), and mandates the reconstruction of public infrastructure. Crisis Committees at national, regional, and departmental levels are legally responsible for post-disaster rehabilitation coordination. The National Contingency Plan (PNC, 2017) includes rehabilitation mechanisms, though it is outdated and requires urgent revision. A Reconstruction Fund (2023) was established for the Far North, NW, and SW regions (~$49.6M, 2024), with a mandate to enhance climate resilience. The World Bank-financed PATNUC project focuses on resilience of critical communication infrastructure. In practice, however, recovery remains reactive and ad hoc, relying on Special Appropriation Accounts and presidential disbursements rather than a proactive, pre-planned recovery framework.</w:t>
            </w:r>
          </w:p>
        </w:tc>
      </w:tr>
      <w:tr w:rsidR="007C075B" w14:paraId="7B2F2691" w14:textId="77777777" w:rsidTr="007C075B">
        <w:tc>
          <w:tcPr>
            <w:tcW w:w="705" w:type="pct"/>
          </w:tcPr>
          <w:p w14:paraId="7A30E981" w14:textId="77777777" w:rsidR="007C075B" w:rsidRDefault="007C075B">
            <w:r>
              <w:t>Post-Disaster Needs Assessment (PDNA) Tools</w:t>
            </w:r>
          </w:p>
        </w:tc>
        <w:tc>
          <w:tcPr>
            <w:tcW w:w="1044" w:type="pct"/>
          </w:tcPr>
          <w:p w14:paraId="417AF44C" w14:textId="77777777" w:rsidR="007C075B" w:rsidRDefault="007C075B">
            <w:r>
              <w:t xml:space="preserve">Are there institutional capacities and </w:t>
            </w:r>
            <w:proofErr w:type="spellStart"/>
            <w:r>
              <w:t>standardised</w:t>
            </w:r>
            <w:proofErr w:type="spellEnd"/>
            <w:r>
              <w:t xml:space="preserve"> tools for conducting PDNAs?</w:t>
            </w:r>
          </w:p>
        </w:tc>
        <w:tc>
          <w:tcPr>
            <w:tcW w:w="705" w:type="pct"/>
          </w:tcPr>
          <w:p w14:paraId="46885762" w14:textId="77777777" w:rsidR="007C075B" w:rsidRDefault="007C075B">
            <w:r>
              <w:t>Nascent</w:t>
            </w:r>
          </w:p>
        </w:tc>
        <w:tc>
          <w:tcPr>
            <w:tcW w:w="2546" w:type="pct"/>
          </w:tcPr>
          <w:p w14:paraId="778D1A19" w14:textId="77777777" w:rsidR="007C075B" w:rsidRDefault="007C075B">
            <w:r>
              <w:t xml:space="preserve">Under Decree No. 98/031, Crisis Committees are legally tasked with conducting disaster and post-disaster needs assessments. In practice, the DPC conducts these assessments but is centrally based, under-resourced, and frequently overstretched, resulting in superficial analysis (EPR Diagnostic, 2026). Sectoral assessments (e.g., health via ONSP) are rarely integrated into a unified national PDNA platform. No </w:t>
            </w:r>
            <w:proofErr w:type="spellStart"/>
            <w:r>
              <w:t>standardised</w:t>
            </w:r>
            <w:proofErr w:type="spellEnd"/>
            <w:r>
              <w:t xml:space="preserve"> PDNA methodology has been formally adopted. The EPR Investment Report (2026) recommends </w:t>
            </w:r>
            <w:proofErr w:type="spellStart"/>
            <w:r>
              <w:t>standardising</w:t>
            </w:r>
            <w:proofErr w:type="spellEnd"/>
            <w:r>
              <w:t xml:space="preserve"> PDNA tools and checklists across all sectors and establishing pre-arranged partnerships with private providers for rapid delivery of reconstruction materials.</w:t>
            </w:r>
          </w:p>
        </w:tc>
      </w:tr>
      <w:tr w:rsidR="007C075B" w14:paraId="74FD7D6F" w14:textId="77777777" w:rsidTr="007C075B">
        <w:tc>
          <w:tcPr>
            <w:tcW w:w="705" w:type="pct"/>
          </w:tcPr>
          <w:p w14:paraId="5AE781AF" w14:textId="77777777" w:rsidR="007C075B" w:rsidRDefault="007C075B">
            <w:r>
              <w:t>Building Back Better (BBB) Principles</w:t>
            </w:r>
          </w:p>
        </w:tc>
        <w:tc>
          <w:tcPr>
            <w:tcW w:w="1044" w:type="pct"/>
          </w:tcPr>
          <w:p w14:paraId="7E66FDE6" w14:textId="77777777" w:rsidR="007C075B" w:rsidRDefault="007C075B">
            <w:r>
              <w:t>Are BBB principles embedded in reconstruction policy and practice?</w:t>
            </w:r>
          </w:p>
        </w:tc>
        <w:tc>
          <w:tcPr>
            <w:tcW w:w="705" w:type="pct"/>
          </w:tcPr>
          <w:p w14:paraId="0EBE0693" w14:textId="77777777" w:rsidR="007C075B" w:rsidRDefault="007C075B">
            <w:r>
              <w:t>Nascent</w:t>
            </w:r>
          </w:p>
        </w:tc>
        <w:tc>
          <w:tcPr>
            <w:tcW w:w="2546" w:type="pct"/>
          </w:tcPr>
          <w:p w14:paraId="2B0EE1E9" w14:textId="77777777" w:rsidR="007C075B" w:rsidRDefault="007C075B">
            <w:r>
              <w:t xml:space="preserve">BBB principles are not yet </w:t>
            </w:r>
            <w:proofErr w:type="spellStart"/>
            <w:r>
              <w:t>formalised</w:t>
            </w:r>
            <w:proofErr w:type="spellEnd"/>
            <w:r>
              <w:t xml:space="preserve"> as a national policy. Reconstruction in urban areas is hampered by weak enforcement of building codes, and the continued settlement of populations in high-risk zones perpetuates risk accumulation. The EPR Diagnostic (2026) recommends integrating fire-service requirements into urban planning and enforcing safe-corridor rules to prevent reconstruction in floodplains and wetlands. World Bank-financed projects embed resilience standards at the project level (urban drainage in Douala and Yaoundé, road design in the Far North, PATNUC critical infrastructure resilience), but this does not constitute a national BBB framework. The EPR Investment Report includes a National Critical Infrastructure Assurance programme (Project 2) and after-action learning (Project 12) to systematically inform future reconstruction planning.</w:t>
            </w:r>
          </w:p>
        </w:tc>
      </w:tr>
    </w:tbl>
    <w:p w14:paraId="3BC20AB4" w14:textId="77777777" w:rsidR="003E6357" w:rsidRDefault="003E6357">
      <w:pPr>
        <w:pBdr>
          <w:bottom w:val="single" w:sz="6" w:space="0" w:color="CCCCCC"/>
        </w:pBdr>
        <w:spacing w:before="120" w:after="120"/>
      </w:pPr>
    </w:p>
    <w:p w14:paraId="1E216D24" w14:textId="77777777" w:rsidR="003E6357" w:rsidRDefault="00000000">
      <w:pPr>
        <w:pStyle w:val="Heading2"/>
        <w:spacing w:before="240" w:after="120"/>
      </w:pPr>
      <w:r>
        <w:t>Summary Assessment: DRM Pillar Maturity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3E6357" w14:paraId="30D4E504" w14:textId="77777777">
        <w:tc>
          <w:tcPr>
            <w:tcW w:w="1650" w:type="pct"/>
          </w:tcPr>
          <w:p w14:paraId="0364B814" w14:textId="77777777" w:rsidR="003E6357" w:rsidRDefault="00000000">
            <w:r>
              <w:rPr>
                <w:b/>
                <w:bCs/>
              </w:rPr>
              <w:t>DRM Pillar</w:t>
            </w:r>
          </w:p>
        </w:tc>
        <w:tc>
          <w:tcPr>
            <w:tcW w:w="1650" w:type="pct"/>
          </w:tcPr>
          <w:p w14:paraId="49F67B02" w14:textId="77777777" w:rsidR="003E6357" w:rsidRDefault="00000000">
            <w:r>
              <w:rPr>
                <w:b/>
                <w:bCs/>
              </w:rPr>
              <w:t>Overall Maturity Level</w:t>
            </w:r>
          </w:p>
        </w:tc>
        <w:tc>
          <w:tcPr>
            <w:tcW w:w="1650" w:type="pct"/>
          </w:tcPr>
          <w:p w14:paraId="0FD9C7DB" w14:textId="77777777" w:rsidR="003E6357" w:rsidRDefault="00000000">
            <w:r>
              <w:rPr>
                <w:b/>
                <w:bCs/>
              </w:rPr>
              <w:t>Key Recent Developments (2024–2026)</w:t>
            </w:r>
          </w:p>
        </w:tc>
      </w:tr>
      <w:tr w:rsidR="003E6357" w14:paraId="3B54343C" w14:textId="77777777">
        <w:tc>
          <w:tcPr>
            <w:tcW w:w="1650" w:type="pct"/>
          </w:tcPr>
          <w:p w14:paraId="726296BA" w14:textId="77777777" w:rsidR="003E6357" w:rsidRDefault="00000000">
            <w:r>
              <w:t>1. Legal &amp; Institutional Framework</w:t>
            </w:r>
          </w:p>
        </w:tc>
        <w:tc>
          <w:tcPr>
            <w:tcW w:w="1650" w:type="pct"/>
          </w:tcPr>
          <w:p w14:paraId="4B3D5A53" w14:textId="77777777" w:rsidR="003E6357" w:rsidRDefault="00000000">
            <w:r>
              <w:t>Emerging</w:t>
            </w:r>
          </w:p>
        </w:tc>
        <w:tc>
          <w:tcPr>
            <w:tcW w:w="1650" w:type="pct"/>
          </w:tcPr>
          <w:p w14:paraId="0BBF0CA1" w14:textId="77777777" w:rsidR="003E6357" w:rsidRDefault="00000000">
            <w:r>
              <w:t xml:space="preserve">2024 Civil Protection Law adopted; DRF Strategy </w:t>
            </w:r>
            <w:proofErr w:type="spellStart"/>
            <w:r>
              <w:t>finalised</w:t>
            </w:r>
            <w:proofErr w:type="spellEnd"/>
            <w:r>
              <w:t xml:space="preserve"> (April 2025); implementing decrees still required</w:t>
            </w:r>
          </w:p>
        </w:tc>
      </w:tr>
      <w:tr w:rsidR="003E6357" w14:paraId="0B8BCC63" w14:textId="77777777">
        <w:tc>
          <w:tcPr>
            <w:tcW w:w="1650" w:type="pct"/>
          </w:tcPr>
          <w:p w14:paraId="2864C108" w14:textId="77777777" w:rsidR="003E6357" w:rsidRDefault="00000000">
            <w:r>
              <w:t>2. Risk Identification</w:t>
            </w:r>
          </w:p>
        </w:tc>
        <w:tc>
          <w:tcPr>
            <w:tcW w:w="1650" w:type="pct"/>
          </w:tcPr>
          <w:p w14:paraId="3C4E2493" w14:textId="77777777" w:rsidR="003E6357" w:rsidRDefault="00000000">
            <w:r>
              <w:t>Emerging</w:t>
            </w:r>
          </w:p>
        </w:tc>
        <w:tc>
          <w:tcPr>
            <w:tcW w:w="1650" w:type="pct"/>
          </w:tcPr>
          <w:p w14:paraId="1CDDFEFC" w14:textId="77777777" w:rsidR="003E6357" w:rsidRDefault="00000000">
            <w:r>
              <w:t xml:space="preserve">DMIS/CRSIS non-operational (0.00/5); EWS fragmented (1.50/5); </w:t>
            </w:r>
            <w:r>
              <w:lastRenderedPageBreak/>
              <w:t>GIS weak (1.00/5); WhatsApp UIP launched (2025)</w:t>
            </w:r>
          </w:p>
        </w:tc>
      </w:tr>
      <w:tr w:rsidR="003E6357" w14:paraId="4903813D" w14:textId="77777777">
        <w:tc>
          <w:tcPr>
            <w:tcW w:w="1650" w:type="pct"/>
          </w:tcPr>
          <w:p w14:paraId="0D2CA658" w14:textId="77777777" w:rsidR="003E6357" w:rsidRDefault="00000000">
            <w:r>
              <w:lastRenderedPageBreak/>
              <w:t>3. Risk Reduction</w:t>
            </w:r>
          </w:p>
        </w:tc>
        <w:tc>
          <w:tcPr>
            <w:tcW w:w="1650" w:type="pct"/>
          </w:tcPr>
          <w:p w14:paraId="04F6302D" w14:textId="77777777" w:rsidR="003E6357" w:rsidRDefault="00000000">
            <w:r>
              <w:t>Nascent–Emerging</w:t>
            </w:r>
          </w:p>
        </w:tc>
        <w:tc>
          <w:tcPr>
            <w:tcW w:w="1650" w:type="pct"/>
          </w:tcPr>
          <w:p w14:paraId="73A2D648" w14:textId="77777777" w:rsidR="003E6357" w:rsidRDefault="00000000">
            <w:r>
              <w:t xml:space="preserve">Only 1.5% of budget for DRR; urban planning enforcement weak; National Water Policy (2025); FSCPP being </w:t>
            </w:r>
            <w:proofErr w:type="spellStart"/>
            <w:r>
              <w:t>finalised</w:t>
            </w:r>
            <w:proofErr w:type="spellEnd"/>
          </w:p>
        </w:tc>
      </w:tr>
      <w:tr w:rsidR="003E6357" w14:paraId="0BE3B9C2" w14:textId="77777777">
        <w:tc>
          <w:tcPr>
            <w:tcW w:w="1650" w:type="pct"/>
          </w:tcPr>
          <w:p w14:paraId="2681EF62" w14:textId="77777777" w:rsidR="003E6357" w:rsidRDefault="00000000">
            <w:r>
              <w:t>4. Emergency Preparedness</w:t>
            </w:r>
          </w:p>
        </w:tc>
        <w:tc>
          <w:tcPr>
            <w:tcW w:w="1650" w:type="pct"/>
          </w:tcPr>
          <w:p w14:paraId="61C93D7E" w14:textId="77777777" w:rsidR="003E6357" w:rsidRDefault="00000000">
            <w:r>
              <w:t>Emerging</w:t>
            </w:r>
          </w:p>
        </w:tc>
        <w:tc>
          <w:tcPr>
            <w:tcW w:w="1650" w:type="pct"/>
          </w:tcPr>
          <w:p w14:paraId="00490223" w14:textId="77777777" w:rsidR="003E6357" w:rsidRDefault="00000000">
            <w:r>
              <w:t>PNC (2017) urgently needs revision; shelters at 0.00/5; ASP scaling demonstrated but structurally limited</w:t>
            </w:r>
          </w:p>
        </w:tc>
      </w:tr>
      <w:tr w:rsidR="003E6357" w14:paraId="7CD9694E" w14:textId="77777777">
        <w:tc>
          <w:tcPr>
            <w:tcW w:w="1650" w:type="pct"/>
          </w:tcPr>
          <w:p w14:paraId="3A59EE11" w14:textId="77777777" w:rsidR="003E6357" w:rsidRDefault="00000000">
            <w:r>
              <w:t>5. Financial Protection</w:t>
            </w:r>
          </w:p>
        </w:tc>
        <w:tc>
          <w:tcPr>
            <w:tcW w:w="1650" w:type="pct"/>
          </w:tcPr>
          <w:p w14:paraId="270ED8EF" w14:textId="77777777" w:rsidR="003E6357" w:rsidRDefault="00000000">
            <w:r>
              <w:t>Nascent–Emerging</w:t>
            </w:r>
          </w:p>
        </w:tc>
        <w:tc>
          <w:tcPr>
            <w:tcW w:w="1650" w:type="pct"/>
          </w:tcPr>
          <w:p w14:paraId="7FA52069" w14:textId="77777777" w:rsidR="003E6357" w:rsidRDefault="00000000">
            <w:r>
              <w:t>DRF Strategy (April 2025); Civil Protection Fund legally established (2024); ARC membership (Oct 2023); budget tagging absent</w:t>
            </w:r>
          </w:p>
        </w:tc>
      </w:tr>
      <w:tr w:rsidR="003E6357" w14:paraId="7A88773B" w14:textId="77777777">
        <w:tc>
          <w:tcPr>
            <w:tcW w:w="1650" w:type="pct"/>
          </w:tcPr>
          <w:p w14:paraId="3BA9DDA2" w14:textId="77777777" w:rsidR="003E6357" w:rsidRDefault="00000000">
            <w:r>
              <w:t>6. Resilient Reconstruction</w:t>
            </w:r>
          </w:p>
        </w:tc>
        <w:tc>
          <w:tcPr>
            <w:tcW w:w="1650" w:type="pct"/>
          </w:tcPr>
          <w:p w14:paraId="7EA852E9" w14:textId="77777777" w:rsidR="003E6357" w:rsidRDefault="00000000">
            <w:r>
              <w:t>Nascent–Emerging</w:t>
            </w:r>
          </w:p>
        </w:tc>
        <w:tc>
          <w:tcPr>
            <w:tcW w:w="1650" w:type="pct"/>
          </w:tcPr>
          <w:p w14:paraId="1A81A44A" w14:textId="77777777" w:rsidR="003E6357" w:rsidRDefault="00000000">
            <w:r>
              <w:t>2024 Law includes recovery mandate; Reconstruction Fund (2023); PDNA capacity weak; no national BBB policy</w:t>
            </w:r>
          </w:p>
        </w:tc>
      </w:tr>
    </w:tbl>
    <w:p w14:paraId="60531628" w14:textId="77777777" w:rsidR="003E6357" w:rsidRDefault="003E6357">
      <w:pPr>
        <w:pBdr>
          <w:bottom w:val="single" w:sz="6" w:space="0" w:color="CCCCCC"/>
        </w:pBdr>
        <w:spacing w:before="120" w:after="120"/>
      </w:pPr>
    </w:p>
    <w:p w14:paraId="6E85E2F5" w14:textId="77777777" w:rsidR="003E6357" w:rsidRDefault="00000000">
      <w:pPr>
        <w:pStyle w:val="Heading2"/>
        <w:spacing w:before="240" w:after="120"/>
      </w:pPr>
      <w:r>
        <w:t>Narrative Summary Assessment</w:t>
      </w:r>
    </w:p>
    <w:p w14:paraId="2160B676" w14:textId="77777777" w:rsidR="003E6357" w:rsidRDefault="00000000">
      <w:pPr>
        <w:pStyle w:val="Heading3"/>
        <w:spacing w:before="240" w:after="120"/>
      </w:pPr>
      <w:r>
        <w:t>Context</w:t>
      </w:r>
    </w:p>
    <w:p w14:paraId="16447E3F" w14:textId="77777777" w:rsidR="003E6357" w:rsidRDefault="00000000">
      <w:pPr>
        <w:spacing w:after="120"/>
      </w:pPr>
      <w:r>
        <w:t xml:space="preserve">Cameroon faces a broad and severe range of natural hazards — including river and urban flooding, landslides, volcanic activity, extreme heat, wildfire, and coastal flooding — compounded by rapid and unplanned </w:t>
      </w:r>
      <w:proofErr w:type="spellStart"/>
      <w:r>
        <w:t>urbanisation</w:t>
      </w:r>
      <w:proofErr w:type="spellEnd"/>
      <w:r>
        <w:t xml:space="preserve">, high poverty (particularly in rural and northern regions), active FCV dynamics (Far North, Anglophone crisis), and over 2.1 million forcibly displaced persons. The country's DRM system </w:t>
      </w:r>
      <w:proofErr w:type="gramStart"/>
      <w:r>
        <w:t>has experienced</w:t>
      </w:r>
      <w:proofErr w:type="gramEnd"/>
      <w:r>
        <w:t xml:space="preserve"> meaningful reform momentum between 2023 and 2026 — most notably the adoption of the 2024 Civil Protection Law and the </w:t>
      </w:r>
      <w:proofErr w:type="spellStart"/>
      <w:r>
        <w:t>finalisation</w:t>
      </w:r>
      <w:proofErr w:type="spellEnd"/>
      <w:r>
        <w:t xml:space="preserve"> of a national DRF Strategy in April 2025. However, the EPR Ready2Respond Diagnostic (February 2026) assigned Cameroon a score of 90 out of 360, and maturity levels remain in the Nascent to Emerging range across all six pillars. The gap between legal frameworks on paper and operational reality in the field is the defining challenge.</w:t>
      </w:r>
    </w:p>
    <w:p w14:paraId="5CAC0543" w14:textId="77777777" w:rsidR="003E6357" w:rsidRDefault="003E6357">
      <w:pPr>
        <w:pBdr>
          <w:bottom w:val="single" w:sz="6" w:space="0" w:color="CCCCCC"/>
        </w:pBdr>
        <w:spacing w:before="120" w:after="120"/>
      </w:pPr>
    </w:p>
    <w:p w14:paraId="4E52B507" w14:textId="77777777" w:rsidR="003E6357" w:rsidRDefault="00000000">
      <w:pPr>
        <w:pStyle w:val="Heading3"/>
        <w:spacing w:before="240" w:after="120"/>
      </w:pPr>
      <w:r>
        <w:t>Key Strengths</w:t>
      </w:r>
    </w:p>
    <w:p w14:paraId="55F7B7A4" w14:textId="77777777" w:rsidR="003E6357" w:rsidRDefault="00000000">
      <w:pPr>
        <w:spacing w:after="120"/>
      </w:pPr>
      <w:r>
        <w:t xml:space="preserve">The most significant recent development is the 2024 Civil Protection Law (Law No. 2024/015), which provides the most comprehensive DRM legal foundation in the country's history, establishing a Civil Protection Fund (expected operational in 2026) and </w:t>
      </w:r>
      <w:proofErr w:type="spellStart"/>
      <w:r>
        <w:t>modernising</w:t>
      </w:r>
      <w:proofErr w:type="spellEnd"/>
      <w:r>
        <w:t xml:space="preserve"> the institutional architecture. Equally important is the DRF Strategy </w:t>
      </w:r>
      <w:proofErr w:type="spellStart"/>
      <w:r>
        <w:t>finalised</w:t>
      </w:r>
      <w:proofErr w:type="spellEnd"/>
      <w:r>
        <w:t xml:space="preserve"> in April 2025 with IMF support — the first systematic effort to assess contingent liabilities and establish a risk-layered financing approach. Cameroon's accession to the African Risk Capacity (ARC) Risk Pool (October 2023) marks a concrete entry point into sovereign risk transfer. These three developments represent a significant improvement in Financial Protection maturity relative to the CPGA (2024) assessment.</w:t>
      </w:r>
    </w:p>
    <w:p w14:paraId="1B4CF036" w14:textId="77777777" w:rsidR="003E6357" w:rsidRDefault="00000000">
      <w:pPr>
        <w:spacing w:after="120"/>
      </w:pPr>
      <w:r>
        <w:t>In Emergency Preparedness, the ASNEIP project's activation of emergency cash transfers to over 100,000 flood-affected households (2024–2025) demonstrates a tangible shock-responsive capacity that can serve as a foundation for broader Adaptive Social Protection. The Public Health Emergency Operations Centre (PHEOC) is highlighted in the EPR Diagnostic as a high-performing sectoral coordination body operating 24/7, representing a model of sectoral preparedness that could be replicated. The 2025 WhatsApp-based User Interface Platform (UIP) for early warnings is a positive low-cost innovation for reaching communities.</w:t>
      </w:r>
    </w:p>
    <w:p w14:paraId="71A81517" w14:textId="77777777" w:rsidR="003E6357" w:rsidRDefault="00000000">
      <w:pPr>
        <w:spacing w:after="120"/>
      </w:pPr>
      <w:r>
        <w:t>The existence of multiple risk observatories (ONR, ONACC, ONSP, IRGM, DMN) provides an institutional foundation for data-driven risk management, and a clear investment pipeline has been identified through the EPR process — covering 16 projects at a total estimated cost of US$63.8 million — providing a concrete roadmap for reform.</w:t>
      </w:r>
    </w:p>
    <w:p w14:paraId="583E0C83" w14:textId="77777777" w:rsidR="003E6357" w:rsidRDefault="003E6357">
      <w:pPr>
        <w:pBdr>
          <w:bottom w:val="single" w:sz="6" w:space="0" w:color="CCCCCC"/>
        </w:pBdr>
        <w:spacing w:before="120" w:after="120"/>
      </w:pPr>
    </w:p>
    <w:p w14:paraId="5F72F2DA" w14:textId="77777777" w:rsidR="003E6357" w:rsidRDefault="00000000">
      <w:pPr>
        <w:pStyle w:val="Heading3"/>
        <w:spacing w:before="240" w:after="120"/>
      </w:pPr>
      <w:r>
        <w:t>Key Gaps and Priority Areas</w:t>
      </w:r>
    </w:p>
    <w:p w14:paraId="7277E1CA" w14:textId="77777777" w:rsidR="00285878" w:rsidRDefault="00285878" w:rsidP="00285878">
      <w:pPr>
        <w:spacing w:after="120"/>
      </w:pPr>
      <w:r>
        <w:lastRenderedPageBreak/>
        <w:t xml:space="preserve">Legal and Institutional Framework progress is real but incomplete. The 2024 Law requires implementing decrees; the DPC lacks convening power over other line ministries; the National Contingency Plan is outdated; and subnational authorities — who are the first responders in practice — remain severely under-resourced. Strengthening the DPC's authority, developing a national SOP suite, and fully </w:t>
      </w:r>
      <w:proofErr w:type="spellStart"/>
      <w:r>
        <w:t>operationalising</w:t>
      </w:r>
      <w:proofErr w:type="spellEnd"/>
      <w:r>
        <w:t xml:space="preserve"> the NEOC are critical institutional reforms aligned with the EPR investment framework.</w:t>
      </w:r>
    </w:p>
    <w:p w14:paraId="3F310972" w14:textId="77777777" w:rsidR="00285878" w:rsidRDefault="00285878" w:rsidP="00285878">
      <w:pPr>
        <w:spacing w:after="120"/>
      </w:pPr>
      <w:r>
        <w:t xml:space="preserve">Risk Identification and Information Management remain fragmented and lack a coherent backbone. </w:t>
      </w:r>
      <w:proofErr w:type="gramStart"/>
      <w:r>
        <w:t>The DMIS</w:t>
      </w:r>
      <w:proofErr w:type="gramEnd"/>
      <w:r>
        <w:t xml:space="preserve">/CRSIS has not been </w:t>
      </w:r>
      <w:proofErr w:type="spellStart"/>
      <w:r>
        <w:t>operationalised</w:t>
      </w:r>
      <w:proofErr w:type="spellEnd"/>
      <w:r>
        <w:t xml:space="preserve"> (0.00/5), two-thirds of the country lacks basic geomatic data, and observatories operate in silos with incompatible systems. Establishing a national DMIS and GIS framework (EPR Projects 5 and 7) are foundational enablers for the entire DRM system.</w:t>
      </w:r>
    </w:p>
    <w:p w14:paraId="5A7BCC19" w14:textId="77777777" w:rsidR="00F92B64" w:rsidRDefault="00F92B64" w:rsidP="00F92B64">
      <w:pPr>
        <w:spacing w:after="120"/>
      </w:pPr>
      <w:r>
        <w:t>Risk Reduction and Urban Planning remain a structural vulnerability. Cameroon is actively accumulating new risk through unplanned urban expansion into hazard zones, with weak enforcement of existing zoning legislation. Only 1.5% of the national budget has been allocated to DRR, and no legal requirement exists to screen public investments for disaster risk. Mainstreaming DRM into the public investment cycle and enforcing the Urban Planning Code will require both regulatory action and significant capacity building at the municipal level.</w:t>
      </w:r>
    </w:p>
    <w:p w14:paraId="57DB794C" w14:textId="77777777" w:rsidR="003E6357" w:rsidRDefault="00000000">
      <w:pPr>
        <w:spacing w:after="120"/>
      </w:pPr>
      <w:r>
        <w:t xml:space="preserve">Emergency Preparedness — Shelters and Contingency Planning represent the most acute operational gap. Shelters scored 0.00/5 in the EPR Diagnostic, and only 15 community-level response plans exist nationally — a critical deficit for a country of Cameroon's size and hazard exposure. The National Contingency Plan (2017) is severely outdated. </w:t>
      </w:r>
      <w:proofErr w:type="spellStart"/>
      <w:r>
        <w:t>Operationalising</w:t>
      </w:r>
      <w:proofErr w:type="spellEnd"/>
      <w:r>
        <w:t xml:space="preserve"> a national shelter and evacuation programme (EPR Project 14, US$8M) and systematically updating ORSEC plans at all administrative levels are immediate priorities.</w:t>
      </w:r>
    </w:p>
    <w:p w14:paraId="5A7E0AF6" w14:textId="77777777" w:rsidR="003E6357" w:rsidRDefault="00000000">
      <w:pPr>
        <w:spacing w:after="120"/>
      </w:pPr>
      <w:r>
        <w:t xml:space="preserve">Financial Protection, while showing the most notable momentum since the CPGA, remains structurally nascent in implementation. The financing gap for a 1-in-100-year event exceeds $650 million, and the system continues to rely on presidential disbursements and donor aid. </w:t>
      </w:r>
      <w:proofErr w:type="spellStart"/>
      <w:r>
        <w:t>Operationalising</w:t>
      </w:r>
      <w:proofErr w:type="spellEnd"/>
      <w:r>
        <w:t xml:space="preserve"> the Civil Protection Fund, establishing emergency procurement rules, implementing budget tagging, and pursuing a Cat-DDO are the defining next steps. Notably, financial preparedness was the weakest pillar in the CPGA, scored at 0.2 (Unmet).</w:t>
      </w:r>
    </w:p>
    <w:p w14:paraId="5196EEAB" w14:textId="77777777" w:rsidR="00F92B64" w:rsidRDefault="00F92B64">
      <w:pPr>
        <w:spacing w:after="120"/>
      </w:pPr>
    </w:p>
    <w:sectPr w:rsidR="00F92B64">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3E7F" w14:textId="77777777" w:rsidR="001C3AED" w:rsidRDefault="001C3AED" w:rsidP="007C075B">
      <w:r>
        <w:separator/>
      </w:r>
    </w:p>
  </w:endnote>
  <w:endnote w:type="continuationSeparator" w:id="0">
    <w:p w14:paraId="3AED97C4" w14:textId="77777777" w:rsidR="001C3AED" w:rsidRDefault="001C3AED" w:rsidP="007C0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4393" w14:textId="75A6A207" w:rsidR="007C075B" w:rsidRDefault="007C075B">
    <w:pPr>
      <w:pStyle w:val="Footer"/>
    </w:pPr>
    <w:r>
      <w:rPr>
        <w:noProof/>
      </w:rPr>
      <mc:AlternateContent>
        <mc:Choice Requires="wps">
          <w:drawing>
            <wp:anchor distT="0" distB="0" distL="0" distR="0" simplePos="0" relativeHeight="251659264" behindDoc="0" locked="0" layoutInCell="1" allowOverlap="1" wp14:anchorId="14A2EE51" wp14:editId="7D63E7BB">
              <wp:simplePos x="635" y="635"/>
              <wp:positionH relativeFrom="page">
                <wp:align>right</wp:align>
              </wp:positionH>
              <wp:positionV relativeFrom="page">
                <wp:align>bottom</wp:align>
              </wp:positionV>
              <wp:extent cx="1172210" cy="345440"/>
              <wp:effectExtent l="0" t="0" r="0" b="0"/>
              <wp:wrapNone/>
              <wp:docPr id="88979529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22999CF" w14:textId="40FE81E6"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4A2EE51"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fill o:detectmouseclick="t"/>
              <v:textbox style="mso-fit-shape-to-text:t" inset="0,0,20pt,15pt">
                <w:txbxContent>
                  <w:p w14:paraId="722999CF" w14:textId="40FE81E6"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C926" w14:textId="1F346DBE" w:rsidR="007C075B" w:rsidRDefault="007C075B">
    <w:pPr>
      <w:pStyle w:val="Footer"/>
    </w:pPr>
    <w:r>
      <w:rPr>
        <w:noProof/>
      </w:rPr>
      <mc:AlternateContent>
        <mc:Choice Requires="wps">
          <w:drawing>
            <wp:anchor distT="0" distB="0" distL="0" distR="0" simplePos="0" relativeHeight="251660288" behindDoc="0" locked="0" layoutInCell="1" allowOverlap="1" wp14:anchorId="3962C533" wp14:editId="65AD9246">
              <wp:simplePos x="914400" y="10096500"/>
              <wp:positionH relativeFrom="page">
                <wp:align>right</wp:align>
              </wp:positionH>
              <wp:positionV relativeFrom="page">
                <wp:align>bottom</wp:align>
              </wp:positionV>
              <wp:extent cx="1172210" cy="345440"/>
              <wp:effectExtent l="0" t="0" r="0" b="0"/>
              <wp:wrapNone/>
              <wp:docPr id="140328236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5AB5D64A" w14:textId="0CEAAEBA"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62C533"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fill o:detectmouseclick="t"/>
              <v:textbox style="mso-fit-shape-to-text:t" inset="0,0,20pt,15pt">
                <w:txbxContent>
                  <w:p w14:paraId="5AB5D64A" w14:textId="0CEAAEBA"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805F" w14:textId="22BEE18A" w:rsidR="007C075B" w:rsidRDefault="007C075B">
    <w:pPr>
      <w:pStyle w:val="Footer"/>
    </w:pPr>
    <w:r>
      <w:rPr>
        <w:noProof/>
      </w:rPr>
      <mc:AlternateContent>
        <mc:Choice Requires="wps">
          <w:drawing>
            <wp:anchor distT="0" distB="0" distL="0" distR="0" simplePos="0" relativeHeight="251658240" behindDoc="0" locked="0" layoutInCell="1" allowOverlap="1" wp14:anchorId="0FDF3790" wp14:editId="576A5624">
              <wp:simplePos x="635" y="635"/>
              <wp:positionH relativeFrom="page">
                <wp:align>right</wp:align>
              </wp:positionH>
              <wp:positionV relativeFrom="page">
                <wp:align>bottom</wp:align>
              </wp:positionV>
              <wp:extent cx="1172210" cy="345440"/>
              <wp:effectExtent l="0" t="0" r="0" b="0"/>
              <wp:wrapNone/>
              <wp:docPr id="159064057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4A4B082B" w14:textId="3B854166"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DF3790"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fill o:detectmouseclick="t"/>
              <v:textbox style="mso-fit-shape-to-text:t" inset="0,0,20pt,15pt">
                <w:txbxContent>
                  <w:p w14:paraId="4A4B082B" w14:textId="3B854166" w:rsidR="007C075B" w:rsidRPr="007C075B" w:rsidRDefault="007C075B" w:rsidP="007C075B">
                    <w:pPr>
                      <w:rPr>
                        <w:rFonts w:ascii="Aptos" w:eastAsia="Aptos" w:hAnsi="Aptos" w:cs="Aptos"/>
                        <w:noProof/>
                        <w:color w:val="000000"/>
                      </w:rPr>
                    </w:pPr>
                    <w:r w:rsidRPr="007C075B">
                      <w:rPr>
                        <w:rFonts w:ascii="Aptos" w:eastAsia="Aptos" w:hAnsi="Aptos" w:cs="Aptos"/>
                        <w:noProof/>
                        <w:color w:val="00000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A4CE" w14:textId="77777777" w:rsidR="001C3AED" w:rsidRDefault="001C3AED" w:rsidP="007C075B">
      <w:r>
        <w:separator/>
      </w:r>
    </w:p>
  </w:footnote>
  <w:footnote w:type="continuationSeparator" w:id="0">
    <w:p w14:paraId="71C60794" w14:textId="77777777" w:rsidR="001C3AED" w:rsidRDefault="001C3AED" w:rsidP="007C0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463BA"/>
    <w:multiLevelType w:val="hybridMultilevel"/>
    <w:tmpl w:val="3B104262"/>
    <w:lvl w:ilvl="0" w:tplc="025AB132">
      <w:start w:val="1"/>
      <w:numFmt w:val="bullet"/>
      <w:lvlText w:val="●"/>
      <w:lvlJc w:val="left"/>
      <w:pPr>
        <w:ind w:left="720" w:hanging="360"/>
      </w:pPr>
    </w:lvl>
    <w:lvl w:ilvl="1" w:tplc="50A8C880">
      <w:start w:val="1"/>
      <w:numFmt w:val="bullet"/>
      <w:lvlText w:val="○"/>
      <w:lvlJc w:val="left"/>
      <w:pPr>
        <w:ind w:left="1440" w:hanging="360"/>
      </w:pPr>
    </w:lvl>
    <w:lvl w:ilvl="2" w:tplc="8CEEF806">
      <w:start w:val="1"/>
      <w:numFmt w:val="bullet"/>
      <w:lvlText w:val="■"/>
      <w:lvlJc w:val="left"/>
      <w:pPr>
        <w:ind w:left="2160" w:hanging="360"/>
      </w:pPr>
    </w:lvl>
    <w:lvl w:ilvl="3" w:tplc="B6C89004">
      <w:start w:val="1"/>
      <w:numFmt w:val="bullet"/>
      <w:lvlText w:val="●"/>
      <w:lvlJc w:val="left"/>
      <w:pPr>
        <w:ind w:left="2880" w:hanging="360"/>
      </w:pPr>
    </w:lvl>
    <w:lvl w:ilvl="4" w:tplc="8EB686B8">
      <w:start w:val="1"/>
      <w:numFmt w:val="bullet"/>
      <w:lvlText w:val="○"/>
      <w:lvlJc w:val="left"/>
      <w:pPr>
        <w:ind w:left="3600" w:hanging="360"/>
      </w:pPr>
    </w:lvl>
    <w:lvl w:ilvl="5" w:tplc="A9406736">
      <w:start w:val="1"/>
      <w:numFmt w:val="bullet"/>
      <w:lvlText w:val="■"/>
      <w:lvlJc w:val="left"/>
      <w:pPr>
        <w:ind w:left="4320" w:hanging="360"/>
      </w:pPr>
    </w:lvl>
    <w:lvl w:ilvl="6" w:tplc="E7E26FC8">
      <w:start w:val="1"/>
      <w:numFmt w:val="bullet"/>
      <w:lvlText w:val="●"/>
      <w:lvlJc w:val="left"/>
      <w:pPr>
        <w:ind w:left="5040" w:hanging="360"/>
      </w:pPr>
    </w:lvl>
    <w:lvl w:ilvl="7" w:tplc="C49E78AA">
      <w:start w:val="1"/>
      <w:numFmt w:val="bullet"/>
      <w:lvlText w:val="●"/>
      <w:lvlJc w:val="left"/>
      <w:pPr>
        <w:ind w:left="5760" w:hanging="360"/>
      </w:pPr>
    </w:lvl>
    <w:lvl w:ilvl="8" w:tplc="7696ED2C">
      <w:start w:val="1"/>
      <w:numFmt w:val="bullet"/>
      <w:lvlText w:val="●"/>
      <w:lvlJc w:val="left"/>
      <w:pPr>
        <w:ind w:left="6480" w:hanging="360"/>
      </w:pPr>
    </w:lvl>
  </w:abstractNum>
  <w:abstractNum w:abstractNumId="1" w15:restartNumberingAfterBreak="0">
    <w:nsid w:val="775417ED"/>
    <w:multiLevelType w:val="hybridMultilevel"/>
    <w:tmpl w:val="1BCA7E66"/>
    <w:lvl w:ilvl="0" w:tplc="6E7AC674">
      <w:start w:val="1"/>
      <w:numFmt w:val="bullet"/>
      <w:lvlText w:val="●"/>
      <w:lvlJc w:val="left"/>
      <w:pPr>
        <w:ind w:left="720" w:hanging="360"/>
      </w:pPr>
    </w:lvl>
    <w:lvl w:ilvl="1" w:tplc="0AD4A14A">
      <w:start w:val="1"/>
      <w:numFmt w:val="bullet"/>
      <w:lvlText w:val="○"/>
      <w:lvlJc w:val="left"/>
      <w:pPr>
        <w:ind w:left="1440" w:hanging="360"/>
      </w:pPr>
    </w:lvl>
    <w:lvl w:ilvl="2" w:tplc="2264DE52">
      <w:start w:val="1"/>
      <w:numFmt w:val="bullet"/>
      <w:lvlText w:val="■"/>
      <w:lvlJc w:val="left"/>
      <w:pPr>
        <w:ind w:left="2160" w:hanging="360"/>
      </w:pPr>
    </w:lvl>
    <w:lvl w:ilvl="3" w:tplc="A50E7948">
      <w:start w:val="1"/>
      <w:numFmt w:val="bullet"/>
      <w:lvlText w:val="●"/>
      <w:lvlJc w:val="left"/>
      <w:pPr>
        <w:ind w:left="2880" w:hanging="360"/>
      </w:pPr>
    </w:lvl>
    <w:lvl w:ilvl="4" w:tplc="593605BA">
      <w:start w:val="1"/>
      <w:numFmt w:val="bullet"/>
      <w:lvlText w:val="○"/>
      <w:lvlJc w:val="left"/>
      <w:pPr>
        <w:ind w:left="3600" w:hanging="360"/>
      </w:pPr>
    </w:lvl>
    <w:lvl w:ilvl="5" w:tplc="F0601DD0">
      <w:start w:val="1"/>
      <w:numFmt w:val="bullet"/>
      <w:lvlText w:val="■"/>
      <w:lvlJc w:val="left"/>
      <w:pPr>
        <w:ind w:left="4320" w:hanging="360"/>
      </w:pPr>
    </w:lvl>
    <w:lvl w:ilvl="6" w:tplc="2F30A6E2">
      <w:start w:val="1"/>
      <w:numFmt w:val="bullet"/>
      <w:lvlText w:val="●"/>
      <w:lvlJc w:val="left"/>
      <w:pPr>
        <w:ind w:left="5040" w:hanging="360"/>
      </w:pPr>
    </w:lvl>
    <w:lvl w:ilvl="7" w:tplc="BB38C1E6">
      <w:start w:val="1"/>
      <w:numFmt w:val="bullet"/>
      <w:lvlText w:val="●"/>
      <w:lvlJc w:val="left"/>
      <w:pPr>
        <w:ind w:left="5760" w:hanging="360"/>
      </w:pPr>
    </w:lvl>
    <w:lvl w:ilvl="8" w:tplc="32649E90">
      <w:start w:val="1"/>
      <w:numFmt w:val="bullet"/>
      <w:lvlText w:val="●"/>
      <w:lvlJc w:val="left"/>
      <w:pPr>
        <w:ind w:left="6480" w:hanging="360"/>
      </w:pPr>
    </w:lvl>
  </w:abstractNum>
  <w:num w:numId="1" w16cid:durableId="1326786896">
    <w:abstractNumId w:val="1"/>
    <w:lvlOverride w:ilvl="0">
      <w:startOverride w:val="1"/>
    </w:lvlOverride>
  </w:num>
  <w:num w:numId="2" w16cid:durableId="1576351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357"/>
    <w:rsid w:val="001227B2"/>
    <w:rsid w:val="001C3AED"/>
    <w:rsid w:val="00285878"/>
    <w:rsid w:val="003E6357"/>
    <w:rsid w:val="00465D3F"/>
    <w:rsid w:val="007C075B"/>
    <w:rsid w:val="00BA582D"/>
    <w:rsid w:val="00EA77C2"/>
    <w:rsid w:val="00F92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D9BE"/>
  <w15:docId w15:val="{6B321A19-F226-47C2-BD5D-1FA0E830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7C075B"/>
    <w:pPr>
      <w:tabs>
        <w:tab w:val="center" w:pos="4680"/>
        <w:tab w:val="right" w:pos="9360"/>
      </w:tabs>
    </w:pPr>
  </w:style>
  <w:style w:type="character" w:customStyle="1" w:styleId="FooterChar">
    <w:name w:val="Footer Char"/>
    <w:basedOn w:val="DefaultParagraphFont"/>
    <w:link w:val="Footer"/>
    <w:uiPriority w:val="99"/>
    <w:rsid w:val="007C0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3827</Words>
  <Characters>24411</Characters>
  <Application>Microsoft Office Word</Application>
  <DocSecurity>0</DocSecurity>
  <Lines>674</Lines>
  <Paragraphs>157</Paragraphs>
  <ScaleCrop>false</ScaleCrop>
  <Company>WBG</Company>
  <LinksUpToDate>false</LinksUpToDate>
  <CharactersWithSpaces>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Corroyer</cp:lastModifiedBy>
  <cp:revision>5</cp:revision>
  <dcterms:created xsi:type="dcterms:W3CDTF">2026-03-24T18:29:00Z</dcterms:created>
  <dcterms:modified xsi:type="dcterms:W3CDTF">2026-05-28T17:08:00Z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5ecf3fc2,350932dc,53a463c0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2026-03-24T18:29:00Z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28da21b8-2d61-4556-a182-d14f49f92935</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