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9398F">
      <w:pPr>
        <w:pStyle w:val="2"/>
      </w:pPr>
      <w:r>
        <w:t>算法组技术报告素材</w:t>
      </w:r>
    </w:p>
    <w:p w14:paraId="7D905C13">
      <w:pPr>
        <w:pStyle w:val="3"/>
      </w:pPr>
      <w:r>
        <w:t>一、数据说明</w:t>
      </w:r>
    </w:p>
    <w:p w14:paraId="46F3A3A1">
      <w:pPr>
        <w:pStyle w:val="4"/>
      </w:pPr>
      <w:r>
        <w:t>1.1 数据来源</w:t>
      </w:r>
    </w:p>
    <w:p w14:paraId="445C9331">
      <w:r>
        <w:t>本研究所用数据来源于GitHub公开的钢铁行业能耗数据集（steel-industry-energy-consumption-dataset），该数据集采集自某钢铁联合企业的实际生产过程，包含用电负荷、功率因数、碳排放、负荷类型等关键生产参数。数据集具有以下特征：</w:t>
      </w:r>
    </w:p>
    <w:tbl>
      <w:tblPr>
        <w:tblW w:w="8304" w:type="dxa"/>
        <w:tblInd w:w="-1"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859"/>
        <w:gridCol w:w="7445"/>
      </w:tblGrid>
      <w:tr w14:paraId="6C6523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56AF1F">
            <w:pPr>
              <w:snapToGrid w:val="0"/>
              <w:jc w:val="center"/>
              <w:rPr>
                <w:b/>
              </w:rPr>
            </w:pPr>
            <w:r>
              <w:rPr>
                <w:b/>
              </w:rPr>
              <w:t>项目</w:t>
            </w:r>
          </w:p>
        </w:tc>
        <w:tc>
          <w:tcPr>
            <w:tcW w:w="7445" w:type="dxa"/>
            <w:tcBorders>
              <w:top w:val="single" w:color="auto" w:sz="12" w:space="0"/>
              <w:left w:val="nil"/>
              <w:bottom w:val="nil"/>
              <w:right w:val="nil"/>
            </w:tcBorders>
            <w:noWrap w:val="0"/>
            <w:tcMar>
              <w:top w:w="-1" w:type="dxa"/>
              <w:left w:w="-1" w:type="dxa"/>
              <w:bottom w:w="-1" w:type="dxa"/>
              <w:right w:w="-1" w:type="dxa"/>
            </w:tcMar>
            <w:vAlign w:val="center"/>
          </w:tcPr>
          <w:p w14:paraId="1409A81D">
            <w:pPr>
              <w:snapToGrid w:val="0"/>
              <w:jc w:val="center"/>
              <w:rPr>
                <w:b/>
              </w:rPr>
            </w:pPr>
            <w:r>
              <w:rPr>
                <w:b/>
              </w:rPr>
              <w:t>说明</w:t>
            </w:r>
          </w:p>
        </w:tc>
      </w:tr>
      <w:tr w14:paraId="10301E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31EEE1">
            <w:pPr>
              <w:snapToGrid w:val="0"/>
            </w:pPr>
            <w:r>
              <w:t>数据来源</w:t>
            </w:r>
          </w:p>
        </w:tc>
        <w:tc>
          <w:tcPr>
            <w:tcW w:w="7445" w:type="dxa"/>
            <w:tcBorders>
              <w:top w:val="single" w:color="auto" w:sz="4" w:space="0"/>
              <w:left w:val="nil"/>
              <w:bottom w:val="nil"/>
              <w:right w:val="nil"/>
            </w:tcBorders>
            <w:noWrap w:val="0"/>
            <w:tcMar>
              <w:top w:w="-1" w:type="dxa"/>
              <w:left w:w="-1" w:type="dxa"/>
              <w:bottom w:w="-1" w:type="dxa"/>
              <w:right w:w="-1" w:type="dxa"/>
            </w:tcMar>
            <w:vAlign w:val="center"/>
          </w:tcPr>
          <w:p w14:paraId="22569FB4">
            <w:pPr>
              <w:snapToGrid w:val="0"/>
            </w:pPr>
            <w:r>
              <w:t>GitHub公开数据集（creators01/steel-industry-energy-dataset）</w:t>
            </w:r>
          </w:p>
        </w:tc>
      </w:tr>
      <w:tr w14:paraId="009688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nil"/>
              <w:left w:val="nil"/>
              <w:bottom w:val="nil"/>
              <w:right w:val="nil"/>
            </w:tcBorders>
            <w:noWrap w:val="0"/>
            <w:tcMar>
              <w:top w:w="-1" w:type="dxa"/>
              <w:left w:w="-1" w:type="dxa"/>
              <w:bottom w:w="-1" w:type="dxa"/>
              <w:right w:w="-1" w:type="dxa"/>
            </w:tcMar>
            <w:vAlign w:val="center"/>
          </w:tcPr>
          <w:p w14:paraId="7F0E8992">
            <w:pPr>
              <w:snapToGrid w:val="0"/>
            </w:pPr>
            <w:r>
              <w:t>采集对象</w:t>
            </w:r>
          </w:p>
        </w:tc>
        <w:tc>
          <w:tcPr>
            <w:tcW w:w="7445" w:type="dxa"/>
            <w:tcBorders>
              <w:top w:val="nil"/>
              <w:left w:val="nil"/>
              <w:bottom w:val="nil"/>
              <w:right w:val="nil"/>
            </w:tcBorders>
            <w:noWrap w:val="0"/>
            <w:tcMar>
              <w:top w:w="-1" w:type="dxa"/>
              <w:left w:w="-1" w:type="dxa"/>
              <w:bottom w:w="-1" w:type="dxa"/>
              <w:right w:w="-1" w:type="dxa"/>
            </w:tcMar>
            <w:vAlign w:val="center"/>
          </w:tcPr>
          <w:p w14:paraId="42FE7F7D">
            <w:pPr>
              <w:snapToGrid w:val="0"/>
            </w:pPr>
            <w:r>
              <w:t>钢铁联合企业（含轧钢、炼钢等工序）</w:t>
            </w:r>
          </w:p>
        </w:tc>
      </w:tr>
      <w:tr w14:paraId="032A1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nil"/>
              <w:left w:val="nil"/>
              <w:bottom w:val="nil"/>
              <w:right w:val="nil"/>
            </w:tcBorders>
            <w:noWrap w:val="0"/>
            <w:tcMar>
              <w:top w:w="-1" w:type="dxa"/>
              <w:left w:w="-1" w:type="dxa"/>
              <w:bottom w:w="-1" w:type="dxa"/>
              <w:right w:w="-1" w:type="dxa"/>
            </w:tcMar>
            <w:vAlign w:val="center"/>
          </w:tcPr>
          <w:p w14:paraId="284EE068">
            <w:pPr>
              <w:snapToGrid w:val="0"/>
            </w:pPr>
            <w:r>
              <w:t>原始记录数</w:t>
            </w:r>
          </w:p>
        </w:tc>
        <w:tc>
          <w:tcPr>
            <w:tcW w:w="7445" w:type="dxa"/>
            <w:tcBorders>
              <w:top w:val="nil"/>
              <w:left w:val="nil"/>
              <w:bottom w:val="nil"/>
              <w:right w:val="nil"/>
            </w:tcBorders>
            <w:noWrap w:val="0"/>
            <w:tcMar>
              <w:top w:w="-1" w:type="dxa"/>
              <w:left w:w="-1" w:type="dxa"/>
              <w:bottom w:w="-1" w:type="dxa"/>
              <w:right w:w="-1" w:type="dxa"/>
            </w:tcMar>
            <w:vAlign w:val="center"/>
          </w:tcPr>
          <w:p w14:paraId="269801DB">
            <w:pPr>
              <w:snapToGrid w:val="0"/>
            </w:pPr>
            <w:r>
              <w:t>35,040条</w:t>
            </w:r>
          </w:p>
        </w:tc>
      </w:tr>
      <w:tr w14:paraId="5DCBB8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nil"/>
              <w:left w:val="nil"/>
              <w:bottom w:val="nil"/>
              <w:right w:val="nil"/>
            </w:tcBorders>
            <w:noWrap w:val="0"/>
            <w:tcMar>
              <w:top w:w="-1" w:type="dxa"/>
              <w:left w:w="-1" w:type="dxa"/>
              <w:bottom w:w="-1" w:type="dxa"/>
              <w:right w:w="-1" w:type="dxa"/>
            </w:tcMar>
            <w:vAlign w:val="center"/>
          </w:tcPr>
          <w:p w14:paraId="48868AD9">
            <w:pPr>
              <w:snapToGrid w:val="0"/>
            </w:pPr>
            <w:r>
              <w:t>原始采集频率</w:t>
            </w:r>
          </w:p>
        </w:tc>
        <w:tc>
          <w:tcPr>
            <w:tcW w:w="7445" w:type="dxa"/>
            <w:tcBorders>
              <w:top w:val="nil"/>
              <w:left w:val="nil"/>
              <w:bottom w:val="nil"/>
              <w:right w:val="nil"/>
            </w:tcBorders>
            <w:noWrap w:val="0"/>
            <w:tcMar>
              <w:top w:w="-1" w:type="dxa"/>
              <w:left w:w="-1" w:type="dxa"/>
              <w:bottom w:w="-1" w:type="dxa"/>
              <w:right w:w="-1" w:type="dxa"/>
            </w:tcMar>
            <w:vAlign w:val="center"/>
          </w:tcPr>
          <w:p w14:paraId="6D5EFDFF">
            <w:pPr>
              <w:snapToGrid w:val="0"/>
            </w:pPr>
            <w:r>
              <w:t>15分钟/点</w:t>
            </w:r>
          </w:p>
        </w:tc>
      </w:tr>
      <w:tr w14:paraId="1B3564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nil"/>
              <w:left w:val="nil"/>
              <w:bottom w:val="nil"/>
              <w:right w:val="nil"/>
            </w:tcBorders>
            <w:noWrap w:val="0"/>
            <w:tcMar>
              <w:top w:w="-1" w:type="dxa"/>
              <w:left w:w="-1" w:type="dxa"/>
              <w:bottom w:w="-1" w:type="dxa"/>
              <w:right w:w="-1" w:type="dxa"/>
            </w:tcMar>
            <w:vAlign w:val="center"/>
          </w:tcPr>
          <w:p w14:paraId="0F299C6F">
            <w:pPr>
              <w:snapToGrid w:val="0"/>
            </w:pPr>
            <w:r>
              <w:t>时间跨度</w:t>
            </w:r>
          </w:p>
        </w:tc>
        <w:tc>
          <w:tcPr>
            <w:tcW w:w="7445" w:type="dxa"/>
            <w:tcBorders>
              <w:top w:val="nil"/>
              <w:left w:val="nil"/>
              <w:bottom w:val="nil"/>
              <w:right w:val="nil"/>
            </w:tcBorders>
            <w:noWrap w:val="0"/>
            <w:tcMar>
              <w:top w:w="-1" w:type="dxa"/>
              <w:left w:w="-1" w:type="dxa"/>
              <w:bottom w:w="-1" w:type="dxa"/>
              <w:right w:w="-1" w:type="dxa"/>
            </w:tcMar>
            <w:vAlign w:val="center"/>
          </w:tcPr>
          <w:p w14:paraId="0235007F">
            <w:pPr>
              <w:snapToGrid w:val="0"/>
            </w:pPr>
            <w:r>
              <w:t>2018年1月至2018年12月（全年）</w:t>
            </w:r>
          </w:p>
        </w:tc>
      </w:tr>
      <w:tr w14:paraId="1A7FCC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0" w:type="auto"/>
            <w:tcBorders>
              <w:top w:val="nil"/>
              <w:left w:val="nil"/>
              <w:bottom w:val="nil"/>
              <w:right w:val="nil"/>
            </w:tcBorders>
            <w:noWrap w:val="0"/>
            <w:tcMar>
              <w:top w:w="-1" w:type="dxa"/>
              <w:left w:w="-1" w:type="dxa"/>
              <w:bottom w:w="-1" w:type="dxa"/>
              <w:right w:w="-1" w:type="dxa"/>
            </w:tcMar>
            <w:vAlign w:val="center"/>
          </w:tcPr>
          <w:p w14:paraId="6596268C">
            <w:pPr>
              <w:snapToGrid w:val="0"/>
            </w:pPr>
            <w:r>
              <w:t>关键字段</w:t>
            </w:r>
          </w:p>
        </w:tc>
        <w:tc>
          <w:tcPr>
            <w:tcW w:w="7445" w:type="dxa"/>
            <w:tcBorders>
              <w:top w:val="nil"/>
              <w:left w:val="nil"/>
              <w:bottom w:val="nil"/>
              <w:right w:val="nil"/>
            </w:tcBorders>
            <w:noWrap w:val="0"/>
            <w:tcMar>
              <w:top w:w="-1" w:type="dxa"/>
              <w:left w:w="-1" w:type="dxa"/>
              <w:bottom w:w="-1" w:type="dxa"/>
              <w:right w:w="-1" w:type="dxa"/>
            </w:tcMar>
            <w:vAlign w:val="center"/>
          </w:tcPr>
          <w:p w14:paraId="69DCA2B5">
            <w:pPr>
              <w:snapToGrid w:val="0"/>
            </w:pPr>
            <w:r>
              <w:t>时间戳、用电量（Usage_kWh）、滞后无功功率、超前无功功率、碳排放（CO2）、功率因数、负荷类型（Light/Medium/Maximum Load）</w:t>
            </w:r>
          </w:p>
        </w:tc>
      </w:tr>
      <w:tr w14:paraId="279398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trPr>
        <w:tc>
          <w:tcPr>
            <w:tcW w:w="859" w:type="dxa"/>
            <w:tcBorders>
              <w:top w:val="nil"/>
              <w:left w:val="nil"/>
              <w:bottom w:val="single" w:color="auto" w:sz="12" w:space="0"/>
              <w:right w:val="nil"/>
            </w:tcBorders>
            <w:noWrap w:val="0"/>
            <w:tcMar>
              <w:top w:w="-1" w:type="dxa"/>
              <w:left w:w="-1" w:type="dxa"/>
              <w:bottom w:w="-1" w:type="dxa"/>
              <w:right w:w="-1" w:type="dxa"/>
            </w:tcMar>
            <w:vAlign w:val="center"/>
          </w:tcPr>
          <w:p w14:paraId="2F7F8BE3">
            <w:pPr>
              <w:snapToGrid w:val="0"/>
            </w:pPr>
            <w:r>
              <w:t>数据完整性</w:t>
            </w:r>
          </w:p>
        </w:tc>
        <w:tc>
          <w:tcPr>
            <w:tcW w:w="7445" w:type="dxa"/>
            <w:tcBorders>
              <w:top w:val="nil"/>
              <w:left w:val="nil"/>
              <w:bottom w:val="single" w:color="auto" w:sz="12" w:space="0"/>
              <w:right w:val="nil"/>
            </w:tcBorders>
            <w:noWrap w:val="0"/>
            <w:tcMar>
              <w:top w:w="-1" w:type="dxa"/>
              <w:left w:w="-1" w:type="dxa"/>
              <w:bottom w:w="-1" w:type="dxa"/>
              <w:right w:w="-1" w:type="dxa"/>
            </w:tcMar>
            <w:vAlign w:val="center"/>
          </w:tcPr>
          <w:p w14:paraId="04942330">
            <w:pPr>
              <w:snapToGrid w:val="0"/>
            </w:pPr>
            <w:r>
              <w:t>缺失率低于1%，经插值处理后完整率100%</w:t>
            </w:r>
          </w:p>
        </w:tc>
      </w:tr>
    </w:tbl>
    <w:p w14:paraId="19C62C72">
      <w:pPr>
        <w:pStyle w:val="4"/>
      </w:pPr>
      <w:r>
        <w:t>1.2 数据预处理</w:t>
      </w:r>
    </w:p>
    <w:p w14:paraId="53B7584A">
      <w:r>
        <w:t>原始数据为15分钟采集频率，不符合比赛要求的1分钟粒度。本研究采用以下预处理流程：</w:t>
      </w:r>
    </w:p>
    <w:p w14:paraId="79093BCF">
      <w:r>
        <w:rPr>
          <w:b/>
        </w:rPr>
        <w:t>第一步：数据清洗</w:t>
      </w:r>
    </w:p>
    <w:p w14:paraId="734D2F90">
      <w:pPr>
        <w:numPr>
          <w:ilvl w:val="0"/>
          <w:numId w:val="1"/>
        </w:numPr>
        <w:spacing w:before="0"/>
      </w:pPr>
      <w:r>
        <w:t>检查并处理缺失值（线性插值填充）</w:t>
      </w:r>
    </w:p>
    <w:p w14:paraId="721B382E">
      <w:pPr>
        <w:numPr>
          <w:ilvl w:val="0"/>
          <w:numId w:val="1"/>
        </w:numPr>
      </w:pPr>
      <w:r>
        <w:t>剔除异常值（用电量≤0的无效记录）</w:t>
      </w:r>
    </w:p>
    <w:p w14:paraId="015D2D77">
      <w:pPr>
        <w:numPr>
          <w:ilvl w:val="0"/>
          <w:numId w:val="1"/>
        </w:numPr>
        <w:spacing w:after="0"/>
      </w:pPr>
      <w:r>
        <w:t>统一列名格式（中文字段转英文）</w:t>
      </w:r>
    </w:p>
    <w:p w14:paraId="6612EFBF">
      <w:r>
        <w:rPr>
          <w:b/>
        </w:rPr>
        <w:t>第二步：时间格式标准化</w:t>
      </w:r>
    </w:p>
    <w:p w14:paraId="3CECF9C3">
      <w:pPr>
        <w:numPr>
          <w:ilvl w:val="0"/>
          <w:numId w:val="2"/>
        </w:numPr>
        <w:spacing w:before="0"/>
      </w:pPr>
      <w:r>
        <w:t>将文本格式的时间戳转换为MATLAB datetime格式</w:t>
      </w:r>
    </w:p>
    <w:p w14:paraId="21260B1F">
      <w:pPr>
        <w:numPr>
          <w:ilvl w:val="0"/>
          <w:numId w:val="2"/>
        </w:numPr>
        <w:spacing w:after="0"/>
      </w:pPr>
      <w:r>
        <w:t>提取小时、星期、月份等时间特征</w:t>
      </w:r>
    </w:p>
    <w:p w14:paraId="2230DA4E">
      <w:r>
        <w:rPr>
          <w:b/>
        </w:rPr>
        <w:t>第三步：数据重采样</w:t>
      </w:r>
    </w:p>
    <w:p w14:paraId="40B9A8BD">
      <w:pPr>
        <w:numPr>
          <w:ilvl w:val="0"/>
          <w:numId w:val="3"/>
        </w:numPr>
        <w:spacing w:before="0"/>
      </w:pPr>
      <w:r>
        <w:t>使用线性插值方法将15分钟粒度重采样为1分钟粒度</w:t>
      </w:r>
    </w:p>
    <w:p w14:paraId="52F3BE8B">
      <w:pPr>
        <w:numPr>
          <w:ilvl w:val="0"/>
          <w:numId w:val="3"/>
        </w:numPr>
      </w:pPr>
      <w:r>
        <w:t>重采样后数据量：132,481条</w:t>
      </w:r>
    </w:p>
    <w:p w14:paraId="3E1F2B88">
      <w:pPr>
        <w:numPr>
          <w:ilvl w:val="0"/>
          <w:numId w:val="3"/>
        </w:numPr>
        <w:spacing w:after="0"/>
      </w:pPr>
      <w:r>
        <w:t>插值方法：interp1线性插值，保证数据平滑性</w:t>
      </w:r>
    </w:p>
    <w:p w14:paraId="476ADF6C">
      <w:r>
        <w:rPr>
          <w:b/>
        </w:rPr>
        <w:t>第四步：数据增强</w:t>
      </w:r>
    </w:p>
    <w:p w14:paraId="162168FF">
      <w:pPr>
        <w:numPr>
          <w:ilvl w:val="0"/>
          <w:numId w:val="4"/>
        </w:numPr>
        <w:spacing w:before="0"/>
      </w:pPr>
      <w:r>
        <w:t>根据用电量推算蒸汽用量（蒸汽量 = 用电量 × 0.005 + 随机扰动）</w:t>
      </w:r>
    </w:p>
    <w:p w14:paraId="3DCBC4D2">
      <w:pPr>
        <w:numPr>
          <w:ilvl w:val="0"/>
          <w:numId w:val="4"/>
        </w:numPr>
        <w:spacing w:after="0"/>
      </w:pPr>
      <w:r>
        <w:t>标注工作日/周末、负荷类型等分类变量</w:t>
      </w:r>
    </w:p>
    <w:p w14:paraId="076C3581">
      <w:pPr>
        <w:pStyle w:val="4"/>
      </w:pPr>
      <w:r>
        <w:t>1.3 数据统计摘要</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303"/>
        <w:gridCol w:w="3183"/>
        <w:gridCol w:w="2818"/>
      </w:tblGrid>
      <w:tr w14:paraId="5359AF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single" w:color="auto" w:sz="12" w:space="0"/>
              <w:left w:val="nil"/>
              <w:bottom w:val="nil"/>
              <w:right w:val="nil"/>
            </w:tcBorders>
            <w:noWrap w:val="0"/>
            <w:tcMar>
              <w:top w:w="-1" w:type="dxa"/>
              <w:left w:w="-1" w:type="dxa"/>
              <w:bottom w:w="-1" w:type="dxa"/>
              <w:right w:w="-1" w:type="dxa"/>
            </w:tcMar>
            <w:vAlign w:val="center"/>
          </w:tcPr>
          <w:p w14:paraId="3942515C">
            <w:pPr>
              <w:snapToGrid w:val="0"/>
              <w:jc w:val="center"/>
              <w:rPr>
                <w:b/>
              </w:rPr>
            </w:pPr>
            <w:r>
              <w:rPr>
                <w:b/>
              </w:rPr>
              <w:t>统计量</w:t>
            </w:r>
          </w:p>
        </w:tc>
        <w:tc>
          <w:tcPr>
            <w:tcW w:w="3183" w:type="dxa"/>
            <w:tcBorders>
              <w:top w:val="single" w:color="auto" w:sz="12" w:space="0"/>
              <w:left w:val="nil"/>
              <w:bottom w:val="nil"/>
              <w:right w:val="nil"/>
            </w:tcBorders>
            <w:noWrap w:val="0"/>
            <w:tcMar>
              <w:top w:w="-1" w:type="dxa"/>
              <w:left w:w="-1" w:type="dxa"/>
              <w:bottom w:w="-1" w:type="dxa"/>
              <w:right w:w="-1" w:type="dxa"/>
            </w:tcMar>
            <w:vAlign w:val="center"/>
          </w:tcPr>
          <w:p w14:paraId="6879865B">
            <w:pPr>
              <w:snapToGrid w:val="0"/>
              <w:jc w:val="center"/>
              <w:rPr>
                <w:b/>
              </w:rPr>
            </w:pPr>
            <w:r>
              <w:rPr>
                <w:b/>
              </w:rPr>
              <w:t>用电量（kWh）</w:t>
            </w:r>
          </w:p>
        </w:tc>
        <w:tc>
          <w:tcPr>
            <w:tcW w:w="2817" w:type="dxa"/>
            <w:tcBorders>
              <w:top w:val="single" w:color="auto" w:sz="12" w:space="0"/>
              <w:left w:val="nil"/>
              <w:bottom w:val="nil"/>
              <w:right w:val="nil"/>
            </w:tcBorders>
            <w:noWrap w:val="0"/>
            <w:tcMar>
              <w:top w:w="-1" w:type="dxa"/>
              <w:left w:w="-1" w:type="dxa"/>
              <w:bottom w:w="-1" w:type="dxa"/>
              <w:right w:w="-1" w:type="dxa"/>
            </w:tcMar>
            <w:vAlign w:val="center"/>
          </w:tcPr>
          <w:p w14:paraId="05556FA5">
            <w:pPr>
              <w:snapToGrid w:val="0"/>
              <w:jc w:val="center"/>
              <w:rPr>
                <w:b/>
              </w:rPr>
            </w:pPr>
            <w:r>
              <w:rPr>
                <w:b/>
              </w:rPr>
              <w:t>蒸汽量（吨）</w:t>
            </w:r>
          </w:p>
        </w:tc>
      </w:tr>
      <w:tr w14:paraId="3E2062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single" w:color="auto" w:sz="4" w:space="0"/>
              <w:left w:val="nil"/>
              <w:bottom w:val="nil"/>
              <w:right w:val="nil"/>
            </w:tcBorders>
            <w:noWrap w:val="0"/>
            <w:tcMar>
              <w:top w:w="-1" w:type="dxa"/>
              <w:left w:w="-1" w:type="dxa"/>
              <w:bottom w:w="-1" w:type="dxa"/>
              <w:right w:w="-1" w:type="dxa"/>
            </w:tcMar>
            <w:vAlign w:val="center"/>
          </w:tcPr>
          <w:p w14:paraId="5AA8C30F">
            <w:pPr>
              <w:snapToGrid w:val="0"/>
            </w:pPr>
            <w:r>
              <w:t>平均值</w:t>
            </w:r>
          </w:p>
        </w:tc>
        <w:tc>
          <w:tcPr>
            <w:tcW w:w="3183" w:type="dxa"/>
            <w:tcBorders>
              <w:top w:val="single" w:color="auto" w:sz="4" w:space="0"/>
              <w:left w:val="nil"/>
              <w:bottom w:val="nil"/>
              <w:right w:val="nil"/>
            </w:tcBorders>
            <w:noWrap w:val="0"/>
            <w:tcMar>
              <w:top w:w="-1" w:type="dxa"/>
              <w:left w:w="-1" w:type="dxa"/>
              <w:bottom w:w="-1" w:type="dxa"/>
              <w:right w:w="-1" w:type="dxa"/>
            </w:tcMar>
            <w:vAlign w:val="center"/>
          </w:tcPr>
          <w:p w14:paraId="5D18F408">
            <w:pPr>
              <w:snapToGrid w:val="0"/>
            </w:pPr>
            <w:r>
              <w:t>27.39</w:t>
            </w:r>
          </w:p>
        </w:tc>
        <w:tc>
          <w:tcPr>
            <w:tcW w:w="2817" w:type="dxa"/>
            <w:tcBorders>
              <w:top w:val="single" w:color="auto" w:sz="4" w:space="0"/>
              <w:left w:val="nil"/>
              <w:bottom w:val="nil"/>
              <w:right w:val="nil"/>
            </w:tcBorders>
            <w:noWrap w:val="0"/>
            <w:tcMar>
              <w:top w:w="-1" w:type="dxa"/>
              <w:left w:w="-1" w:type="dxa"/>
              <w:bottom w:w="-1" w:type="dxa"/>
              <w:right w:w="-1" w:type="dxa"/>
            </w:tcMar>
            <w:vAlign w:val="center"/>
          </w:tcPr>
          <w:p w14:paraId="51A3702A">
            <w:pPr>
              <w:snapToGrid w:val="0"/>
            </w:pPr>
            <w:r>
              <w:t>0.58</w:t>
            </w:r>
          </w:p>
        </w:tc>
      </w:tr>
      <w:tr w14:paraId="0260F3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nil"/>
              <w:right w:val="nil"/>
            </w:tcBorders>
            <w:noWrap w:val="0"/>
            <w:tcMar>
              <w:top w:w="-1" w:type="dxa"/>
              <w:left w:w="-1" w:type="dxa"/>
              <w:bottom w:w="-1" w:type="dxa"/>
              <w:right w:w="-1" w:type="dxa"/>
            </w:tcMar>
            <w:vAlign w:val="center"/>
          </w:tcPr>
          <w:p w14:paraId="1CCB00A6">
            <w:pPr>
              <w:snapToGrid w:val="0"/>
            </w:pPr>
            <w:r>
              <w:t>中位数</w:t>
            </w:r>
          </w:p>
        </w:tc>
        <w:tc>
          <w:tcPr>
            <w:tcW w:w="3183" w:type="dxa"/>
            <w:tcBorders>
              <w:top w:val="nil"/>
              <w:left w:val="nil"/>
              <w:bottom w:val="nil"/>
              <w:right w:val="nil"/>
            </w:tcBorders>
            <w:noWrap w:val="0"/>
            <w:tcMar>
              <w:top w:w="-1" w:type="dxa"/>
              <w:left w:w="-1" w:type="dxa"/>
              <w:bottom w:w="-1" w:type="dxa"/>
              <w:right w:w="-1" w:type="dxa"/>
            </w:tcMar>
            <w:vAlign w:val="center"/>
          </w:tcPr>
          <w:p w14:paraId="4E7C4B87">
            <w:pPr>
              <w:snapToGrid w:val="0"/>
            </w:pPr>
            <w:r>
              <w:t>4.57</w:t>
            </w:r>
          </w:p>
        </w:tc>
        <w:tc>
          <w:tcPr>
            <w:tcW w:w="2817" w:type="dxa"/>
            <w:tcBorders>
              <w:top w:val="nil"/>
              <w:left w:val="nil"/>
              <w:bottom w:val="nil"/>
              <w:right w:val="nil"/>
            </w:tcBorders>
            <w:noWrap w:val="0"/>
            <w:tcMar>
              <w:top w:w="-1" w:type="dxa"/>
              <w:left w:w="-1" w:type="dxa"/>
              <w:bottom w:w="-1" w:type="dxa"/>
              <w:right w:w="-1" w:type="dxa"/>
            </w:tcMar>
            <w:vAlign w:val="center"/>
          </w:tcPr>
          <w:p w14:paraId="1244AFCF">
            <w:pPr>
              <w:snapToGrid w:val="0"/>
            </w:pPr>
            <w:r>
              <w:t>—</w:t>
            </w:r>
          </w:p>
        </w:tc>
      </w:tr>
      <w:tr w14:paraId="02299E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nil"/>
              <w:right w:val="nil"/>
            </w:tcBorders>
            <w:noWrap w:val="0"/>
            <w:tcMar>
              <w:top w:w="-1" w:type="dxa"/>
              <w:left w:w="-1" w:type="dxa"/>
              <w:bottom w:w="-1" w:type="dxa"/>
              <w:right w:w="-1" w:type="dxa"/>
            </w:tcMar>
            <w:vAlign w:val="center"/>
          </w:tcPr>
          <w:p w14:paraId="445A17CD">
            <w:pPr>
              <w:snapToGrid w:val="0"/>
            </w:pPr>
            <w:r>
              <w:t>最大值</w:t>
            </w:r>
          </w:p>
        </w:tc>
        <w:tc>
          <w:tcPr>
            <w:tcW w:w="3183" w:type="dxa"/>
            <w:tcBorders>
              <w:top w:val="nil"/>
              <w:left w:val="nil"/>
              <w:bottom w:val="nil"/>
              <w:right w:val="nil"/>
            </w:tcBorders>
            <w:noWrap w:val="0"/>
            <w:tcMar>
              <w:top w:w="-1" w:type="dxa"/>
              <w:left w:w="-1" w:type="dxa"/>
              <w:bottom w:w="-1" w:type="dxa"/>
              <w:right w:w="-1" w:type="dxa"/>
            </w:tcMar>
            <w:vAlign w:val="center"/>
          </w:tcPr>
          <w:p w14:paraId="50F4EBB7">
            <w:pPr>
              <w:snapToGrid w:val="0"/>
            </w:pPr>
            <w:r>
              <w:t>157.18</w:t>
            </w:r>
          </w:p>
        </w:tc>
        <w:tc>
          <w:tcPr>
            <w:tcW w:w="2817" w:type="dxa"/>
            <w:tcBorders>
              <w:top w:val="nil"/>
              <w:left w:val="nil"/>
              <w:bottom w:val="nil"/>
              <w:right w:val="nil"/>
            </w:tcBorders>
            <w:noWrap w:val="0"/>
            <w:tcMar>
              <w:top w:w="-1" w:type="dxa"/>
              <w:left w:w="-1" w:type="dxa"/>
              <w:bottom w:w="-1" w:type="dxa"/>
              <w:right w:w="-1" w:type="dxa"/>
            </w:tcMar>
            <w:vAlign w:val="center"/>
          </w:tcPr>
          <w:p w14:paraId="22DE4B4D">
            <w:pPr>
              <w:snapToGrid w:val="0"/>
            </w:pPr>
            <w:r>
              <w:t>—</w:t>
            </w:r>
          </w:p>
        </w:tc>
      </w:tr>
      <w:tr w14:paraId="727016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nil"/>
              <w:right w:val="nil"/>
            </w:tcBorders>
            <w:noWrap w:val="0"/>
            <w:tcMar>
              <w:top w:w="-1" w:type="dxa"/>
              <w:left w:w="-1" w:type="dxa"/>
              <w:bottom w:w="-1" w:type="dxa"/>
              <w:right w:w="-1" w:type="dxa"/>
            </w:tcMar>
            <w:vAlign w:val="center"/>
          </w:tcPr>
          <w:p w14:paraId="4578F62F">
            <w:pPr>
              <w:snapToGrid w:val="0"/>
            </w:pPr>
            <w:r>
              <w:t>最小值</w:t>
            </w:r>
          </w:p>
        </w:tc>
        <w:tc>
          <w:tcPr>
            <w:tcW w:w="3183" w:type="dxa"/>
            <w:tcBorders>
              <w:top w:val="nil"/>
              <w:left w:val="nil"/>
              <w:bottom w:val="nil"/>
              <w:right w:val="nil"/>
            </w:tcBorders>
            <w:noWrap w:val="0"/>
            <w:tcMar>
              <w:top w:w="-1" w:type="dxa"/>
              <w:left w:w="-1" w:type="dxa"/>
              <w:bottom w:w="-1" w:type="dxa"/>
              <w:right w:w="-1" w:type="dxa"/>
            </w:tcMar>
            <w:vAlign w:val="center"/>
          </w:tcPr>
          <w:p w14:paraId="236369C7">
            <w:pPr>
              <w:snapToGrid w:val="0"/>
            </w:pPr>
            <w:r>
              <w:t>0.00</w:t>
            </w:r>
          </w:p>
        </w:tc>
        <w:tc>
          <w:tcPr>
            <w:tcW w:w="2817" w:type="dxa"/>
            <w:tcBorders>
              <w:top w:val="nil"/>
              <w:left w:val="nil"/>
              <w:bottom w:val="nil"/>
              <w:right w:val="nil"/>
            </w:tcBorders>
            <w:noWrap w:val="0"/>
            <w:tcMar>
              <w:top w:w="-1" w:type="dxa"/>
              <w:left w:w="-1" w:type="dxa"/>
              <w:bottom w:w="-1" w:type="dxa"/>
              <w:right w:w="-1" w:type="dxa"/>
            </w:tcMar>
            <w:vAlign w:val="center"/>
          </w:tcPr>
          <w:p w14:paraId="490A8CAE">
            <w:pPr>
              <w:snapToGrid w:val="0"/>
            </w:pPr>
            <w:r>
              <w:t>—</w:t>
            </w:r>
          </w:p>
        </w:tc>
      </w:tr>
      <w:tr w14:paraId="717F6A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nil"/>
              <w:right w:val="nil"/>
            </w:tcBorders>
            <w:noWrap w:val="0"/>
            <w:tcMar>
              <w:top w:w="-1" w:type="dxa"/>
              <w:left w:w="-1" w:type="dxa"/>
              <w:bottom w:w="-1" w:type="dxa"/>
              <w:right w:w="-1" w:type="dxa"/>
            </w:tcMar>
            <w:vAlign w:val="center"/>
          </w:tcPr>
          <w:p w14:paraId="37EA8D0F">
            <w:pPr>
              <w:snapToGrid w:val="0"/>
            </w:pPr>
            <w:r>
              <w:t>标准差</w:t>
            </w:r>
          </w:p>
        </w:tc>
        <w:tc>
          <w:tcPr>
            <w:tcW w:w="3183" w:type="dxa"/>
            <w:tcBorders>
              <w:top w:val="nil"/>
              <w:left w:val="nil"/>
              <w:bottom w:val="nil"/>
              <w:right w:val="nil"/>
            </w:tcBorders>
            <w:noWrap w:val="0"/>
            <w:tcMar>
              <w:top w:w="-1" w:type="dxa"/>
              <w:left w:w="-1" w:type="dxa"/>
              <w:bottom w:w="-1" w:type="dxa"/>
              <w:right w:w="-1" w:type="dxa"/>
            </w:tcMar>
            <w:vAlign w:val="center"/>
          </w:tcPr>
          <w:p w14:paraId="7FB4BF5C">
            <w:pPr>
              <w:snapToGrid w:val="0"/>
            </w:pPr>
            <w:r>
              <w:t>33.44</w:t>
            </w:r>
          </w:p>
        </w:tc>
        <w:tc>
          <w:tcPr>
            <w:tcW w:w="2817" w:type="dxa"/>
            <w:tcBorders>
              <w:top w:val="nil"/>
              <w:left w:val="nil"/>
              <w:bottom w:val="nil"/>
              <w:right w:val="nil"/>
            </w:tcBorders>
            <w:noWrap w:val="0"/>
            <w:tcMar>
              <w:top w:w="-1" w:type="dxa"/>
              <w:left w:w="-1" w:type="dxa"/>
              <w:bottom w:w="-1" w:type="dxa"/>
              <w:right w:w="-1" w:type="dxa"/>
            </w:tcMar>
            <w:vAlign w:val="center"/>
          </w:tcPr>
          <w:p w14:paraId="29E067E1">
            <w:pPr>
              <w:snapToGrid w:val="0"/>
            </w:pPr>
            <w:r>
              <w:t>—</w:t>
            </w:r>
          </w:p>
        </w:tc>
      </w:tr>
      <w:tr w14:paraId="3BDFC3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nil"/>
              <w:right w:val="nil"/>
            </w:tcBorders>
            <w:noWrap w:val="0"/>
            <w:tcMar>
              <w:top w:w="-1" w:type="dxa"/>
              <w:left w:w="-1" w:type="dxa"/>
              <w:bottom w:w="-1" w:type="dxa"/>
              <w:right w:w="-1" w:type="dxa"/>
            </w:tcMar>
            <w:vAlign w:val="center"/>
          </w:tcPr>
          <w:p w14:paraId="589B2EF2">
            <w:pPr>
              <w:snapToGrid w:val="0"/>
            </w:pPr>
            <w:r>
              <w:t>25%分位数</w:t>
            </w:r>
          </w:p>
        </w:tc>
        <w:tc>
          <w:tcPr>
            <w:tcW w:w="3183" w:type="dxa"/>
            <w:tcBorders>
              <w:top w:val="nil"/>
              <w:left w:val="nil"/>
              <w:bottom w:val="nil"/>
              <w:right w:val="nil"/>
            </w:tcBorders>
            <w:noWrap w:val="0"/>
            <w:tcMar>
              <w:top w:w="-1" w:type="dxa"/>
              <w:left w:w="-1" w:type="dxa"/>
              <w:bottom w:w="-1" w:type="dxa"/>
              <w:right w:w="-1" w:type="dxa"/>
            </w:tcMar>
            <w:vAlign w:val="center"/>
          </w:tcPr>
          <w:p w14:paraId="741060A7">
            <w:pPr>
              <w:snapToGrid w:val="0"/>
            </w:pPr>
            <w:r>
              <w:t>3.20</w:t>
            </w:r>
          </w:p>
        </w:tc>
        <w:tc>
          <w:tcPr>
            <w:tcW w:w="2817" w:type="dxa"/>
            <w:tcBorders>
              <w:top w:val="nil"/>
              <w:left w:val="nil"/>
              <w:bottom w:val="nil"/>
              <w:right w:val="nil"/>
            </w:tcBorders>
            <w:noWrap w:val="0"/>
            <w:tcMar>
              <w:top w:w="-1" w:type="dxa"/>
              <w:left w:w="-1" w:type="dxa"/>
              <w:bottom w:w="-1" w:type="dxa"/>
              <w:right w:w="-1" w:type="dxa"/>
            </w:tcMar>
            <w:vAlign w:val="center"/>
          </w:tcPr>
          <w:p w14:paraId="67A9570F">
            <w:pPr>
              <w:snapToGrid w:val="0"/>
            </w:pPr>
            <w:r>
              <w:t>—</w:t>
            </w:r>
          </w:p>
        </w:tc>
      </w:tr>
      <w:tr w14:paraId="00E892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3" w:type="dxa"/>
            <w:tcBorders>
              <w:top w:val="nil"/>
              <w:left w:val="nil"/>
              <w:bottom w:val="single" w:color="auto" w:sz="12" w:space="0"/>
              <w:right w:val="nil"/>
            </w:tcBorders>
            <w:noWrap w:val="0"/>
            <w:tcMar>
              <w:top w:w="-1" w:type="dxa"/>
              <w:left w:w="-1" w:type="dxa"/>
              <w:bottom w:w="-1" w:type="dxa"/>
              <w:right w:w="-1" w:type="dxa"/>
            </w:tcMar>
            <w:vAlign w:val="center"/>
          </w:tcPr>
          <w:p w14:paraId="3CC0592D">
            <w:pPr>
              <w:snapToGrid w:val="0"/>
            </w:pPr>
            <w:r>
              <w:t>75%分位数</w:t>
            </w:r>
          </w:p>
        </w:tc>
        <w:tc>
          <w:tcPr>
            <w:tcW w:w="3183" w:type="dxa"/>
            <w:tcBorders>
              <w:top w:val="nil"/>
              <w:left w:val="nil"/>
              <w:bottom w:val="single" w:color="auto" w:sz="12" w:space="0"/>
              <w:right w:val="nil"/>
            </w:tcBorders>
            <w:noWrap w:val="0"/>
            <w:tcMar>
              <w:top w:w="-1" w:type="dxa"/>
              <w:left w:w="-1" w:type="dxa"/>
              <w:bottom w:w="-1" w:type="dxa"/>
              <w:right w:w="-1" w:type="dxa"/>
            </w:tcMar>
            <w:vAlign w:val="center"/>
          </w:tcPr>
          <w:p w14:paraId="5BBD27DB">
            <w:pPr>
              <w:snapToGrid w:val="0"/>
            </w:pPr>
            <w:r>
              <w:t>51.24</w:t>
            </w:r>
          </w:p>
        </w:tc>
        <w:tc>
          <w:tcPr>
            <w:tcW w:w="2817" w:type="dxa"/>
            <w:tcBorders>
              <w:top w:val="nil"/>
              <w:left w:val="nil"/>
              <w:bottom w:val="single" w:color="auto" w:sz="12" w:space="0"/>
              <w:right w:val="nil"/>
            </w:tcBorders>
            <w:noWrap w:val="0"/>
            <w:tcMar>
              <w:top w:w="-1" w:type="dxa"/>
              <w:left w:w="-1" w:type="dxa"/>
              <w:bottom w:w="-1" w:type="dxa"/>
              <w:right w:w="-1" w:type="dxa"/>
            </w:tcMar>
            <w:vAlign w:val="center"/>
          </w:tcPr>
          <w:p w14:paraId="516F8D37">
            <w:pPr>
              <w:snapToGrid w:val="0"/>
            </w:pPr>
            <w:r>
              <w:t>—</w:t>
            </w:r>
          </w:p>
        </w:tc>
      </w:tr>
    </w:tbl>
    <w:p w14:paraId="1171CA20">
      <w:pPr>
        <w:pStyle w:val="3"/>
      </w:pPr>
      <w:r>
        <w:t>二、日级MILP排产模型</w:t>
      </w:r>
    </w:p>
    <w:p w14:paraId="1A2CC0BC">
      <w:pPr>
        <w:pStyle w:val="4"/>
      </w:pPr>
      <w:r>
        <w:t>2.1 模型概述</w:t>
      </w:r>
    </w:p>
    <w:p w14:paraId="55D092E5">
      <w:r>
        <w:t>日级排产模型采用混合整数线性规划（Mixed Integer Linear Programming, MILP）方法，以小时为时间单位，制定未来24小时的生产排产计划。模型同时优化三个维度的决策变量：产量分配、加热温度、轧制速度，实现生产与能耗的协同优化。</w:t>
      </w:r>
    </w:p>
    <w:p w14:paraId="255C0DCA">
      <w:pPr>
        <w:pStyle w:val="4"/>
      </w:pPr>
      <w:r>
        <w:t>2.2 决策变量</w:t>
      </w:r>
    </w:p>
    <w:p w14:paraId="1504CDBD">
      <w:r>
        <w:t>模型包含72个决策变量（24小时×3类）：</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557"/>
        <w:gridCol w:w="942"/>
        <w:gridCol w:w="942"/>
        <w:gridCol w:w="942"/>
        <w:gridCol w:w="3921"/>
      </w:tblGrid>
      <w:tr w14:paraId="4877E5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557" w:type="dxa"/>
            <w:tcBorders>
              <w:top w:val="single" w:color="auto" w:sz="12" w:space="0"/>
              <w:left w:val="nil"/>
              <w:bottom w:val="nil"/>
              <w:right w:val="nil"/>
            </w:tcBorders>
            <w:noWrap w:val="0"/>
            <w:tcMar>
              <w:top w:w="-1" w:type="dxa"/>
              <w:left w:w="-1" w:type="dxa"/>
              <w:bottom w:w="-1" w:type="dxa"/>
              <w:right w:w="-1" w:type="dxa"/>
            </w:tcMar>
            <w:vAlign w:val="center"/>
          </w:tcPr>
          <w:p w14:paraId="5343A650">
            <w:pPr>
              <w:snapToGrid w:val="0"/>
              <w:ind w:left="0" w:leftChars="0" w:right="0" w:rightChars="0" w:firstLine="0" w:firstLineChars="0"/>
              <w:jc w:val="center"/>
              <w:rPr>
                <w:b/>
              </w:rPr>
            </w:pPr>
            <w:r>
              <w:rPr>
                <w:b/>
              </w:rPr>
              <w:t>变量类型</w:t>
            </w:r>
          </w:p>
        </w:tc>
        <w:tc>
          <w:tcPr>
            <w:tcW w:w="942" w:type="dxa"/>
            <w:tcBorders>
              <w:top w:val="single" w:color="auto" w:sz="12" w:space="0"/>
              <w:left w:val="nil"/>
              <w:bottom w:val="nil"/>
              <w:right w:val="nil"/>
            </w:tcBorders>
            <w:noWrap w:val="0"/>
            <w:tcMar>
              <w:top w:w="-1" w:type="dxa"/>
              <w:left w:w="-1" w:type="dxa"/>
              <w:bottom w:w="-1" w:type="dxa"/>
              <w:right w:w="-1" w:type="dxa"/>
            </w:tcMar>
            <w:vAlign w:val="center"/>
          </w:tcPr>
          <w:p w14:paraId="753F4EFC">
            <w:pPr>
              <w:snapToGrid w:val="0"/>
              <w:ind w:left="0" w:leftChars="0" w:right="0" w:rightChars="0" w:firstLine="0" w:firstLineChars="0"/>
              <w:jc w:val="center"/>
              <w:rPr>
                <w:b/>
              </w:rPr>
            </w:pPr>
            <w:r>
              <w:rPr>
                <w:b/>
              </w:rPr>
              <w:t>符号</w:t>
            </w:r>
          </w:p>
        </w:tc>
        <w:tc>
          <w:tcPr>
            <w:tcW w:w="942" w:type="dxa"/>
            <w:tcBorders>
              <w:top w:val="single" w:color="auto" w:sz="12" w:space="0"/>
              <w:left w:val="nil"/>
              <w:bottom w:val="nil"/>
              <w:right w:val="nil"/>
            </w:tcBorders>
            <w:noWrap w:val="0"/>
            <w:tcMar>
              <w:top w:w="-1" w:type="dxa"/>
              <w:left w:w="-1" w:type="dxa"/>
              <w:bottom w:w="-1" w:type="dxa"/>
              <w:right w:w="-1" w:type="dxa"/>
            </w:tcMar>
            <w:vAlign w:val="center"/>
          </w:tcPr>
          <w:p w14:paraId="13563FB1">
            <w:pPr>
              <w:snapToGrid w:val="0"/>
              <w:ind w:left="0" w:leftChars="0" w:right="0" w:rightChars="0" w:firstLine="0" w:firstLineChars="0"/>
              <w:jc w:val="center"/>
              <w:rPr>
                <w:b/>
              </w:rPr>
            </w:pPr>
            <w:r>
              <w:rPr>
                <w:b/>
              </w:rPr>
              <w:t>单位</w:t>
            </w:r>
          </w:p>
        </w:tc>
        <w:tc>
          <w:tcPr>
            <w:tcW w:w="942" w:type="dxa"/>
            <w:tcBorders>
              <w:top w:val="single" w:color="auto" w:sz="12" w:space="0"/>
              <w:left w:val="nil"/>
              <w:bottom w:val="nil"/>
              <w:right w:val="nil"/>
            </w:tcBorders>
            <w:noWrap w:val="0"/>
            <w:tcMar>
              <w:top w:w="-1" w:type="dxa"/>
              <w:left w:w="-1" w:type="dxa"/>
              <w:bottom w:w="-1" w:type="dxa"/>
              <w:right w:w="-1" w:type="dxa"/>
            </w:tcMar>
            <w:vAlign w:val="center"/>
          </w:tcPr>
          <w:p w14:paraId="53521A8E">
            <w:pPr>
              <w:snapToGrid w:val="0"/>
              <w:ind w:left="0" w:leftChars="0" w:right="0" w:rightChars="0" w:firstLine="0" w:firstLineChars="0"/>
              <w:jc w:val="center"/>
              <w:rPr>
                <w:b/>
              </w:rPr>
            </w:pPr>
            <w:r>
              <w:rPr>
                <w:b/>
              </w:rPr>
              <w:t>数量</w:t>
            </w:r>
          </w:p>
        </w:tc>
        <w:tc>
          <w:tcPr>
            <w:tcW w:w="3922" w:type="dxa"/>
            <w:tcBorders>
              <w:top w:val="single" w:color="auto" w:sz="12" w:space="0"/>
              <w:left w:val="nil"/>
              <w:bottom w:val="nil"/>
              <w:right w:val="nil"/>
            </w:tcBorders>
            <w:noWrap w:val="0"/>
            <w:tcMar>
              <w:top w:w="-1" w:type="dxa"/>
              <w:left w:w="-1" w:type="dxa"/>
              <w:bottom w:w="-1" w:type="dxa"/>
              <w:right w:w="-1" w:type="dxa"/>
            </w:tcMar>
            <w:vAlign w:val="center"/>
          </w:tcPr>
          <w:p w14:paraId="17261CD3">
            <w:pPr>
              <w:snapToGrid w:val="0"/>
              <w:ind w:left="0" w:leftChars="0" w:right="0" w:rightChars="0" w:firstLine="0" w:firstLineChars="0"/>
              <w:jc w:val="center"/>
              <w:rPr>
                <w:b/>
              </w:rPr>
            </w:pPr>
            <w:r>
              <w:rPr>
                <w:b/>
              </w:rPr>
              <w:t>物理意义</w:t>
            </w:r>
          </w:p>
        </w:tc>
      </w:tr>
      <w:tr w14:paraId="4A10A4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57" w:type="dxa"/>
            <w:tcBorders>
              <w:top w:val="single" w:color="auto" w:sz="4" w:space="0"/>
              <w:left w:val="nil"/>
              <w:bottom w:val="nil"/>
              <w:right w:val="nil"/>
            </w:tcBorders>
            <w:noWrap w:val="0"/>
            <w:tcMar>
              <w:top w:w="-1" w:type="dxa"/>
              <w:left w:w="-1" w:type="dxa"/>
              <w:bottom w:w="-1" w:type="dxa"/>
              <w:right w:w="-1" w:type="dxa"/>
            </w:tcMar>
            <w:vAlign w:val="center"/>
          </w:tcPr>
          <w:p w14:paraId="47E2ADBE">
            <w:pPr>
              <w:snapToGrid w:val="0"/>
              <w:ind w:left="0" w:leftChars="0" w:right="0" w:rightChars="0" w:firstLine="0" w:firstLineChars="0"/>
              <w:jc w:val="left"/>
              <w:rPr>
                <w:rFonts w:ascii="Calibri" w:eastAsia="宋体"/>
                <w:sz w:val="21"/>
              </w:rPr>
            </w:pPr>
            <w:r>
              <w:rPr>
                <w:rFonts w:ascii="Calibri" w:eastAsia="宋体"/>
                <w:sz w:val="21"/>
              </w:rPr>
              <w:t>产量</w:t>
            </w:r>
          </w:p>
        </w:tc>
        <w:tc>
          <w:tcPr>
            <w:tcW w:w="942" w:type="dxa"/>
            <w:tcBorders>
              <w:top w:val="single" w:color="auto" w:sz="4" w:space="0"/>
              <w:left w:val="nil"/>
              <w:bottom w:val="nil"/>
              <w:right w:val="nil"/>
            </w:tcBorders>
            <w:noWrap w:val="0"/>
            <w:tcMar>
              <w:top w:w="-1" w:type="dxa"/>
              <w:left w:w="-1" w:type="dxa"/>
              <w:bottom w:w="-1" w:type="dxa"/>
              <w:right w:w="-1" w:type="dxa"/>
            </w:tcMar>
            <w:vAlign w:val="center"/>
          </w:tcPr>
          <w:p w14:paraId="640059AA">
            <w:pPr>
              <w:snapToGrid w:val="0"/>
              <w:ind w:left="0" w:leftChars="0" w:right="0" w:rightChars="0" w:firstLine="0" w:firstLineChars="0"/>
              <w:jc w:val="center"/>
              <w:rPr>
                <w:rFonts w:ascii="Calibri" w:eastAsia="宋体"/>
                <w:sz w:val="21"/>
              </w:rPr>
            </w:pP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p>
        </w:tc>
        <w:tc>
          <w:tcPr>
            <w:tcW w:w="942" w:type="dxa"/>
            <w:tcBorders>
              <w:top w:val="single" w:color="auto" w:sz="4" w:space="0"/>
              <w:left w:val="nil"/>
              <w:bottom w:val="nil"/>
              <w:right w:val="nil"/>
            </w:tcBorders>
            <w:noWrap w:val="0"/>
            <w:tcMar>
              <w:top w:w="-1" w:type="dxa"/>
              <w:left w:w="-1" w:type="dxa"/>
              <w:bottom w:w="-1" w:type="dxa"/>
              <w:right w:w="-1" w:type="dxa"/>
            </w:tcMar>
            <w:vAlign w:val="center"/>
          </w:tcPr>
          <w:p w14:paraId="29B6D83E">
            <w:pPr>
              <w:snapToGrid w:val="0"/>
              <w:ind w:left="0" w:leftChars="0" w:right="0" w:rightChars="0" w:firstLine="0" w:firstLineChars="0"/>
              <w:jc w:val="left"/>
              <w:rPr>
                <w:rFonts w:ascii="Calibri" w:eastAsia="宋体"/>
                <w:sz w:val="21"/>
              </w:rPr>
            </w:pPr>
            <w:r>
              <w:rPr>
                <w:rFonts w:ascii="Calibri" w:eastAsia="宋体"/>
                <w:sz w:val="21"/>
              </w:rPr>
              <w:t>吨</w:t>
            </w:r>
          </w:p>
        </w:tc>
        <w:tc>
          <w:tcPr>
            <w:tcW w:w="942" w:type="dxa"/>
            <w:tcBorders>
              <w:top w:val="single" w:color="auto" w:sz="4" w:space="0"/>
              <w:left w:val="nil"/>
              <w:bottom w:val="nil"/>
              <w:right w:val="nil"/>
            </w:tcBorders>
            <w:noWrap w:val="0"/>
            <w:tcMar>
              <w:top w:w="-1" w:type="dxa"/>
              <w:left w:w="-1" w:type="dxa"/>
              <w:bottom w:w="-1" w:type="dxa"/>
              <w:right w:w="-1" w:type="dxa"/>
            </w:tcMar>
            <w:vAlign w:val="center"/>
          </w:tcPr>
          <w:p w14:paraId="3AB4E3E8">
            <w:pPr>
              <w:snapToGrid w:val="0"/>
              <w:ind w:left="0" w:leftChars="0" w:right="0" w:rightChars="0" w:firstLine="0" w:firstLineChars="0"/>
              <w:jc w:val="center"/>
              <w:rPr>
                <w:rFonts w:ascii="Calibri" w:eastAsia="宋体"/>
                <w:sz w:val="21"/>
              </w:rPr>
            </w:pPr>
            <w:r>
              <w:rPr>
                <w:rFonts w:ascii="Calibri" w:eastAsia="宋体"/>
                <w:sz w:val="21"/>
              </w:rPr>
              <w:t>24</w:t>
            </w:r>
          </w:p>
        </w:tc>
        <w:tc>
          <w:tcPr>
            <w:tcW w:w="3922" w:type="dxa"/>
            <w:tcBorders>
              <w:top w:val="single" w:color="auto" w:sz="4" w:space="0"/>
              <w:left w:val="nil"/>
              <w:bottom w:val="nil"/>
              <w:right w:val="nil"/>
            </w:tcBorders>
            <w:noWrap w:val="0"/>
            <w:tcMar>
              <w:top w:w="-1" w:type="dxa"/>
              <w:left w:w="-1" w:type="dxa"/>
              <w:bottom w:w="-1" w:type="dxa"/>
              <w:right w:w="-1" w:type="dxa"/>
            </w:tcMar>
            <w:vAlign w:val="center"/>
          </w:tcPr>
          <w:p w14:paraId="65724955">
            <w:pPr>
              <w:snapToGrid w:val="0"/>
              <w:ind w:left="0" w:leftChars="0" w:right="0" w:rightChars="0" w:firstLine="0" w:firstLineChars="0"/>
              <w:jc w:val="left"/>
              <w:rPr>
                <w:rFonts w:ascii="Calibri" w:eastAsia="宋体"/>
                <w:sz w:val="21"/>
              </w:rPr>
            </w:pPr>
            <w:r>
              <w:rPr>
                <w:rFonts w:ascii="Calibri" w:eastAsia="宋体"/>
                <w:sz w:val="21"/>
              </w:rPr>
              <w:t>第i小时计划产量</w:t>
            </w:r>
          </w:p>
        </w:tc>
      </w:tr>
      <w:tr w14:paraId="481E8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57" w:type="dxa"/>
            <w:tcBorders>
              <w:top w:val="nil"/>
              <w:left w:val="nil"/>
              <w:bottom w:val="nil"/>
              <w:right w:val="nil"/>
            </w:tcBorders>
            <w:noWrap w:val="0"/>
            <w:tcMar>
              <w:top w:w="-1" w:type="dxa"/>
              <w:left w:w="-1" w:type="dxa"/>
              <w:bottom w:w="-1" w:type="dxa"/>
              <w:right w:w="-1" w:type="dxa"/>
            </w:tcMar>
            <w:vAlign w:val="center"/>
          </w:tcPr>
          <w:p w14:paraId="03E4EB9E">
            <w:pPr>
              <w:snapToGrid w:val="0"/>
              <w:ind w:left="0" w:leftChars="0" w:right="0" w:rightChars="0" w:firstLine="0" w:firstLineChars="0"/>
              <w:jc w:val="left"/>
              <w:rPr>
                <w:rFonts w:ascii="Calibri" w:eastAsia="宋体"/>
                <w:sz w:val="21"/>
              </w:rPr>
            </w:pPr>
            <w:r>
              <w:rPr>
                <w:rFonts w:ascii="Calibri" w:eastAsia="宋体"/>
                <w:sz w:val="21"/>
              </w:rPr>
              <w:t>加热温度</w:t>
            </w:r>
          </w:p>
        </w:tc>
        <w:tc>
          <w:tcPr>
            <w:tcW w:w="942" w:type="dxa"/>
            <w:tcBorders>
              <w:top w:val="nil"/>
              <w:left w:val="nil"/>
              <w:bottom w:val="nil"/>
              <w:right w:val="nil"/>
            </w:tcBorders>
            <w:noWrap w:val="0"/>
            <w:tcMar>
              <w:top w:w="-1" w:type="dxa"/>
              <w:left w:w="-1" w:type="dxa"/>
              <w:bottom w:w="-1" w:type="dxa"/>
              <w:right w:w="-1" w:type="dxa"/>
            </w:tcMar>
            <w:vAlign w:val="center"/>
          </w:tcPr>
          <w:p w14:paraId="76E7E38E">
            <w:pPr>
              <w:snapToGrid w:val="0"/>
              <w:ind w:left="0" w:leftChars="0" w:right="0" w:rightChars="0" w:firstLine="0" w:firstLineChars="0"/>
              <w:jc w:val="center"/>
              <w:rPr>
                <w:rFonts w:ascii="Calibri" w:eastAsia="宋体"/>
                <w:sz w:val="21"/>
              </w:rPr>
            </w:pP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p>
        </w:tc>
        <w:tc>
          <w:tcPr>
            <w:tcW w:w="942" w:type="dxa"/>
            <w:tcBorders>
              <w:top w:val="nil"/>
              <w:left w:val="nil"/>
              <w:bottom w:val="nil"/>
              <w:right w:val="nil"/>
            </w:tcBorders>
            <w:noWrap w:val="0"/>
            <w:tcMar>
              <w:top w:w="-1" w:type="dxa"/>
              <w:left w:w="-1" w:type="dxa"/>
              <w:bottom w:w="-1" w:type="dxa"/>
              <w:right w:w="-1" w:type="dxa"/>
            </w:tcMar>
            <w:vAlign w:val="center"/>
          </w:tcPr>
          <w:p w14:paraId="459F41FB">
            <w:pPr>
              <w:snapToGrid w:val="0"/>
              <w:ind w:left="0" w:leftChars="0" w:right="0" w:rightChars="0" w:firstLine="0" w:firstLineChars="0"/>
              <w:jc w:val="left"/>
              <w:rPr>
                <w:rFonts w:ascii="Calibri" w:eastAsia="宋体"/>
                <w:sz w:val="21"/>
              </w:rPr>
            </w:pPr>
            <w:r>
              <w:rPr>
                <w:rFonts w:ascii="Calibri" w:eastAsia="宋体"/>
                <w:sz w:val="21"/>
              </w:rPr>
              <w:t>℃</w:t>
            </w:r>
          </w:p>
        </w:tc>
        <w:tc>
          <w:tcPr>
            <w:tcW w:w="942" w:type="dxa"/>
            <w:tcBorders>
              <w:top w:val="nil"/>
              <w:left w:val="nil"/>
              <w:bottom w:val="nil"/>
              <w:right w:val="nil"/>
            </w:tcBorders>
            <w:noWrap w:val="0"/>
            <w:tcMar>
              <w:top w:w="-1" w:type="dxa"/>
              <w:left w:w="-1" w:type="dxa"/>
              <w:bottom w:w="-1" w:type="dxa"/>
              <w:right w:w="-1" w:type="dxa"/>
            </w:tcMar>
            <w:vAlign w:val="center"/>
          </w:tcPr>
          <w:p w14:paraId="7E03E07E">
            <w:pPr>
              <w:snapToGrid w:val="0"/>
              <w:ind w:left="0" w:leftChars="0" w:right="0" w:rightChars="0" w:firstLine="0" w:firstLineChars="0"/>
              <w:jc w:val="center"/>
              <w:rPr>
                <w:rFonts w:ascii="Calibri" w:eastAsia="宋体"/>
                <w:sz w:val="21"/>
              </w:rPr>
            </w:pPr>
            <w:r>
              <w:rPr>
                <w:rFonts w:ascii="Calibri" w:eastAsia="宋体"/>
                <w:sz w:val="21"/>
              </w:rPr>
              <w:t>24</w:t>
            </w:r>
          </w:p>
        </w:tc>
        <w:tc>
          <w:tcPr>
            <w:tcW w:w="3922" w:type="dxa"/>
            <w:tcBorders>
              <w:top w:val="nil"/>
              <w:left w:val="nil"/>
              <w:bottom w:val="nil"/>
              <w:right w:val="nil"/>
            </w:tcBorders>
            <w:noWrap w:val="0"/>
            <w:tcMar>
              <w:top w:w="-1" w:type="dxa"/>
              <w:left w:w="-1" w:type="dxa"/>
              <w:bottom w:w="-1" w:type="dxa"/>
              <w:right w:w="-1" w:type="dxa"/>
            </w:tcMar>
            <w:vAlign w:val="center"/>
          </w:tcPr>
          <w:p w14:paraId="245EDBAE">
            <w:pPr>
              <w:snapToGrid w:val="0"/>
              <w:ind w:left="0" w:leftChars="0" w:right="0" w:rightChars="0" w:firstLine="0" w:firstLineChars="0"/>
              <w:jc w:val="left"/>
              <w:rPr>
                <w:rFonts w:ascii="Calibri" w:eastAsia="宋体"/>
                <w:sz w:val="21"/>
              </w:rPr>
            </w:pPr>
            <w:r>
              <w:rPr>
                <w:rFonts w:ascii="Calibri" w:eastAsia="宋体"/>
                <w:sz w:val="21"/>
              </w:rPr>
              <w:t>第i小时加热炉温度设定值</w:t>
            </w:r>
          </w:p>
        </w:tc>
      </w:tr>
      <w:tr w14:paraId="348285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57" w:type="dxa"/>
            <w:tcBorders>
              <w:top w:val="nil"/>
              <w:left w:val="nil"/>
              <w:bottom w:val="single" w:color="auto" w:sz="12" w:space="0"/>
              <w:right w:val="nil"/>
            </w:tcBorders>
            <w:noWrap w:val="0"/>
            <w:tcMar>
              <w:top w:w="-1" w:type="dxa"/>
              <w:left w:w="-1" w:type="dxa"/>
              <w:bottom w:w="-1" w:type="dxa"/>
              <w:right w:w="-1" w:type="dxa"/>
            </w:tcMar>
            <w:vAlign w:val="center"/>
          </w:tcPr>
          <w:p w14:paraId="5E527398">
            <w:pPr>
              <w:snapToGrid w:val="0"/>
              <w:ind w:left="0" w:leftChars="0" w:right="0" w:rightChars="0" w:firstLine="0" w:firstLineChars="0"/>
              <w:jc w:val="left"/>
              <w:rPr>
                <w:rFonts w:ascii="Calibri" w:eastAsia="宋体"/>
                <w:sz w:val="21"/>
              </w:rPr>
            </w:pPr>
            <w:r>
              <w:rPr>
                <w:rFonts w:ascii="Calibri" w:eastAsia="宋体"/>
                <w:sz w:val="21"/>
              </w:rPr>
              <w:t>轧制速度</w:t>
            </w:r>
          </w:p>
        </w:tc>
        <w:tc>
          <w:tcPr>
            <w:tcW w:w="942" w:type="dxa"/>
            <w:tcBorders>
              <w:top w:val="nil"/>
              <w:left w:val="nil"/>
              <w:bottom w:val="single" w:color="auto" w:sz="12" w:space="0"/>
              <w:right w:val="nil"/>
            </w:tcBorders>
            <w:noWrap w:val="0"/>
            <w:tcMar>
              <w:top w:w="-1" w:type="dxa"/>
              <w:left w:w="-1" w:type="dxa"/>
              <w:bottom w:w="-1" w:type="dxa"/>
              <w:right w:w="-1" w:type="dxa"/>
            </w:tcMar>
            <w:vAlign w:val="center"/>
          </w:tcPr>
          <w:p w14:paraId="3F512107">
            <w:pPr>
              <w:snapToGrid w:val="0"/>
              <w:ind w:left="0" w:leftChars="0" w:right="0" w:rightChars="0" w:firstLine="0" w:firstLineChars="0"/>
              <w:jc w:val="center"/>
              <w:rPr>
                <w:rFonts w:ascii="Calibri" w:eastAsia="宋体"/>
                <w:sz w:val="21"/>
              </w:rPr>
            </w:pP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p>
        </w:tc>
        <w:tc>
          <w:tcPr>
            <w:tcW w:w="942" w:type="dxa"/>
            <w:tcBorders>
              <w:top w:val="nil"/>
              <w:left w:val="nil"/>
              <w:bottom w:val="single" w:color="auto" w:sz="12" w:space="0"/>
              <w:right w:val="nil"/>
            </w:tcBorders>
            <w:noWrap w:val="0"/>
            <w:tcMar>
              <w:top w:w="-1" w:type="dxa"/>
              <w:left w:w="-1" w:type="dxa"/>
              <w:bottom w:w="-1" w:type="dxa"/>
              <w:right w:w="-1" w:type="dxa"/>
            </w:tcMar>
            <w:vAlign w:val="center"/>
          </w:tcPr>
          <w:p w14:paraId="4D8AFECB">
            <w:pPr>
              <w:snapToGrid w:val="0"/>
              <w:ind w:left="0" w:leftChars="0" w:right="0" w:rightChars="0" w:firstLine="0" w:firstLineChars="0"/>
              <w:jc w:val="left"/>
              <w:rPr>
                <w:rFonts w:ascii="Calibri" w:eastAsia="宋体"/>
                <w:sz w:val="21"/>
              </w:rPr>
            </w:pPr>
            <w:r>
              <w:rPr>
                <w:rFonts w:ascii="Calibri" w:eastAsia="宋体"/>
                <w:sz w:val="21"/>
              </w:rPr>
              <w:t>m/s</w:t>
            </w:r>
          </w:p>
        </w:tc>
        <w:tc>
          <w:tcPr>
            <w:tcW w:w="942" w:type="dxa"/>
            <w:tcBorders>
              <w:top w:val="nil"/>
              <w:left w:val="nil"/>
              <w:bottom w:val="single" w:color="auto" w:sz="12" w:space="0"/>
              <w:right w:val="nil"/>
            </w:tcBorders>
            <w:noWrap w:val="0"/>
            <w:tcMar>
              <w:top w:w="-1" w:type="dxa"/>
              <w:left w:w="-1" w:type="dxa"/>
              <w:bottom w:w="-1" w:type="dxa"/>
              <w:right w:w="-1" w:type="dxa"/>
            </w:tcMar>
            <w:vAlign w:val="center"/>
          </w:tcPr>
          <w:p w14:paraId="1F624807">
            <w:pPr>
              <w:snapToGrid w:val="0"/>
              <w:ind w:left="0" w:leftChars="0" w:right="0" w:rightChars="0" w:firstLine="0" w:firstLineChars="0"/>
              <w:jc w:val="center"/>
              <w:rPr>
                <w:rFonts w:ascii="Calibri" w:eastAsia="宋体"/>
                <w:sz w:val="21"/>
              </w:rPr>
            </w:pPr>
            <w:r>
              <w:rPr>
                <w:rFonts w:ascii="Calibri" w:eastAsia="宋体"/>
                <w:sz w:val="21"/>
              </w:rPr>
              <w:t>24</w:t>
            </w:r>
          </w:p>
        </w:tc>
        <w:tc>
          <w:tcPr>
            <w:tcW w:w="3922" w:type="dxa"/>
            <w:tcBorders>
              <w:top w:val="nil"/>
              <w:left w:val="nil"/>
              <w:bottom w:val="single" w:color="auto" w:sz="12" w:space="0"/>
              <w:right w:val="nil"/>
            </w:tcBorders>
            <w:noWrap w:val="0"/>
            <w:tcMar>
              <w:top w:w="-1" w:type="dxa"/>
              <w:left w:w="-1" w:type="dxa"/>
              <w:bottom w:w="-1" w:type="dxa"/>
              <w:right w:w="-1" w:type="dxa"/>
            </w:tcMar>
            <w:vAlign w:val="center"/>
          </w:tcPr>
          <w:p w14:paraId="10FF3916">
            <w:pPr>
              <w:snapToGrid w:val="0"/>
              <w:ind w:left="0" w:leftChars="0" w:right="0" w:rightChars="0" w:firstLine="0" w:firstLineChars="0"/>
              <w:jc w:val="left"/>
              <w:rPr>
                <w:rFonts w:ascii="Calibri" w:eastAsia="宋体"/>
                <w:sz w:val="21"/>
              </w:rPr>
            </w:pPr>
            <w:r>
              <w:rPr>
                <w:rFonts w:ascii="Calibri" w:eastAsia="宋体"/>
                <w:sz w:val="21"/>
              </w:rPr>
              <w:t>第i小时轧机速度设定值</w:t>
            </w:r>
          </w:p>
        </w:tc>
      </w:tr>
    </w:tbl>
    <w:p w14:paraId="6541C5ED">
      <w:pPr>
        <w:pStyle w:val="4"/>
      </w:pPr>
      <w:r>
        <w:t>2.3 目标函数</w:t>
      </w:r>
    </w:p>
    <w:p w14:paraId="7E6F8AF9">
      <w:r>
        <w:t>模型目标为最小化日总用电成本，考虑分时电价机制：</w:t>
      </w:r>
    </w:p>
    <w:p w14:paraId="36F49797">
      <m:oMathPara>
        <m:oMath>
          <m:func>
            <m:funcPr>
              <m:ctrlPr>
                <w:rPr>
                  <w:rFonts w:hint="default" w:ascii="Cambria Math"/>
                </w:rPr>
              </m:ctrlPr>
            </m:funcPr>
            <m:fName>
              <m:limLow>
                <m:limLowPr>
                  <m:ctrlPr>
                    <w:rPr>
                      <w:rFonts w:hint="default" w:ascii="Cambria Math"/>
                    </w:rPr>
                  </m:ctrlPr>
                </m:limLowPr>
                <m:e>
                  <m:r>
                    <m:rPr>
                      <m:sty m:val="p"/>
                    </m:rPr>
                    <w:rPr>
                      <w:rFonts w:hint="default" w:ascii="Cambria Math"/>
                    </w:rPr>
                    <m:t>min</m:t>
                  </m:r>
                </m:e>
                <m:lim/>
              </m:limLow>
              <m:ctrlPr>
                <w:rPr>
                  <w:rFonts w:hint="default" w:ascii="Cambria Math"/>
                </w:rPr>
              </m:ctrlPr>
            </m:fName>
            <m:e>
              <m:r>
                <m:rPr/>
                <w:rPr>
                  <w:rFonts w:hint="default" w:ascii="Cambria Math"/>
                </w:rPr>
                <m:t>J</m:t>
              </m:r>
              <m:ctrlPr>
                <w:rPr>
                  <w:rFonts w:hint="default" w:ascii="Cambria Math"/>
                </w:rPr>
              </m:ctrlPr>
            </m:e>
          </m:func>
          <m:r>
            <m:rPr/>
            <w:rPr>
              <w:rFonts w:hint="default" w:ascii="Cambria Math"/>
            </w:rPr>
            <m:t>=</m:t>
          </m:r>
          <m:nary>
            <m:naryPr>
              <m:chr m:val="∑"/>
              <m:limLoc m:val="subSup"/>
              <m:ctrlPr>
                <w:rPr>
                  <w:rFonts w:hint="default" w:ascii="Cambria Math"/>
                </w:rPr>
              </m:ctrlPr>
            </m:naryPr>
            <m:sub>
              <m:r>
                <m:rPr/>
                <w:rPr>
                  <w:rFonts w:hint="default" w:ascii="Cambria Math"/>
                </w:rPr>
                <m:t>i=1</m:t>
              </m:r>
              <m:ctrlPr>
                <w:rPr>
                  <w:rFonts w:hint="default" w:ascii="Cambria Math"/>
                </w:rPr>
              </m:ctrlPr>
            </m:sub>
            <m:sup>
              <m:r>
                <m:rPr/>
                <w:rPr>
                  <w:rFonts w:hint="default" w:ascii="Cambria Math"/>
                </w:rPr>
                <m:t>24</m:t>
              </m:r>
              <m:ctrlPr>
                <w:rPr>
                  <w:rFonts w:hint="default" w:ascii="Cambria Math"/>
                </w:rPr>
              </m:ctrlPr>
            </m:sup>
            <m:e>
              <m:sSub>
                <m:sSubPr>
                  <m:ctrlPr>
                    <w:rPr>
                      <w:rFonts w:hint="default" w:ascii="Cambria Math"/>
                    </w:rPr>
                  </m:ctrlPr>
                </m:sSubPr>
                <m:e>
                  <m:r>
                    <m:rPr/>
                    <w:rPr>
                      <w:rFonts w:hint="default" w:ascii="Cambria Math"/>
                    </w:rPr>
                    <m:t>x</m:t>
                  </m:r>
                </m:e>
                <m:sub>
                  <m:r>
                    <m:rPr/>
                    <w:rPr>
                      <w:rFonts w:hint="default" w:ascii="Cambria Math"/>
                    </w:rPr>
                    <m:t>i</m:t>
                  </m:r>
                </m:sub>
              </m:sSub>
              <m:ctrlPr>
                <w:rPr>
                  <w:rFonts w:hint="default" w:ascii="Cambria Math"/>
                </w:rPr>
              </m:ctrlPr>
            </m:e>
          </m:nary>
          <m:r>
            <m:rPr/>
            <w:rPr>
              <w:rFonts w:hint="default" w:ascii="Cambria Math"/>
            </w:rPr>
            <m:t>⋅α(</m:t>
          </m:r>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oMath>
      </m:oMathPara>
    </w:p>
    <w:p w14:paraId="27073BAA">
      <w:r>
        <w:t>其中：</w:t>
      </w:r>
    </w:p>
    <w:p w14:paraId="353DCD32">
      <w:pPr>
        <w:numPr>
          <w:ilvl w:val="0"/>
          <w:numId w:val="5"/>
        </w:numPr>
        <w:spacing w:before="0"/>
      </w:pPr>
      <m:oMath>
        <m:sSub>
          <m:sSubPr>
            <m:ctrlPr>
              <w:rPr>
                <w:rFonts w:hint="default" w:ascii="Cambria Math"/>
              </w:rPr>
            </m:ctrlPr>
          </m:sSubPr>
          <m:e>
            <m:r>
              <m:rPr/>
              <w:rPr>
                <w:rFonts w:hint="default" w:ascii="Cambria Math"/>
              </w:rPr>
              <m:t>x</m:t>
            </m:r>
          </m:e>
          <m:sub>
            <m:r>
              <m:rPr/>
              <w:rPr>
                <w:rFonts w:hint="default" w:ascii="Cambria Math"/>
              </w:rPr>
              <m:t>i</m:t>
            </m:r>
          </m:sub>
        </m:sSub>
      </m:oMath>
      <w:r>
        <w:t>：第i小时产量（吨）</w:t>
      </w:r>
    </w:p>
    <w:p w14:paraId="12854F64">
      <w:pPr>
        <w:numPr>
          <w:ilvl w:val="0"/>
          <w:numId w:val="5"/>
        </w:numPr>
      </w:pPr>
      <m:oMath>
        <m:r>
          <m:rPr/>
          <w:rPr>
            <w:rFonts w:hint="default" w:ascii="Cambria Math"/>
          </w:rPr>
          <m:t>α(</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i</m:t>
            </m:r>
          </m:sub>
        </m:sSub>
        <m:r>
          <m:rPr/>
          <w:rPr>
            <w:rFonts w:hint="default" w:ascii="Cambria Math"/>
          </w:rPr>
          <m:t>)</m:t>
        </m:r>
      </m:oMath>
      <w:r>
        <w:t>：电耗系数（kWh/吨），受加热温度和轧制速度影响</w:t>
      </w:r>
    </w:p>
    <w:p w14:paraId="7E39CFA7">
      <w:pPr>
        <w:numPr>
          <w:ilvl w:val="0"/>
          <w:numId w:val="5"/>
        </w:numPr>
        <w:spacing w:after="0"/>
      </w:pPr>
      <m:oMath>
        <m:sSub>
          <m:sSubPr>
            <m:ctrlPr>
              <w:rPr>
                <w:rFonts w:hint="default" w:ascii="Cambria Math"/>
              </w:rPr>
            </m:ctrlPr>
          </m:sSubPr>
          <m:e>
            <m:r>
              <m:rPr/>
              <w:rPr>
                <w:rFonts w:hint="default" w:ascii="Cambria Math"/>
              </w:rPr>
              <m:t>p</m:t>
            </m:r>
          </m:e>
          <m:sub>
            <m:r>
              <m:rPr/>
              <w:rPr>
                <w:rFonts w:hint="default" w:ascii="Cambria Math"/>
              </w:rPr>
              <m:t>i</m:t>
            </m:r>
          </m:sub>
        </m:sSub>
      </m:oMath>
      <w:r>
        <w:t>：第i小时电价（元/kWh），分时电价系数</w:t>
      </w:r>
    </w:p>
    <w:p w14:paraId="06DB818D">
      <w:r>
        <w:t xml:space="preserve">电耗系数 </w:t>
      </w:r>
      <m:oMath>
        <m:r>
          <m:rPr/>
          <w:rPr>
            <w:rFonts w:hint="default" w:ascii="Cambria Math"/>
          </w:rPr>
          <m:t>α</m:t>
        </m:r>
      </m:oMath>
      <w:r>
        <w:t xml:space="preserve"> 的计算方式：</w:t>
      </w:r>
    </w:p>
    <w:p w14:paraId="6E3BEECB">
      <m:oMathPara>
        <m:oMath>
          <m:r>
            <m:rPr/>
            <w:rPr>
              <w:rFonts w:hint="default" w:ascii="Cambria Math"/>
            </w:rPr>
            <m:t>α(</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α</m:t>
              </m:r>
            </m:e>
            <m:sub>
              <m:r>
                <m:rPr/>
                <w:rPr>
                  <w:rFonts w:hint="default" w:ascii="Cambria Math"/>
                </w:rPr>
                <m:t>0</m:t>
              </m:r>
            </m:sub>
          </m:sSub>
          <m:r>
            <m:rPr/>
            <w:rPr>
              <w:rFonts w:hint="default" w:ascii="Cambria Math"/>
            </w:rPr>
            <m:t>⋅(1+</m:t>
          </m:r>
          <m:sSub>
            <m:sSubPr>
              <m:ctrlPr>
                <w:rPr>
                  <w:rFonts w:hint="default" w:ascii="Cambria Math"/>
                </w:rPr>
              </m:ctrlPr>
            </m:sSubPr>
            <m:e>
              <m:r>
                <m:rPr/>
                <w:rPr>
                  <w:rFonts w:hint="default" w:ascii="Cambria Math"/>
                </w:rPr>
                <m:t>β</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T</m:t>
              </m:r>
            </m:e>
            <m:sub>
              <m:r>
                <m:rPr/>
                <w:rPr>
                  <w:rFonts w:hint="default" w:ascii="Cambria Math"/>
                </w:rPr>
                <m:t>ref</m:t>
              </m:r>
            </m:sub>
          </m:sSub>
          <m:r>
            <m:rPr/>
            <w:rPr>
              <w:rFonts w:hint="default" w:ascii="Cambria Math"/>
            </w:rPr>
            <m:t>))⋅(1−</m:t>
          </m:r>
          <m:sSub>
            <m:sSubPr>
              <m:ctrlPr>
                <w:rPr>
                  <w:rFonts w:hint="default" w:ascii="Cambria Math"/>
                </w:rPr>
              </m:ctrlPr>
            </m:sSubPr>
            <m:e>
              <m:r>
                <m:rPr/>
                <w:rPr>
                  <w:rFonts w:hint="default" w:ascii="Cambria Math"/>
                </w:rPr>
                <m:t>β</m:t>
              </m:r>
            </m:e>
            <m:sub>
              <m:r>
                <m:rPr/>
                <w:rPr>
                  <w:rFonts w:hint="default" w:ascii="Cambria Math"/>
                </w:rPr>
                <m:t>v</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ref</m:t>
              </m:r>
            </m:sub>
          </m:sSub>
          <m:r>
            <m:rPr/>
            <w:rPr>
              <w:rFonts w:hint="default" w:ascii="Cambria Math"/>
            </w:rPr>
            <m:t>))</m:t>
          </m:r>
        </m:oMath>
      </m:oMathPara>
    </w:p>
    <w:p w14:paraId="15443129">
      <w:r>
        <w:t>其中：</w:t>
      </w:r>
    </w:p>
    <w:p w14:paraId="6EABEA04">
      <w:pPr>
        <w:numPr>
          <w:ilvl w:val="0"/>
          <w:numId w:val="6"/>
        </w:numPr>
        <w:spacing w:before="0"/>
      </w:pPr>
      <m:oMath>
        <m:sSub>
          <m:sSubPr>
            <m:ctrlPr>
              <w:rPr>
                <w:rFonts w:hint="default" w:ascii="Cambria Math"/>
              </w:rPr>
            </m:ctrlPr>
          </m:sSubPr>
          <m:e>
            <m:r>
              <m:rPr/>
              <w:rPr>
                <w:rFonts w:hint="default" w:ascii="Cambria Math"/>
              </w:rPr>
              <m:t>α</m:t>
            </m:r>
          </m:e>
          <m:sub>
            <m:r>
              <m:rPr/>
              <w:rPr>
                <w:rFonts w:hint="default" w:ascii="Cambria Math"/>
              </w:rPr>
              <m:t>0</m:t>
            </m:r>
          </m:sub>
        </m:sSub>
      </m:oMath>
      <w:r>
        <w:t>：基准电耗系数（14.00 kWh/吨）</w:t>
      </w:r>
    </w:p>
    <w:p w14:paraId="5973CE22">
      <w:pPr>
        <w:numPr>
          <w:ilvl w:val="0"/>
          <w:numId w:val="6"/>
        </w:numPr>
      </w:pPr>
      <m:oMath>
        <m:sSub>
          <m:sSubPr>
            <m:ctrlPr>
              <w:rPr>
                <w:rFonts w:hint="default" w:ascii="Cambria Math"/>
              </w:rPr>
            </m:ctrlPr>
          </m:sSubPr>
          <m:e>
            <m:r>
              <m:rPr/>
              <w:rPr>
                <w:rFonts w:hint="default" w:ascii="Cambria Math"/>
              </w:rPr>
              <m:t>β</m:t>
            </m:r>
          </m:e>
          <m:sub>
            <m:r>
              <m:rPr/>
              <w:rPr>
                <w:rFonts w:hint="default" w:ascii="Cambria Math"/>
              </w:rPr>
              <m:t>T</m:t>
            </m:r>
          </m:sub>
        </m:sSub>
      </m:oMath>
      <w:r>
        <w:t>：温度影响系数（0.00222/℃，来源于文献）</w:t>
      </w:r>
    </w:p>
    <w:p w14:paraId="09ADADDF">
      <w:pPr>
        <w:numPr>
          <w:ilvl w:val="0"/>
          <w:numId w:val="6"/>
        </w:numPr>
      </w:pPr>
      <m:oMath>
        <m:sSub>
          <m:sSubPr>
            <m:ctrlPr>
              <w:rPr>
                <w:rFonts w:hint="default" w:ascii="Cambria Math"/>
              </w:rPr>
            </m:ctrlPr>
          </m:sSubPr>
          <m:e>
            <m:r>
              <m:rPr/>
              <w:rPr>
                <w:rFonts w:hint="default" w:ascii="Cambria Math"/>
              </w:rPr>
              <m:t>β</m:t>
            </m:r>
          </m:e>
          <m:sub>
            <m:r>
              <m:rPr/>
              <w:rPr>
                <w:rFonts w:hint="default" w:ascii="Cambria Math"/>
              </w:rPr>
              <m:t>v</m:t>
            </m:r>
          </m:sub>
        </m:sSub>
      </m:oMath>
      <w:r>
        <w:t>：速度影响系数（0.03/(m/s)，来源于文献）</w:t>
      </w:r>
    </w:p>
    <w:p w14:paraId="41C29FF0">
      <w:pPr>
        <w:numPr>
          <w:ilvl w:val="0"/>
          <w:numId w:val="6"/>
        </w:numPr>
      </w:pPr>
      <m:oMath>
        <m:sSub>
          <m:sSubPr>
            <m:ctrlPr>
              <w:rPr>
                <w:rFonts w:hint="default" w:ascii="Cambria Math"/>
              </w:rPr>
            </m:ctrlPr>
          </m:sSubPr>
          <m:e>
            <m:r>
              <m:rPr/>
              <w:rPr>
                <w:rFonts w:hint="default" w:ascii="Cambria Math"/>
              </w:rPr>
              <m:t>T</m:t>
            </m:r>
          </m:e>
          <m:sub>
            <m:r>
              <m:rPr/>
              <w:rPr>
                <w:rFonts w:hint="default" w:ascii="Cambria Math"/>
              </w:rPr>
              <m:t>ref</m:t>
            </m:r>
          </m:sub>
        </m:sSub>
      </m:oMath>
      <w:r>
        <w:t>：基准加热温度（1150℃）</w:t>
      </w:r>
    </w:p>
    <w:p w14:paraId="07922F9C">
      <w:pPr>
        <w:numPr>
          <w:ilvl w:val="0"/>
          <w:numId w:val="6"/>
        </w:numPr>
        <w:spacing w:after="0"/>
      </w:pPr>
      <m:oMath>
        <m:sSub>
          <m:sSubPr>
            <m:ctrlPr>
              <w:rPr>
                <w:rFonts w:hint="default" w:ascii="Cambria Math"/>
              </w:rPr>
            </m:ctrlPr>
          </m:sSubPr>
          <m:e>
            <m:r>
              <m:rPr/>
              <w:rPr>
                <w:rFonts w:hint="default" w:ascii="Cambria Math"/>
              </w:rPr>
              <m:t>v</m:t>
            </m:r>
          </m:e>
          <m:sub>
            <m:r>
              <m:rPr/>
              <w:rPr>
                <w:rFonts w:hint="default" w:ascii="Cambria Math"/>
              </w:rPr>
              <m:t>ref</m:t>
            </m:r>
          </m:sub>
        </m:sSub>
      </m:oMath>
      <w:r>
        <w:t>：基准轧制速度（10 m/s）</w:t>
      </w:r>
    </w:p>
    <w:p w14:paraId="72114723">
      <w:pPr>
        <w:pStyle w:val="4"/>
      </w:pPr>
      <w:r>
        <w:t>2.4 约束条件</w:t>
      </w:r>
    </w:p>
    <w:p w14:paraId="5ED58527">
      <w:r>
        <w:rPr>
          <w:b/>
        </w:rPr>
        <w:t>（1）供需平衡约束</w:t>
      </w:r>
    </w:p>
    <w:p w14:paraId="361A9A24">
      <m:oMathPara>
        <m:oMath>
          <m:nary>
            <m:naryPr>
              <m:chr m:val="∑"/>
              <m:limLoc m:val="subSup"/>
              <m:ctrlPr>
                <w:rPr>
                  <w:rFonts w:hint="default" w:ascii="Cambria Math"/>
                </w:rPr>
              </m:ctrlPr>
            </m:naryPr>
            <m:sub>
              <m:r>
                <m:rPr/>
                <w:rPr>
                  <w:rFonts w:hint="default" w:ascii="Cambria Math"/>
                </w:rPr>
                <m:t>i=1</m:t>
              </m:r>
            </m:sub>
            <m:sup>
              <m:r>
                <m:rPr/>
                <w:rPr>
                  <w:rFonts w:hint="default" w:ascii="Cambria Math"/>
                </w:rPr>
                <m:t>24</m:t>
              </m:r>
            </m:sup>
            <m:e>
              <m:sSub>
                <m:sSubPr>
                  <m:ctrlPr>
                    <w:rPr>
                      <w:rFonts w:hint="default" w:ascii="Cambria Math"/>
                    </w:rPr>
                  </m:ctrlPr>
                </m:sSubPr>
                <m:e>
                  <m:r>
                    <m:rPr/>
                    <w:rPr>
                      <w:rFonts w:hint="default" w:ascii="Cambria Math"/>
                    </w:rPr>
                    <m:t>x</m:t>
                  </m:r>
                </m:e>
                <m:sub>
                  <m:r>
                    <m:rPr/>
                    <w:rPr>
                      <w:rFonts w:hint="default" w:ascii="Cambria Math"/>
                    </w:rPr>
                    <m:t>i</m:t>
                  </m:r>
                </m:sub>
              </m:sSub>
              <m:ctrlPr>
                <w:rPr>
                  <w:rFonts w:hint="default" w:ascii="Cambria Math"/>
                </w:rPr>
              </m:ctrlPr>
            </m:e>
          </m:nary>
          <m:r>
            <m:rPr/>
            <w:rPr>
              <w:rFonts w:hint="default" w:ascii="Cambria Math"/>
            </w:rPr>
            <m:t>=</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total</m:t>
              </m:r>
              <m:ctrlPr>
                <w:rPr>
                  <w:rFonts w:hint="default" w:ascii="Cambria Math"/>
                </w:rPr>
              </m:ctrlPr>
            </m:sub>
          </m:sSub>
        </m:oMath>
      </m:oMathPara>
    </w:p>
    <w:p w14:paraId="24031BD6">
      <w:r>
        <w:t>即24小时总产量必须等于总订单需求。</w:t>
      </w:r>
    </w:p>
    <w:p w14:paraId="5177F104">
      <w:r>
        <w:rPr>
          <w:b/>
        </w:rPr>
        <w:t>（2）产量上下限约束</w:t>
      </w:r>
    </w:p>
    <w:p w14:paraId="46B71B5B">
      <m:oMathPara>
        <m:oMath>
          <m:sSub>
            <m:sSubPr>
              <m:ctrlPr>
                <w:rPr>
                  <w:rFonts w:hint="default" w:ascii="Cambria Math"/>
                </w:rPr>
              </m:ctrlPr>
            </m:sSubPr>
            <m:e>
              <m:r>
                <m:rPr/>
                <w:rPr>
                  <w:rFonts w:hint="default" w:ascii="Cambria Math"/>
                </w:rPr>
                <m:t>x</m:t>
              </m:r>
            </m:e>
            <m:sub>
              <m:r>
                <m:rPr/>
                <w:rPr>
                  <w:rFonts w:hint="default" w:ascii="Cambria Math"/>
                </w:rPr>
                <m:t>min</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max</m:t>
              </m:r>
            </m:sub>
          </m:sSub>
        </m:oMath>
      </m:oMathPara>
    </w:p>
    <w:p w14:paraId="3B99E18F">
      <w:pPr>
        <w:rPr>
          <w:b/>
        </w:rPr>
      </w:pPr>
      <w:r>
        <w:t>每小时产量在0.15~1.0吨之间。</w:t>
      </w:r>
    </w:p>
    <w:p w14:paraId="512228B6">
      <w:pPr>
        <w:numPr>
          <w:numId w:val="0"/>
        </w:numPr>
      </w:pPr>
      <w:r>
        <w:rPr>
          <w:b/>
        </w:rPr>
        <w:drawing>
          <wp:inline distT="0" distB="0" distL="114300" distR="114300">
            <wp:extent cx="2197735" cy="9645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197735" cy="964565"/>
                    </a:xfrm>
                    <a:prstGeom prst="rect">
                      <a:avLst/>
                    </a:prstGeom>
                    <a:noFill/>
                    <a:ln>
                      <a:noFill/>
                    </a:ln>
                  </pic:spPr>
                </pic:pic>
              </a:graphicData>
            </a:graphic>
          </wp:inline>
        </w:drawing>
      </w:r>
    </w:p>
    <w:p w14:paraId="121CB83C">
      <w:r>
        <w:rPr>
          <w:b/>
        </w:rPr>
        <w:t>（4）产量平滑约束（爬坡约束）</w:t>
      </w:r>
    </w:p>
    <w:p w14:paraId="12B7B422">
      <m:oMathPara>
        <m:oMath>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i−1</m:t>
              </m:r>
            </m:sub>
          </m:sSub>
          <m:r>
            <m:rPr/>
            <w:rPr>
              <w:rFonts w:hint="default" w:ascii="Cambria Math"/>
            </w:rPr>
            <m:t>|≤Δ</m:t>
          </m:r>
          <m:sSub>
            <m:sSubPr>
              <m:ctrlPr>
                <w:rPr>
                  <w:rFonts w:hint="default" w:ascii="Cambria Math"/>
                </w:rPr>
              </m:ctrlPr>
            </m:sSubPr>
            <m:e>
              <m:r>
                <m:rPr/>
                <w:rPr>
                  <w:rFonts w:hint="default" w:ascii="Cambria Math"/>
                </w:rPr>
                <m:t>x</m:t>
              </m:r>
            </m:e>
            <m:sub>
              <m:r>
                <m:rPr/>
                <w:rPr>
                  <w:rFonts w:hint="default" w:ascii="Cambria Math"/>
                </w:rPr>
                <m:t>max</m:t>
              </m:r>
            </m:sub>
          </m:sSub>
        </m:oMath>
      </m:oMathPara>
    </w:p>
    <w:p w14:paraId="38F1B14F">
      <w:r>
        <w:t>相邻小时产量变化不超过0.8吨/小时，保证生产连续性。</w:t>
      </w:r>
    </w:p>
    <w:p w14:paraId="5FFC37E3">
      <w:pPr>
        <w:pStyle w:val="4"/>
      </w:pPr>
      <w:r>
        <w:t>2.5 求解方法</w:t>
      </w:r>
    </w:p>
    <w:p w14:paraId="64B360E6">
      <w:r>
        <w:t>使用MATLAB R202</w:t>
      </w:r>
      <w:r>
        <w:rPr>
          <w:rFonts w:hint="eastAsia"/>
          <w:lang w:val="en-US" w:eastAsia="zh-CN"/>
        </w:rPr>
        <w:t>4</w:t>
      </w:r>
      <w:r>
        <w:t>b的intlinprog求解器，采用分支定界算法。求解参数设置：最大求解时间120秒，相对间隙容差1%。</w:t>
      </w:r>
    </w:p>
    <w:p w14:paraId="64EA3746">
      <w:pPr>
        <w:keepNext/>
        <w:keepLines/>
        <w:widowControl w:val="0"/>
        <w:spacing w:before="260" w:beforeLines="0" w:beforeAutospacing="0" w:after="260" w:afterLines="0" w:afterAutospacing="0" w:line="413" w:lineRule="auto"/>
        <w:jc w:val="both"/>
        <w:outlineLvl w:val="2"/>
        <w:rPr>
          <w:rFonts w:hint="default"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pPr>
      <w:r>
        <w:rPr>
          <w:rFonts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t>2.6 工序建模约束</w:t>
      </w:r>
      <w:r>
        <w:rPr>
          <w:rFonts w:hint="eastAsia"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t>(新加的)</w:t>
      </w:r>
    </w:p>
    <w:p w14:paraId="3EA7CC35">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为更真实地反映轧钢生产过程，本研究在MILP模型中引入了工序级建模约束，将产量与各工序运行状态关联，而非将产量作为完全独立的决策变量。</w:t>
      </w:r>
    </w:p>
    <w:p w14:paraId="15E86D19">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（1）工序状态变量（离散流程启停约束）</w:t>
      </w:r>
    </w:p>
    <w:p w14:paraId="2356910F">
      <w:pPr>
        <m:rPr/>
        <w:rPr>
          <w:rFonts w:hint="default"/>
          <w:color w:val="E54C5E" w:themeColor="accent6"/>
          <w:lang w:val="en-US" w:eastAsia="zh-CN"/>
          <w14:textFill>
            <w14:solidFill>
              <w14:schemeClr w14:val="accent6"/>
            </w14:solidFill>
          </w14:textFill>
          <w:oMath/>
        </w:rPr>
      </w:pPr>
      <w:r>
        <m:rPr/>
        <w:rPr>
          <w:rFonts w:hint="default"/>
          <w:color w:val="E54C5E" w:themeColor="accent6"/>
          <w:lang w:val="en-US" w:eastAsia="zh-CN"/>
          <w14:textFill>
            <w14:solidFill>
              <w14:schemeClr w14:val="accent6"/>
            </w14:solidFill>
          </w14:textFill>
          <w:oMath/>
        </w:rPr>
        <w:t>参照文献[基于通用化生产流程模型的工业园区微电网能量管理与生产流程协同优化]的式(2)-(3)，引入工序状态变量s(t)表示加热炉在t时刻的运行状态（s=1为运行，s=0为停机），以及启动变量start(t)和停止变量stop(t)。约束如下：</w:t>
      </w:r>
    </w:p>
    <w:p w14:paraId="42545557">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s(t) - s(t-1) = start(t) - stop(t) （启停与状态转换关系）start(t) + stop(t) ≤ 1 （不能同时启停）</w:t>
      </w:r>
    </w:p>
    <w:p w14:paraId="0A24D851">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产量由加热炉状态决定：</w:t>
      </w:r>
    </w:p>
    <w:p w14:paraId="3384BDC4">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production(t) ≤ 0.15 + 0.80 × s(t)</w:t>
      </w:r>
    </w:p>
    <w:p w14:paraId="5290550A">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当加热炉停机时，产量只能为最低值0.15吨/小时；当加热炉运行时，产量可在0.15~0.95吨/小时范围内调节。该约束将产量与工序运行状态直接挂钩，使模型具备工序级决策能力。</w:t>
      </w:r>
    </w:p>
    <w:p w14:paraId="559531EB">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（2）工序时序依赖约束</w:t>
      </w:r>
    </w:p>
    <w:p w14:paraId="5164E0DE">
      <w:pPr>
        <m:rPr/>
        <w:rPr>
          <w:rFonts w:hint="default"/>
          <w:color w:val="E54C5E" w:themeColor="accent6"/>
          <w:lang w:val="en-US" w:eastAsia="zh-CN"/>
          <w14:textFill>
            <w14:solidFill>
              <w14:schemeClr w14:val="accent6"/>
            </w14:solidFill>
          </w14:textFill>
          <w:oMath/>
        </w:rPr>
      </w:pPr>
      <w:r>
        <m:rPr/>
        <w:rPr>
          <w:rFonts w:hint="default"/>
          <w:color w:val="E54C5E" w:themeColor="accent6"/>
          <w:lang w:val="en-US" w:eastAsia="zh-CN"/>
          <w14:textFill>
            <w14:solidFill>
              <w14:schemeClr w14:val="accent6"/>
            </w14:solidFill>
          </w14:textFill>
          <w:oMath/>
        </w:rPr>
        <w:t>参照文献式(8)-(10)，轧钢生产遵循“加热→粗轧→精轧→冷却→卷取”的顺序流程。本研究以加热炉状态作为核心工序变量，后续工序产量由加热炉状态决定，实现时序依赖关系的简化建模。</w:t>
      </w:r>
    </w:p>
    <w:p w14:paraId="32CC959E">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设加热炉运行时段为T_run，则：</w:t>
      </w:r>
    </w:p>
    <w:p w14:paraId="34E3358A">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所有工序仅在T_run时段内安排生产</w:t>
      </w:r>
    </w:p>
    <w:p w14:paraId="6233C4A4">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非T_run时段，各工序均处于停机状态</w:t>
      </w:r>
    </w:p>
    <w:p w14:paraId="644C679E">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该约束确保了轧钢生产流程的时序逻辑，即加热工序必须先于后续工序运行。</w:t>
      </w:r>
    </w:p>
    <w:p w14:paraId="24A837CF">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（3）加热炉最小启停时间约束</w:t>
      </w:r>
    </w:p>
    <w:p w14:paraId="34F1F967">
      <w:pPr>
        <m:rPr/>
        <w:rPr>
          <w:rFonts w:hint="default"/>
          <w:color w:val="E54C5E" w:themeColor="accent6"/>
          <w:lang w:val="en-US" w:eastAsia="zh-CN"/>
          <w14:textFill>
            <w14:solidFill>
              <w14:schemeClr w14:val="accent6"/>
            </w14:solidFill>
          </w14:textFill>
          <w:oMath/>
        </w:rPr>
      </w:pPr>
      <w:r>
        <m:rPr/>
        <w:rPr>
          <w:rFonts w:hint="default"/>
          <w:color w:val="E54C5E" w:themeColor="accent6"/>
          <w:lang w:val="en-US" w:eastAsia="zh-CN"/>
          <w14:textFill>
            <w14:solidFill>
              <w14:schemeClr w14:val="accent6"/>
            </w14:solidFill>
          </w14:textFill>
          <w:oMath/>
        </w:rPr>
        <w:t>参照文献式(4)-(7)，加热炉作为轧钢生产中的高能耗设备，频繁启停会显著增加能耗并缩短设备寿命。本研究设定加热炉的最小运行时间和最小停机时间约束：</w:t>
      </w:r>
    </w:p>
    <w:p w14:paraId="0843FD5A">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最小运行时间：加热炉一旦启动，至少连续运行2小时</w:t>
      </w:r>
    </w:p>
    <w:p w14:paraId="008C1DDC">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最小停机时间：加热炉一旦停机，至少连续停机1小时</w:t>
      </w:r>
    </w:p>
    <w:p w14:paraId="6F42E39A">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在24小时周期内，加热炉总运行时间限制为8~12小时，既保证产量需求，又实现避峰填谷策略。</w:t>
      </w:r>
    </w:p>
    <w:p w14:paraId="545B90A0">
      <w:pPr>
        <w:rPr>
          <w:color w:val="E54C5E" w:themeColor="accent6"/>
          <w:lang w:val="en-US" w:eastAsia="zh-CN"/>
          <w14:textFill>
            <w14:solidFill>
              <w14:schemeClr w14:val="accent6"/>
            </w14:solidFill>
          </w14:textFill>
        </w:rPr>
      </w:pPr>
      <w:r>
        <w:rPr>
          <w:color w:val="E54C5E" w:themeColor="accent6"/>
          <w:lang w:val="en-US" w:eastAsia="zh-CN"/>
          <w14:textFill>
            <w14:solidFill>
              <w14:schemeClr w14:val="accent6"/>
            </w14:solidFill>
          </w14:textFill>
        </w:rPr>
        <w:t>实施效果：引入上述工序约束后，日级模型生成的排产计划中，加热炉运行时间集中在谷电时段（0-7点、22-23点），运行8小时，停机16小时，实现了生产流程与分时电价的协同优化。经MPC验证，ER仍保持在100%。</w:t>
      </w:r>
    </w:p>
    <w:p w14:paraId="5310AB54"/>
    <w:p w14:paraId="2055C076">
      <w:pPr>
        <w:pStyle w:val="3"/>
      </w:pPr>
      <w:r>
        <w:t>三、实时MPC调控模型</w:t>
      </w:r>
    </w:p>
    <w:p w14:paraId="2358D90D">
      <w:pPr>
        <w:pStyle w:val="4"/>
      </w:pPr>
      <w:r>
        <w:t>3.1 模型概述</w:t>
      </w:r>
    </w:p>
    <w:p w14:paraId="7569FDCC">
      <w:r>
        <w:t>实时调控模型采用模型预测控制（Model Predictive Control, MPC）方法，以分钟为时间单位，跟踪日级排产计划，实时调整锅炉负荷和汽机出力，确保系统实际运行状态与计划偏差最小化。</w:t>
      </w:r>
    </w:p>
    <w:p w14:paraId="6A102C6A">
      <w:pPr>
        <w:pStyle w:val="4"/>
      </w:pPr>
      <w:r>
        <w:t>3.2 MPC参数设置</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050"/>
        <w:gridCol w:w="1615"/>
        <w:gridCol w:w="4639"/>
      </w:tblGrid>
      <w:tr w14:paraId="753EB7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050" w:type="dxa"/>
            <w:tcBorders>
              <w:top w:val="single" w:color="auto" w:sz="12" w:space="0"/>
              <w:left w:val="nil"/>
              <w:bottom w:val="nil"/>
              <w:right w:val="nil"/>
            </w:tcBorders>
            <w:noWrap w:val="0"/>
            <w:tcMar>
              <w:top w:w="-1" w:type="dxa"/>
              <w:left w:w="-1" w:type="dxa"/>
              <w:bottom w:w="-1" w:type="dxa"/>
              <w:right w:w="-1" w:type="dxa"/>
            </w:tcMar>
            <w:vAlign w:val="center"/>
          </w:tcPr>
          <w:p w14:paraId="4F61EF72">
            <w:pPr>
              <w:snapToGrid w:val="0"/>
              <w:ind w:left="0" w:leftChars="0" w:right="0" w:rightChars="0" w:firstLine="0" w:firstLineChars="0"/>
              <w:jc w:val="center"/>
              <w:rPr>
                <w:b/>
              </w:rPr>
            </w:pPr>
            <w:r>
              <w:rPr>
                <w:b/>
              </w:rPr>
              <w:t>参数</w:t>
            </w:r>
          </w:p>
        </w:tc>
        <w:tc>
          <w:tcPr>
            <w:tcW w:w="1615" w:type="dxa"/>
            <w:tcBorders>
              <w:top w:val="single" w:color="auto" w:sz="12" w:space="0"/>
              <w:left w:val="nil"/>
              <w:bottom w:val="nil"/>
              <w:right w:val="nil"/>
            </w:tcBorders>
            <w:noWrap w:val="0"/>
            <w:tcMar>
              <w:top w:w="-1" w:type="dxa"/>
              <w:left w:w="-1" w:type="dxa"/>
              <w:bottom w:w="-1" w:type="dxa"/>
              <w:right w:w="-1" w:type="dxa"/>
            </w:tcMar>
            <w:vAlign w:val="center"/>
          </w:tcPr>
          <w:p w14:paraId="56E75464">
            <w:pPr>
              <w:snapToGrid w:val="0"/>
              <w:ind w:left="0" w:leftChars="0" w:right="0" w:rightChars="0" w:firstLine="0" w:firstLineChars="0"/>
              <w:jc w:val="center"/>
              <w:rPr>
                <w:b/>
              </w:rPr>
            </w:pPr>
            <w:r>
              <w:rPr>
                <w:b/>
              </w:rPr>
              <w:t>数值</w:t>
            </w:r>
          </w:p>
        </w:tc>
        <w:tc>
          <w:tcPr>
            <w:tcW w:w="4639" w:type="dxa"/>
            <w:tcBorders>
              <w:top w:val="single" w:color="auto" w:sz="12" w:space="0"/>
              <w:left w:val="nil"/>
              <w:bottom w:val="nil"/>
              <w:right w:val="nil"/>
            </w:tcBorders>
            <w:noWrap w:val="0"/>
            <w:tcMar>
              <w:top w:w="-1" w:type="dxa"/>
              <w:left w:w="-1" w:type="dxa"/>
              <w:bottom w:w="-1" w:type="dxa"/>
              <w:right w:w="-1" w:type="dxa"/>
            </w:tcMar>
            <w:vAlign w:val="center"/>
          </w:tcPr>
          <w:p w14:paraId="605C5083">
            <w:pPr>
              <w:snapToGrid w:val="0"/>
              <w:ind w:left="0" w:leftChars="0" w:right="0" w:rightChars="0" w:firstLine="0" w:firstLineChars="0"/>
              <w:jc w:val="center"/>
              <w:rPr>
                <w:b/>
              </w:rPr>
            </w:pPr>
            <w:r>
              <w:rPr>
                <w:b/>
              </w:rPr>
              <w:t>说明</w:t>
            </w:r>
          </w:p>
        </w:tc>
      </w:tr>
      <w:tr w14:paraId="39EE8B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single" w:color="auto" w:sz="4" w:space="0"/>
              <w:left w:val="nil"/>
              <w:bottom w:val="nil"/>
              <w:right w:val="nil"/>
            </w:tcBorders>
            <w:noWrap w:val="0"/>
            <w:tcMar>
              <w:top w:w="-1" w:type="dxa"/>
              <w:left w:w="-1" w:type="dxa"/>
              <w:bottom w:w="-1" w:type="dxa"/>
              <w:right w:w="-1" w:type="dxa"/>
            </w:tcMar>
            <w:vAlign w:val="center"/>
          </w:tcPr>
          <w:p w14:paraId="67801155">
            <w:pPr>
              <w:snapToGrid w:val="0"/>
              <w:ind w:left="0" w:leftChars="0" w:right="0" w:rightChars="0" w:firstLine="0" w:firstLineChars="0"/>
              <w:jc w:val="left"/>
            </w:pPr>
            <w:r>
              <w:t>预测时域</w:t>
            </w:r>
          </w:p>
        </w:tc>
        <w:tc>
          <w:tcPr>
            <w:tcW w:w="1615" w:type="dxa"/>
            <w:tcBorders>
              <w:top w:val="single" w:color="auto" w:sz="4" w:space="0"/>
              <w:left w:val="nil"/>
              <w:bottom w:val="nil"/>
              <w:right w:val="nil"/>
            </w:tcBorders>
            <w:noWrap w:val="0"/>
            <w:tcMar>
              <w:top w:w="-1" w:type="dxa"/>
              <w:left w:w="-1" w:type="dxa"/>
              <w:bottom w:w="-1" w:type="dxa"/>
              <w:right w:w="-1" w:type="dxa"/>
            </w:tcMar>
            <w:vAlign w:val="center"/>
          </w:tcPr>
          <w:p w14:paraId="07865021">
            <w:pPr>
              <w:snapToGrid w:val="0"/>
              <w:ind w:left="0" w:leftChars="0" w:right="0" w:rightChars="0" w:firstLine="0" w:firstLineChars="0"/>
              <w:jc w:val="left"/>
            </w:pPr>
            <w:r>
              <w:t>60分钟</w:t>
            </w:r>
          </w:p>
        </w:tc>
        <w:tc>
          <w:tcPr>
            <w:tcW w:w="4639" w:type="dxa"/>
            <w:tcBorders>
              <w:top w:val="single" w:color="auto" w:sz="4" w:space="0"/>
              <w:left w:val="nil"/>
              <w:bottom w:val="nil"/>
              <w:right w:val="nil"/>
            </w:tcBorders>
            <w:noWrap w:val="0"/>
            <w:tcMar>
              <w:top w:w="-1" w:type="dxa"/>
              <w:left w:w="-1" w:type="dxa"/>
              <w:bottom w:w="-1" w:type="dxa"/>
              <w:right w:w="-1" w:type="dxa"/>
            </w:tcMar>
            <w:vAlign w:val="center"/>
          </w:tcPr>
          <w:p w14:paraId="78ECC0F8">
            <w:pPr>
              <w:snapToGrid w:val="0"/>
              <w:ind w:left="0" w:leftChars="0" w:right="0" w:rightChars="0" w:firstLine="0" w:firstLineChars="0"/>
              <w:jc w:val="left"/>
            </w:pPr>
            <w:r>
              <w:t>系统响应时间匹配热电厂设备惯性</w:t>
            </w:r>
          </w:p>
        </w:tc>
      </w:tr>
      <w:tr w14:paraId="625680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0BC5EF73">
            <w:pPr>
              <w:snapToGrid w:val="0"/>
              <w:ind w:left="0" w:leftChars="0" w:right="0" w:rightChars="0" w:firstLine="0" w:firstLineChars="0"/>
              <w:jc w:val="left"/>
            </w:pPr>
            <w:r>
              <w:t>控制时域</w:t>
            </w:r>
          </w:p>
        </w:tc>
        <w:tc>
          <w:tcPr>
            <w:tcW w:w="1615" w:type="dxa"/>
            <w:tcBorders>
              <w:top w:val="nil"/>
              <w:left w:val="nil"/>
              <w:bottom w:val="nil"/>
              <w:right w:val="nil"/>
            </w:tcBorders>
            <w:noWrap w:val="0"/>
            <w:tcMar>
              <w:top w:w="-1" w:type="dxa"/>
              <w:left w:w="-1" w:type="dxa"/>
              <w:bottom w:w="-1" w:type="dxa"/>
              <w:right w:w="-1" w:type="dxa"/>
            </w:tcMar>
            <w:vAlign w:val="center"/>
          </w:tcPr>
          <w:p w14:paraId="42E8759A">
            <w:pPr>
              <w:snapToGrid w:val="0"/>
              <w:ind w:left="0" w:leftChars="0" w:right="0" w:rightChars="0" w:firstLine="0" w:firstLineChars="0"/>
              <w:jc w:val="left"/>
            </w:pPr>
            <w:r>
              <w:t>10分钟</w:t>
            </w:r>
          </w:p>
        </w:tc>
        <w:tc>
          <w:tcPr>
            <w:tcW w:w="4639" w:type="dxa"/>
            <w:tcBorders>
              <w:top w:val="nil"/>
              <w:left w:val="nil"/>
              <w:bottom w:val="nil"/>
              <w:right w:val="nil"/>
            </w:tcBorders>
            <w:noWrap w:val="0"/>
            <w:tcMar>
              <w:top w:w="-1" w:type="dxa"/>
              <w:left w:w="-1" w:type="dxa"/>
              <w:bottom w:w="-1" w:type="dxa"/>
              <w:right w:w="-1" w:type="dxa"/>
            </w:tcMar>
            <w:vAlign w:val="center"/>
          </w:tcPr>
          <w:p w14:paraId="79530BCE">
            <w:pPr>
              <w:snapToGrid w:val="0"/>
              <w:ind w:left="0" w:leftChars="0" w:right="0" w:rightChars="0" w:firstLine="0" w:firstLineChars="0"/>
              <w:jc w:val="left"/>
            </w:pPr>
            <w:r>
              <w:t>平衡控制精度与计算效率</w:t>
            </w:r>
          </w:p>
        </w:tc>
      </w:tr>
      <w:tr w14:paraId="513F72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3D6949FD">
            <w:pPr>
              <w:snapToGrid w:val="0"/>
              <w:ind w:left="0" w:leftChars="0" w:right="0" w:rightChars="0" w:firstLine="0" w:firstLineChars="0"/>
              <w:jc w:val="left"/>
            </w:pPr>
            <w:r>
              <w:t>采样时间</w:t>
            </w:r>
          </w:p>
        </w:tc>
        <w:tc>
          <w:tcPr>
            <w:tcW w:w="1615" w:type="dxa"/>
            <w:tcBorders>
              <w:top w:val="nil"/>
              <w:left w:val="nil"/>
              <w:bottom w:val="nil"/>
              <w:right w:val="nil"/>
            </w:tcBorders>
            <w:noWrap w:val="0"/>
            <w:tcMar>
              <w:top w:w="-1" w:type="dxa"/>
              <w:left w:w="-1" w:type="dxa"/>
              <w:bottom w:w="-1" w:type="dxa"/>
              <w:right w:w="-1" w:type="dxa"/>
            </w:tcMar>
            <w:vAlign w:val="center"/>
          </w:tcPr>
          <w:p w14:paraId="60FB97F4">
            <w:pPr>
              <w:snapToGrid w:val="0"/>
              <w:ind w:left="0" w:leftChars="0" w:right="0" w:rightChars="0" w:firstLine="0" w:firstLineChars="0"/>
              <w:jc w:val="left"/>
            </w:pPr>
            <w:r>
              <w:t>1分钟</w:t>
            </w:r>
          </w:p>
        </w:tc>
        <w:tc>
          <w:tcPr>
            <w:tcW w:w="4639" w:type="dxa"/>
            <w:tcBorders>
              <w:top w:val="nil"/>
              <w:left w:val="nil"/>
              <w:bottom w:val="nil"/>
              <w:right w:val="nil"/>
            </w:tcBorders>
            <w:noWrap w:val="0"/>
            <w:tcMar>
              <w:top w:w="-1" w:type="dxa"/>
              <w:left w:w="-1" w:type="dxa"/>
              <w:bottom w:w="-1" w:type="dxa"/>
              <w:right w:w="-1" w:type="dxa"/>
            </w:tcMar>
            <w:vAlign w:val="center"/>
          </w:tcPr>
          <w:p w14:paraId="3886453B">
            <w:pPr>
              <w:snapToGrid w:val="0"/>
              <w:ind w:left="0" w:leftChars="0" w:right="0" w:rightChars="0" w:firstLine="0" w:firstLineChars="0"/>
              <w:jc w:val="left"/>
            </w:pPr>
            <w:r>
              <w:t>满足比赛数据采集频率要求</w:t>
            </w:r>
          </w:p>
        </w:tc>
      </w:tr>
      <w:tr w14:paraId="7DA6C5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6ACACA80">
            <w:pPr>
              <w:snapToGrid w:val="0"/>
              <w:ind w:left="0" w:leftChars="0" w:right="0" w:rightChars="0" w:firstLine="0" w:firstLineChars="0"/>
              <w:jc w:val="left"/>
            </w:pPr>
            <w:r>
              <w:t>锅炉负荷范围</w:t>
            </w:r>
          </w:p>
        </w:tc>
        <w:tc>
          <w:tcPr>
            <w:tcW w:w="1615" w:type="dxa"/>
            <w:tcBorders>
              <w:top w:val="nil"/>
              <w:left w:val="nil"/>
              <w:bottom w:val="nil"/>
              <w:right w:val="nil"/>
            </w:tcBorders>
            <w:noWrap w:val="0"/>
            <w:tcMar>
              <w:top w:w="-1" w:type="dxa"/>
              <w:left w:w="-1" w:type="dxa"/>
              <w:bottom w:w="-1" w:type="dxa"/>
              <w:right w:w="-1" w:type="dxa"/>
            </w:tcMar>
            <w:vAlign w:val="center"/>
          </w:tcPr>
          <w:p w14:paraId="431E0AAD">
            <w:pPr>
              <w:snapToGrid w:val="0"/>
              <w:ind w:left="0" w:leftChars="0" w:right="0" w:rightChars="0" w:firstLine="0" w:firstLineChars="0"/>
              <w:jc w:val="left"/>
            </w:pPr>
            <w:r>
              <w:t>20~80 MW</w:t>
            </w:r>
          </w:p>
        </w:tc>
        <w:tc>
          <w:tcPr>
            <w:tcW w:w="4639" w:type="dxa"/>
            <w:tcBorders>
              <w:top w:val="nil"/>
              <w:left w:val="nil"/>
              <w:bottom w:val="nil"/>
              <w:right w:val="nil"/>
            </w:tcBorders>
            <w:noWrap w:val="0"/>
            <w:tcMar>
              <w:top w:w="-1" w:type="dxa"/>
              <w:left w:w="-1" w:type="dxa"/>
              <w:bottom w:w="-1" w:type="dxa"/>
              <w:right w:w="-1" w:type="dxa"/>
            </w:tcMar>
            <w:vAlign w:val="center"/>
          </w:tcPr>
          <w:p w14:paraId="700C126E">
            <w:pPr>
              <w:snapToGrid w:val="0"/>
              <w:ind w:left="0" w:leftChars="0" w:right="0" w:rightChars="0" w:firstLine="0" w:firstLineChars="0"/>
              <w:jc w:val="left"/>
            </w:pPr>
            <w:r>
              <w:t>设备物理约束</w:t>
            </w:r>
          </w:p>
        </w:tc>
      </w:tr>
      <w:tr w14:paraId="7BFED0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77A8999F">
            <w:pPr>
              <w:snapToGrid w:val="0"/>
              <w:ind w:left="0" w:leftChars="0" w:right="0" w:rightChars="0" w:firstLine="0" w:firstLineChars="0"/>
              <w:jc w:val="left"/>
            </w:pPr>
            <w:r>
              <w:t>汽机出力范围</w:t>
            </w:r>
          </w:p>
        </w:tc>
        <w:tc>
          <w:tcPr>
            <w:tcW w:w="1615" w:type="dxa"/>
            <w:tcBorders>
              <w:top w:val="nil"/>
              <w:left w:val="nil"/>
              <w:bottom w:val="nil"/>
              <w:right w:val="nil"/>
            </w:tcBorders>
            <w:noWrap w:val="0"/>
            <w:tcMar>
              <w:top w:w="-1" w:type="dxa"/>
              <w:left w:w="-1" w:type="dxa"/>
              <w:bottom w:w="-1" w:type="dxa"/>
              <w:right w:w="-1" w:type="dxa"/>
            </w:tcMar>
            <w:vAlign w:val="center"/>
          </w:tcPr>
          <w:p w14:paraId="1CE220FA">
            <w:pPr>
              <w:snapToGrid w:val="0"/>
              <w:ind w:left="0" w:leftChars="0" w:right="0" w:rightChars="0" w:firstLine="0" w:firstLineChars="0"/>
              <w:jc w:val="left"/>
            </w:pPr>
            <w:r>
              <w:t>5~30 MW</w:t>
            </w:r>
          </w:p>
        </w:tc>
        <w:tc>
          <w:tcPr>
            <w:tcW w:w="4639" w:type="dxa"/>
            <w:tcBorders>
              <w:top w:val="nil"/>
              <w:left w:val="nil"/>
              <w:bottom w:val="nil"/>
              <w:right w:val="nil"/>
            </w:tcBorders>
            <w:noWrap w:val="0"/>
            <w:tcMar>
              <w:top w:w="-1" w:type="dxa"/>
              <w:left w:w="-1" w:type="dxa"/>
              <w:bottom w:w="-1" w:type="dxa"/>
              <w:right w:w="-1" w:type="dxa"/>
            </w:tcMar>
            <w:vAlign w:val="center"/>
          </w:tcPr>
          <w:p w14:paraId="17A7AF78">
            <w:pPr>
              <w:snapToGrid w:val="0"/>
              <w:ind w:left="0" w:leftChars="0" w:right="0" w:rightChars="0" w:firstLine="0" w:firstLineChars="0"/>
              <w:jc w:val="left"/>
            </w:pPr>
            <w:r>
              <w:t>设备物理约束</w:t>
            </w:r>
          </w:p>
        </w:tc>
      </w:tr>
      <w:tr w14:paraId="238FD9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nil"/>
              <w:right w:val="nil"/>
            </w:tcBorders>
            <w:noWrap w:val="0"/>
            <w:tcMar>
              <w:top w:w="-1" w:type="dxa"/>
              <w:left w:w="-1" w:type="dxa"/>
              <w:bottom w:w="-1" w:type="dxa"/>
              <w:right w:w="-1" w:type="dxa"/>
            </w:tcMar>
            <w:vAlign w:val="center"/>
          </w:tcPr>
          <w:p w14:paraId="1E637473">
            <w:pPr>
              <w:snapToGrid w:val="0"/>
              <w:ind w:left="0" w:leftChars="0" w:right="0" w:rightChars="0" w:firstLine="0" w:firstLineChars="0"/>
              <w:jc w:val="left"/>
            </w:pPr>
            <w:r>
              <w:t>爬坡率</w:t>
            </w:r>
          </w:p>
        </w:tc>
        <w:tc>
          <w:tcPr>
            <w:tcW w:w="1615" w:type="dxa"/>
            <w:tcBorders>
              <w:top w:val="nil"/>
              <w:left w:val="nil"/>
              <w:bottom w:val="nil"/>
              <w:right w:val="nil"/>
            </w:tcBorders>
            <w:noWrap w:val="0"/>
            <w:tcMar>
              <w:top w:w="-1" w:type="dxa"/>
              <w:left w:w="-1" w:type="dxa"/>
              <w:bottom w:w="-1" w:type="dxa"/>
              <w:right w:w="-1" w:type="dxa"/>
            </w:tcMar>
            <w:vAlign w:val="center"/>
          </w:tcPr>
          <w:p w14:paraId="7E4A1653">
            <w:pPr>
              <w:snapToGrid w:val="0"/>
              <w:ind w:left="0" w:leftChars="0" w:right="0" w:rightChars="0" w:firstLine="0" w:firstLineChars="0"/>
              <w:jc w:val="left"/>
            </w:pPr>
            <w:r>
              <w:t>5 MW/min</w:t>
            </w:r>
          </w:p>
        </w:tc>
        <w:tc>
          <w:tcPr>
            <w:tcW w:w="4639" w:type="dxa"/>
            <w:tcBorders>
              <w:top w:val="nil"/>
              <w:left w:val="nil"/>
              <w:bottom w:val="nil"/>
              <w:right w:val="nil"/>
            </w:tcBorders>
            <w:noWrap w:val="0"/>
            <w:tcMar>
              <w:top w:w="-1" w:type="dxa"/>
              <w:left w:w="-1" w:type="dxa"/>
              <w:bottom w:w="-1" w:type="dxa"/>
              <w:right w:w="-1" w:type="dxa"/>
            </w:tcMar>
            <w:vAlign w:val="center"/>
          </w:tcPr>
          <w:p w14:paraId="0FB032BD">
            <w:pPr>
              <w:snapToGrid w:val="0"/>
              <w:ind w:left="0" w:leftChars="0" w:right="0" w:rightChars="0" w:firstLine="0" w:firstLineChars="0"/>
              <w:jc w:val="left"/>
            </w:pPr>
            <w:r>
              <w:t>防止设备过载</w:t>
            </w:r>
          </w:p>
        </w:tc>
      </w:tr>
      <w:tr w14:paraId="2AA16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050" w:type="dxa"/>
            <w:tcBorders>
              <w:top w:val="nil"/>
              <w:left w:val="nil"/>
              <w:bottom w:val="single" w:color="auto" w:sz="12" w:space="0"/>
              <w:right w:val="nil"/>
            </w:tcBorders>
            <w:noWrap w:val="0"/>
            <w:tcMar>
              <w:top w:w="-1" w:type="dxa"/>
              <w:left w:w="-1" w:type="dxa"/>
              <w:bottom w:w="-1" w:type="dxa"/>
              <w:right w:w="-1" w:type="dxa"/>
            </w:tcMar>
            <w:vAlign w:val="center"/>
          </w:tcPr>
          <w:p w14:paraId="2A188538">
            <w:pPr>
              <w:snapToGrid w:val="0"/>
              <w:ind w:left="0" w:leftChars="0" w:right="0" w:rightChars="0" w:firstLine="0" w:firstLineChars="0"/>
              <w:jc w:val="left"/>
            </w:pPr>
            <w:r>
              <w:t>用电跟踪权重</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79D129D2">
            <w:pPr>
              <w:snapToGrid w:val="0"/>
              <w:ind w:left="0" w:leftChars="0" w:right="0" w:rightChars="0" w:firstLine="0" w:firstLineChars="0"/>
              <w:jc w:val="left"/>
            </w:pPr>
            <w:r>
              <w:t>2.0</w:t>
            </w:r>
          </w:p>
        </w:tc>
        <w:tc>
          <w:tcPr>
            <w:tcW w:w="4639" w:type="dxa"/>
            <w:tcBorders>
              <w:top w:val="nil"/>
              <w:left w:val="nil"/>
              <w:bottom w:val="single" w:color="auto" w:sz="12" w:space="0"/>
              <w:right w:val="nil"/>
            </w:tcBorders>
            <w:noWrap w:val="0"/>
            <w:tcMar>
              <w:top w:w="-1" w:type="dxa"/>
              <w:left w:w="-1" w:type="dxa"/>
              <w:bottom w:w="-1" w:type="dxa"/>
              <w:right w:w="-1" w:type="dxa"/>
            </w:tcMar>
            <w:vAlign w:val="center"/>
          </w:tcPr>
          <w:p w14:paraId="300DF59A">
            <w:pPr>
              <w:snapToGrid w:val="0"/>
              <w:ind w:left="0" w:leftChars="0" w:right="0" w:rightChars="0" w:firstLine="0" w:firstLineChars="0"/>
              <w:jc w:val="left"/>
            </w:pPr>
            <w:r>
              <w:t>优先保证用电跟踪精度</w:t>
            </w:r>
          </w:p>
        </w:tc>
      </w:tr>
    </w:tbl>
    <w:p w14:paraId="2257266B">
      <w:pPr>
        <w:pStyle w:val="4"/>
      </w:pPr>
      <w:r>
        <w:t>3.3 控制逻辑</w:t>
      </w:r>
    </w:p>
    <w:p w14:paraId="6937445A">
      <w:r>
        <w:t>MPC控制器在每个采样时刻执行以下步骤：</w:t>
      </w:r>
    </w:p>
    <w:p w14:paraId="1BA3AA38">
      <w:r>
        <w:rPr>
          <w:b/>
        </w:rPr>
        <w:t>步骤1：获取参考值</w:t>
      </w:r>
    </w:p>
    <w:p w14:paraId="5240E9AA">
      <w:pPr>
        <w:numPr>
          <w:ilvl w:val="0"/>
          <w:numId w:val="7"/>
        </w:numPr>
        <w:spacing w:before="0"/>
      </w:pPr>
      <w:r>
        <w:t>从日级计划中读取当前小时的计划产量</w:t>
      </w:r>
    </w:p>
    <w:p w14:paraId="0C95AD59">
      <w:pPr>
        <w:numPr>
          <w:ilvl w:val="0"/>
          <w:numId w:val="7"/>
        </w:numPr>
        <w:spacing w:after="0"/>
      </w:pPr>
      <w:r>
        <w:t>计算对应的计划用电量：</w:t>
      </w:r>
      <m:oMath>
        <m:sSub>
          <m:sSubPr>
            <m:ctrlPr>
              <w:rPr>
                <w:rFonts w:hint="default" w:ascii="Cambria Math"/>
              </w:rPr>
            </m:ctrlPr>
          </m:sSubPr>
          <m:e>
            <m:r>
              <m:rPr/>
              <w:rPr>
                <w:rFonts w:hint="default" w:ascii="Cambria Math"/>
              </w:rPr>
              <m:t>P</m:t>
            </m:r>
          </m:e>
          <m:sub>
            <m:r>
              <m:rPr/>
              <w:rPr>
                <w:rFonts w:hint="default" w:ascii="Cambria Math"/>
              </w:rPr>
              <m:t>plan</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hour</m:t>
            </m:r>
          </m:sub>
        </m:sSub>
        <m:r>
          <m:rPr/>
          <w:rPr>
            <w:rFonts w:hint="default" w:ascii="Cambria Math"/>
          </w:rPr>
          <m:t>×14.00</m:t>
        </m:r>
      </m:oMath>
    </w:p>
    <w:p w14:paraId="28E8B1D2">
      <w:r>
        <w:rPr>
          <w:b/>
        </w:rPr>
        <w:t>步骤2：获取实际值</w:t>
      </w:r>
    </w:p>
    <w:p w14:paraId="71ED4C5E">
      <w:pPr>
        <w:numPr>
          <w:ilvl w:val="0"/>
          <w:numId w:val="8"/>
        </w:numPr>
        <w:spacing w:before="0"/>
      </w:pPr>
      <w:r>
        <w:t xml:space="preserve">读取当前时刻的实际用电量 </w:t>
      </w:r>
      <m:oMath>
        <m:sSub>
          <m:sSubPr>
            <m:ctrlPr>
              <w:rPr>
                <w:rFonts w:hint="default" w:ascii="Cambria Math"/>
              </w:rPr>
            </m:ctrlPr>
          </m:sSubPr>
          <m:e>
            <m:r>
              <m:rPr/>
              <w:rPr>
                <w:rFonts w:hint="default" w:ascii="Cambria Math"/>
              </w:rPr>
              <m:t>P</m:t>
            </m:r>
          </m:e>
          <m:sub>
            <m:r>
              <m:rPr/>
              <w:rPr>
                <w:rFonts w:hint="default" w:ascii="Cambria Math"/>
              </w:rPr>
              <m:t>actual</m:t>
            </m:r>
          </m:sub>
        </m:sSub>
      </m:oMath>
    </w:p>
    <w:p w14:paraId="4CC9AF85">
      <w:pPr>
        <w:numPr>
          <w:ilvl w:val="0"/>
          <w:numId w:val="8"/>
        </w:numPr>
        <w:spacing w:after="0"/>
      </w:pPr>
      <w:r>
        <w:t>计算偏差：</w:t>
      </w:r>
      <m:oMath>
        <m:r>
          <m:rPr/>
          <w:rPr>
            <w:rFonts w:hint="default" w:ascii="Cambria Math"/>
          </w:rPr>
          <m:t>e=</m:t>
        </m:r>
        <m:sSub>
          <m:sSubPr>
            <m:ctrlPr>
              <w:rPr>
                <w:rFonts w:hint="default" w:ascii="Cambria Math"/>
              </w:rPr>
            </m:ctrlPr>
          </m:sSubPr>
          <m:e>
            <m:r>
              <m:rPr/>
              <w:rPr>
                <w:rFonts w:hint="default" w:ascii="Cambria Math"/>
              </w:rPr>
              <m:t>P</m:t>
            </m:r>
          </m:e>
          <m:sub>
            <m:r>
              <m:rPr/>
              <w:rPr>
                <w:rFonts w:hint="default" w:ascii="Cambria Math"/>
              </w:rPr>
              <m:t>actual</m:t>
            </m:r>
          </m:sub>
        </m:sSub>
        <m:r>
          <m:rPr/>
          <w:rPr>
            <w:rFonts w:hint="default" w:ascii="Cambria Math"/>
          </w:rPr>
          <m:t>−</m:t>
        </m:r>
        <m:sSub>
          <m:sSubPr>
            <m:ctrlPr>
              <w:rPr>
                <w:rFonts w:hint="default" w:ascii="Cambria Math"/>
              </w:rPr>
            </m:ctrlPr>
          </m:sSubPr>
          <m:e>
            <m:r>
              <m:rPr/>
              <w:rPr>
                <w:rFonts w:hint="default" w:ascii="Cambria Math"/>
              </w:rPr>
              <m:t>P</m:t>
            </m:r>
          </m:e>
          <m:sub>
            <m:r>
              <m:rPr/>
              <w:rPr>
                <w:rFonts w:hint="default" w:ascii="Cambria Math"/>
              </w:rPr>
              <m:t>plan</m:t>
            </m:r>
          </m:sub>
        </m:sSub>
      </m:oMath>
    </w:p>
    <w:p w14:paraId="05666C07">
      <w:r>
        <w:rPr>
          <w:b/>
        </w:rPr>
        <w:t>步骤3：计算控制指令</w:t>
      </w:r>
    </w:p>
    <w:p w14:paraId="3CC13A2F">
      <w:pPr>
        <w:numPr>
          <w:ilvl w:val="0"/>
          <w:numId w:val="9"/>
        </w:numPr>
        <w:spacing w:before="0"/>
      </w:pPr>
      <w:r>
        <w:t>基础负荷：</w:t>
      </w:r>
      <m:oMath>
        <m:r>
          <m:rPr/>
          <w:rPr>
            <w:rFonts w:hint="default" w:ascii="Cambria Math"/>
          </w:rPr>
          <m:t>Boile</m:t>
        </m:r>
        <m:sSub>
          <m:sSubPr>
            <m:ctrlPr>
              <w:rPr>
                <w:rFonts w:hint="default" w:ascii="Cambria Math"/>
              </w:rPr>
            </m:ctrlPr>
          </m:sSubPr>
          <m:e>
            <m:r>
              <m:rPr/>
              <w:rPr>
                <w:rFonts w:hint="default" w:ascii="Cambria Math"/>
              </w:rPr>
              <m:t>r</m:t>
            </m:r>
          </m:e>
          <m:sub>
            <m:r>
              <m:rPr/>
              <w:rPr>
                <w:rFonts w:hint="default" w:ascii="Cambria Math"/>
              </w:rPr>
              <m:t>base</m:t>
            </m:r>
          </m:sub>
        </m:sSub>
        <m:r>
          <m:rPr/>
          <w:rPr>
            <w:rFonts w:hint="default" w:ascii="Cambria Math"/>
          </w:rPr>
          <m:t>=25+</m:t>
        </m:r>
        <m:sSub>
          <m:sSubPr>
            <m:ctrlPr>
              <w:rPr>
                <w:rFonts w:hint="default" w:ascii="Cambria Math"/>
              </w:rPr>
            </m:ctrlPr>
          </m:sSubPr>
          <m:e>
            <m:r>
              <m:rPr/>
              <w:rPr>
                <w:rFonts w:hint="default" w:ascii="Cambria Math"/>
              </w:rPr>
              <m:t>x</m:t>
            </m:r>
          </m:e>
          <m:sub>
            <m:r>
              <m:rPr/>
              <w:rPr>
                <w:rFonts w:hint="default" w:ascii="Cambria Math"/>
              </w:rPr>
              <m:t>hour</m:t>
            </m:r>
          </m:sub>
        </m:sSub>
        <m:r>
          <m:rPr/>
          <w:rPr>
            <w:rFonts w:hint="default" w:ascii="Cambria Math"/>
          </w:rPr>
          <m:t>×2</m:t>
        </m:r>
      </m:oMath>
    </w:p>
    <w:p w14:paraId="6AD8ED77">
      <w:pPr>
        <w:numPr>
          <w:ilvl w:val="0"/>
          <w:numId w:val="9"/>
        </w:numPr>
      </w:pPr>
      <w:r>
        <w:t>偏差修正：</w:t>
      </w:r>
      <m:oMath>
        <m:r>
          <m:rPr/>
          <w:rPr>
            <w:rFonts w:hint="default" w:ascii="Cambria Math"/>
          </w:rPr>
          <m:t>Boiler=Boile</m:t>
        </m:r>
        <m:sSub>
          <m:sSubPr>
            <m:ctrlPr>
              <w:rPr>
                <w:rFonts w:hint="default" w:ascii="Cambria Math"/>
              </w:rPr>
            </m:ctrlPr>
          </m:sSubPr>
          <m:e>
            <m:r>
              <m:rPr/>
              <w:rPr>
                <w:rFonts w:hint="default" w:ascii="Cambria Math"/>
              </w:rPr>
              <m:t>r</m:t>
            </m:r>
          </m:e>
          <m:sub>
            <m:r>
              <m:rPr/>
              <w:rPr>
                <w:rFonts w:hint="default" w:ascii="Cambria Math"/>
              </w:rPr>
              <m:t>base</m:t>
            </m:r>
          </m:sub>
        </m:sSub>
        <m:r>
          <m:rPr/>
          <w:rPr>
            <w:rFonts w:hint="default" w:ascii="Cambria Math"/>
          </w:rPr>
          <m:t>−e×0.3×w</m:t>
        </m:r>
      </m:oMath>
    </w:p>
    <w:p w14:paraId="00F1C890">
      <w:pPr>
        <w:numPr>
          <w:ilvl w:val="0"/>
          <w:numId w:val="9"/>
        </w:numPr>
      </w:pPr>
      <w:r>
        <w:t>约束处理：限幅在[20, 80] MW范围内</w:t>
      </w:r>
    </w:p>
    <w:p w14:paraId="773BC07E">
      <w:pPr>
        <w:numPr>
          <w:ilvl w:val="0"/>
          <w:numId w:val="9"/>
        </w:numPr>
        <w:spacing w:after="0"/>
      </w:pPr>
      <w:r>
        <w:t>爬坡限制：变化率不超过5 MW/min</w:t>
      </w:r>
    </w:p>
    <w:p w14:paraId="60D5C937">
      <w:pPr>
        <w:pStyle w:val="4"/>
      </w:pPr>
      <w:r>
        <w:t>3.4 输出指令</w:t>
      </w:r>
    </w:p>
    <w:p w14:paraId="38D722F8">
      <w:r>
        <w:t>MPC模型每分钟输出以下调控指令：</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765"/>
        <w:gridCol w:w="1198"/>
        <w:gridCol w:w="4341"/>
      </w:tblGrid>
      <w:tr w14:paraId="330ED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765" w:type="dxa"/>
            <w:tcBorders>
              <w:top w:val="single" w:color="auto" w:sz="12" w:space="0"/>
              <w:left w:val="nil"/>
              <w:bottom w:val="nil"/>
              <w:right w:val="nil"/>
            </w:tcBorders>
            <w:noWrap w:val="0"/>
            <w:tcMar>
              <w:top w:w="-1" w:type="dxa"/>
              <w:left w:w="-1" w:type="dxa"/>
              <w:bottom w:w="-1" w:type="dxa"/>
              <w:right w:w="-1" w:type="dxa"/>
            </w:tcMar>
            <w:vAlign w:val="center"/>
          </w:tcPr>
          <w:p w14:paraId="2D215143">
            <w:pPr>
              <w:snapToGrid w:val="0"/>
              <w:ind w:left="0" w:leftChars="0" w:right="0" w:rightChars="0" w:firstLine="0" w:firstLineChars="0"/>
              <w:jc w:val="center"/>
              <w:rPr>
                <w:b/>
              </w:rPr>
            </w:pPr>
            <w:r>
              <w:rPr>
                <w:b/>
              </w:rPr>
              <w:t>指令</w:t>
            </w:r>
          </w:p>
        </w:tc>
        <w:tc>
          <w:tcPr>
            <w:tcW w:w="1198" w:type="dxa"/>
            <w:tcBorders>
              <w:top w:val="single" w:color="auto" w:sz="12" w:space="0"/>
              <w:left w:val="nil"/>
              <w:bottom w:val="nil"/>
              <w:right w:val="nil"/>
            </w:tcBorders>
            <w:noWrap w:val="0"/>
            <w:tcMar>
              <w:top w:w="-1" w:type="dxa"/>
              <w:left w:w="-1" w:type="dxa"/>
              <w:bottom w:w="-1" w:type="dxa"/>
              <w:right w:w="-1" w:type="dxa"/>
            </w:tcMar>
            <w:vAlign w:val="center"/>
          </w:tcPr>
          <w:p w14:paraId="68314F06">
            <w:pPr>
              <w:snapToGrid w:val="0"/>
              <w:ind w:left="0" w:leftChars="0" w:right="0" w:rightChars="0" w:firstLine="0" w:firstLineChars="0"/>
              <w:jc w:val="center"/>
              <w:rPr>
                <w:b/>
              </w:rPr>
            </w:pPr>
            <w:r>
              <w:rPr>
                <w:b/>
              </w:rPr>
              <w:t>单位</w:t>
            </w:r>
          </w:p>
        </w:tc>
        <w:tc>
          <w:tcPr>
            <w:tcW w:w="4341" w:type="dxa"/>
            <w:tcBorders>
              <w:top w:val="single" w:color="auto" w:sz="12" w:space="0"/>
              <w:left w:val="nil"/>
              <w:bottom w:val="nil"/>
              <w:right w:val="nil"/>
            </w:tcBorders>
            <w:noWrap w:val="0"/>
            <w:tcMar>
              <w:top w:w="-1" w:type="dxa"/>
              <w:left w:w="-1" w:type="dxa"/>
              <w:bottom w:w="-1" w:type="dxa"/>
              <w:right w:w="-1" w:type="dxa"/>
            </w:tcMar>
            <w:vAlign w:val="center"/>
          </w:tcPr>
          <w:p w14:paraId="1217E02F">
            <w:pPr>
              <w:snapToGrid w:val="0"/>
              <w:ind w:left="0" w:leftChars="0" w:right="0" w:rightChars="0" w:firstLine="0" w:firstLineChars="0"/>
              <w:jc w:val="center"/>
              <w:rPr>
                <w:b/>
              </w:rPr>
            </w:pPr>
            <w:r>
              <w:rPr>
                <w:b/>
              </w:rPr>
              <w:t>说明</w:t>
            </w:r>
          </w:p>
        </w:tc>
      </w:tr>
      <w:tr w14:paraId="0AC25D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765" w:type="dxa"/>
            <w:tcBorders>
              <w:top w:val="single" w:color="auto" w:sz="4" w:space="0"/>
              <w:left w:val="nil"/>
              <w:bottom w:val="nil"/>
              <w:right w:val="nil"/>
            </w:tcBorders>
            <w:noWrap w:val="0"/>
            <w:tcMar>
              <w:top w:w="-1" w:type="dxa"/>
              <w:left w:w="-1" w:type="dxa"/>
              <w:bottom w:w="-1" w:type="dxa"/>
              <w:right w:w="-1" w:type="dxa"/>
            </w:tcMar>
            <w:vAlign w:val="center"/>
          </w:tcPr>
          <w:p w14:paraId="71285E25">
            <w:pPr>
              <w:snapToGrid w:val="0"/>
              <w:ind w:left="0" w:leftChars="0" w:right="0" w:rightChars="0" w:firstLine="0" w:firstLineChars="0"/>
              <w:jc w:val="left"/>
            </w:pPr>
            <w:r>
              <w:t>锅炉负荷</w:t>
            </w:r>
          </w:p>
        </w:tc>
        <w:tc>
          <w:tcPr>
            <w:tcW w:w="1198" w:type="dxa"/>
            <w:tcBorders>
              <w:top w:val="single" w:color="auto" w:sz="4" w:space="0"/>
              <w:left w:val="nil"/>
              <w:bottom w:val="nil"/>
              <w:right w:val="nil"/>
            </w:tcBorders>
            <w:noWrap w:val="0"/>
            <w:tcMar>
              <w:top w:w="-1" w:type="dxa"/>
              <w:left w:w="-1" w:type="dxa"/>
              <w:bottom w:w="-1" w:type="dxa"/>
              <w:right w:w="-1" w:type="dxa"/>
            </w:tcMar>
            <w:vAlign w:val="center"/>
          </w:tcPr>
          <w:p w14:paraId="6ABF299A">
            <w:pPr>
              <w:snapToGrid w:val="0"/>
              <w:ind w:left="0" w:leftChars="0" w:right="0" w:rightChars="0" w:firstLine="0" w:firstLineChars="0"/>
              <w:jc w:val="left"/>
            </w:pPr>
            <w:r>
              <w:t>MW</w:t>
            </w:r>
          </w:p>
        </w:tc>
        <w:tc>
          <w:tcPr>
            <w:tcW w:w="4341" w:type="dxa"/>
            <w:tcBorders>
              <w:top w:val="single" w:color="auto" w:sz="4" w:space="0"/>
              <w:left w:val="nil"/>
              <w:bottom w:val="nil"/>
              <w:right w:val="nil"/>
            </w:tcBorders>
            <w:noWrap w:val="0"/>
            <w:tcMar>
              <w:top w:w="-1" w:type="dxa"/>
              <w:left w:w="-1" w:type="dxa"/>
              <w:bottom w:w="-1" w:type="dxa"/>
              <w:right w:w="-1" w:type="dxa"/>
            </w:tcMar>
            <w:vAlign w:val="center"/>
          </w:tcPr>
          <w:p w14:paraId="718967E5">
            <w:pPr>
              <w:snapToGrid w:val="0"/>
              <w:ind w:left="0" w:leftChars="0" w:right="0" w:rightChars="0" w:firstLine="0" w:firstLineChars="0"/>
              <w:jc w:val="center"/>
            </w:pPr>
            <w:r>
              <w:t>锅炉燃烧率设定值</w:t>
            </w:r>
          </w:p>
        </w:tc>
      </w:tr>
      <w:tr w14:paraId="2068F4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765" w:type="dxa"/>
            <w:tcBorders>
              <w:top w:val="nil"/>
              <w:left w:val="nil"/>
              <w:bottom w:val="nil"/>
              <w:right w:val="nil"/>
            </w:tcBorders>
            <w:noWrap w:val="0"/>
            <w:tcMar>
              <w:top w:w="-1" w:type="dxa"/>
              <w:left w:w="-1" w:type="dxa"/>
              <w:bottom w:w="-1" w:type="dxa"/>
              <w:right w:w="-1" w:type="dxa"/>
            </w:tcMar>
            <w:vAlign w:val="center"/>
          </w:tcPr>
          <w:p w14:paraId="401F4B0C">
            <w:pPr>
              <w:snapToGrid w:val="0"/>
              <w:ind w:left="0" w:leftChars="0" w:right="0" w:rightChars="0" w:firstLine="0" w:firstLineChars="0"/>
              <w:jc w:val="left"/>
            </w:pPr>
            <w:r>
              <w:t>汽机出力</w:t>
            </w:r>
          </w:p>
        </w:tc>
        <w:tc>
          <w:tcPr>
            <w:tcW w:w="1198" w:type="dxa"/>
            <w:tcBorders>
              <w:top w:val="nil"/>
              <w:left w:val="nil"/>
              <w:bottom w:val="nil"/>
              <w:right w:val="nil"/>
            </w:tcBorders>
            <w:noWrap w:val="0"/>
            <w:tcMar>
              <w:top w:w="-1" w:type="dxa"/>
              <w:left w:w="-1" w:type="dxa"/>
              <w:bottom w:w="-1" w:type="dxa"/>
              <w:right w:w="-1" w:type="dxa"/>
            </w:tcMar>
            <w:vAlign w:val="center"/>
          </w:tcPr>
          <w:p w14:paraId="372F747F">
            <w:pPr>
              <w:snapToGrid w:val="0"/>
              <w:ind w:left="0" w:leftChars="0" w:right="0" w:rightChars="0" w:firstLine="0" w:firstLineChars="0"/>
              <w:jc w:val="left"/>
            </w:pPr>
            <w:r>
              <w:t>MW</w:t>
            </w:r>
          </w:p>
        </w:tc>
        <w:tc>
          <w:tcPr>
            <w:tcW w:w="4341" w:type="dxa"/>
            <w:tcBorders>
              <w:top w:val="nil"/>
              <w:left w:val="nil"/>
              <w:bottom w:val="nil"/>
              <w:right w:val="nil"/>
            </w:tcBorders>
            <w:noWrap w:val="0"/>
            <w:tcMar>
              <w:top w:w="-1" w:type="dxa"/>
              <w:left w:w="-1" w:type="dxa"/>
              <w:bottom w:w="-1" w:type="dxa"/>
              <w:right w:w="-1" w:type="dxa"/>
            </w:tcMar>
            <w:vAlign w:val="center"/>
          </w:tcPr>
          <w:p w14:paraId="5D073CAB">
            <w:pPr>
              <w:snapToGrid w:val="0"/>
              <w:ind w:left="0" w:leftChars="0" w:right="0" w:rightChars="0" w:firstLine="0" w:firstLineChars="0"/>
              <w:jc w:val="center"/>
            </w:pPr>
            <w:r>
              <w:t>汽轮机发电功率设定值</w:t>
            </w:r>
          </w:p>
        </w:tc>
      </w:tr>
      <w:tr w14:paraId="15AB62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765" w:type="dxa"/>
            <w:tcBorders>
              <w:top w:val="nil"/>
              <w:left w:val="nil"/>
              <w:bottom w:val="nil"/>
              <w:right w:val="nil"/>
            </w:tcBorders>
            <w:noWrap w:val="0"/>
            <w:tcMar>
              <w:top w:w="-1" w:type="dxa"/>
              <w:left w:w="-1" w:type="dxa"/>
              <w:bottom w:w="-1" w:type="dxa"/>
              <w:right w:w="-1" w:type="dxa"/>
            </w:tcMar>
            <w:vAlign w:val="center"/>
          </w:tcPr>
          <w:p w14:paraId="0C2EF12A">
            <w:pPr>
              <w:snapToGrid w:val="0"/>
              <w:ind w:left="0" w:leftChars="0" w:right="0" w:rightChars="0" w:firstLine="0" w:firstLineChars="0"/>
              <w:jc w:val="left"/>
            </w:pPr>
            <w:r>
              <w:t>外购电力</w:t>
            </w:r>
          </w:p>
        </w:tc>
        <w:tc>
          <w:tcPr>
            <w:tcW w:w="1198" w:type="dxa"/>
            <w:tcBorders>
              <w:top w:val="nil"/>
              <w:left w:val="nil"/>
              <w:bottom w:val="nil"/>
              <w:right w:val="nil"/>
            </w:tcBorders>
            <w:noWrap w:val="0"/>
            <w:tcMar>
              <w:top w:w="-1" w:type="dxa"/>
              <w:left w:w="-1" w:type="dxa"/>
              <w:bottom w:w="-1" w:type="dxa"/>
              <w:right w:w="-1" w:type="dxa"/>
            </w:tcMar>
            <w:vAlign w:val="center"/>
          </w:tcPr>
          <w:p w14:paraId="1F4C7FF0">
            <w:pPr>
              <w:snapToGrid w:val="0"/>
              <w:ind w:left="0" w:leftChars="0" w:right="0" w:rightChars="0" w:firstLine="0" w:firstLineChars="0"/>
              <w:jc w:val="left"/>
            </w:pPr>
            <w:r>
              <w:t>kWh</w:t>
            </w:r>
          </w:p>
        </w:tc>
        <w:tc>
          <w:tcPr>
            <w:tcW w:w="4341" w:type="dxa"/>
            <w:tcBorders>
              <w:top w:val="nil"/>
              <w:left w:val="nil"/>
              <w:bottom w:val="nil"/>
              <w:right w:val="nil"/>
            </w:tcBorders>
            <w:noWrap w:val="0"/>
            <w:tcMar>
              <w:top w:w="-1" w:type="dxa"/>
              <w:left w:w="-1" w:type="dxa"/>
              <w:bottom w:w="-1" w:type="dxa"/>
              <w:right w:w="-1" w:type="dxa"/>
            </w:tcMar>
            <w:vAlign w:val="center"/>
          </w:tcPr>
          <w:p w14:paraId="6744E55E">
            <w:pPr>
              <w:snapToGrid w:val="0"/>
              <w:ind w:left="0" w:leftChars="0" w:right="0" w:rightChars="0" w:firstLine="0" w:firstLineChars="0"/>
              <w:jc w:val="center"/>
            </w:pPr>
            <w:r>
              <w:t>不足部分从电网购买</w:t>
            </w:r>
          </w:p>
        </w:tc>
      </w:tr>
      <w:tr w14:paraId="11B1EC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765" w:type="dxa"/>
            <w:tcBorders>
              <w:top w:val="nil"/>
              <w:left w:val="nil"/>
              <w:bottom w:val="single" w:color="auto" w:sz="12" w:space="0"/>
              <w:right w:val="nil"/>
            </w:tcBorders>
            <w:noWrap w:val="0"/>
            <w:tcMar>
              <w:top w:w="-1" w:type="dxa"/>
              <w:left w:w="-1" w:type="dxa"/>
              <w:bottom w:w="-1" w:type="dxa"/>
              <w:right w:w="-1" w:type="dxa"/>
            </w:tcMar>
            <w:vAlign w:val="center"/>
          </w:tcPr>
          <w:p w14:paraId="7A49AB9B">
            <w:pPr>
              <w:snapToGrid w:val="0"/>
              <w:ind w:left="0" w:leftChars="0" w:right="0" w:rightChars="0" w:firstLine="0" w:firstLineChars="0"/>
              <w:jc w:val="left"/>
            </w:pPr>
            <w:r>
              <w:t>功率因数目标</w:t>
            </w:r>
          </w:p>
        </w:tc>
        <w:tc>
          <w:tcPr>
            <w:tcW w:w="1198" w:type="dxa"/>
            <w:tcBorders>
              <w:top w:val="nil"/>
              <w:left w:val="nil"/>
              <w:bottom w:val="single" w:color="auto" w:sz="12" w:space="0"/>
              <w:right w:val="nil"/>
            </w:tcBorders>
            <w:noWrap w:val="0"/>
            <w:tcMar>
              <w:top w:w="-1" w:type="dxa"/>
              <w:left w:w="-1" w:type="dxa"/>
              <w:bottom w:w="-1" w:type="dxa"/>
              <w:right w:w="-1" w:type="dxa"/>
            </w:tcMar>
            <w:vAlign w:val="center"/>
          </w:tcPr>
          <w:p w14:paraId="41D7F11C">
            <w:pPr>
              <w:snapToGrid w:val="0"/>
              <w:ind w:left="0" w:leftChars="0" w:right="0" w:rightChars="0" w:firstLine="0" w:firstLineChars="0"/>
              <w:jc w:val="left"/>
            </w:pPr>
            <w:r>
              <w:t>—</w:t>
            </w:r>
          </w:p>
        </w:tc>
        <w:tc>
          <w:tcPr>
            <w:tcW w:w="4341" w:type="dxa"/>
            <w:tcBorders>
              <w:top w:val="nil"/>
              <w:left w:val="nil"/>
              <w:bottom w:val="single" w:color="auto" w:sz="12" w:space="0"/>
              <w:right w:val="nil"/>
            </w:tcBorders>
            <w:noWrap w:val="0"/>
            <w:tcMar>
              <w:top w:w="-1" w:type="dxa"/>
              <w:left w:w="-1" w:type="dxa"/>
              <w:bottom w:w="-1" w:type="dxa"/>
              <w:right w:w="-1" w:type="dxa"/>
            </w:tcMar>
            <w:vAlign w:val="center"/>
          </w:tcPr>
          <w:p w14:paraId="0186D504">
            <w:pPr>
              <w:snapToGrid w:val="0"/>
              <w:ind w:left="0" w:leftChars="0" w:right="0" w:rightChars="0" w:firstLine="0" w:firstLineChars="0"/>
              <w:jc w:val="center"/>
            </w:pPr>
            <w:r>
              <w:t>设定为0.95</w:t>
            </w:r>
          </w:p>
        </w:tc>
      </w:tr>
    </w:tbl>
    <w:p w14:paraId="140605F0">
      <w:pPr>
        <w:pStyle w:val="3"/>
      </w:pPr>
      <w:r>
        <w:t>四、核心结果</w:t>
      </w:r>
    </w:p>
    <w:p w14:paraId="5FBFFC82">
      <w:pPr>
        <w:pStyle w:val="4"/>
      </w:pPr>
      <w:r>
        <w:t>4.1 EC（轧钢能耗降低率）</w:t>
      </w:r>
    </w:p>
    <w:p w14:paraId="72B80CD8">
      <w:r>
        <w:t>轧钢能耗（Energy Consumption, EC）定义为：</w:t>
      </w:r>
    </w:p>
    <w:p w14:paraId="461F5AAA">
      <m:oMathPara>
        <m:oMath>
          <m:r>
            <m:rPr/>
            <w:rPr>
              <w:rFonts w:hint="default" w:ascii="Cambria Math"/>
            </w:rPr>
            <m:t>EC=</m:t>
          </m:r>
          <m:f>
            <m:fPr>
              <m:ctrlPr>
                <w:rPr>
                  <w:rFonts w:hint="default" w:ascii="Cambria Math"/>
                </w:rPr>
              </m:ctrlPr>
            </m:fPr>
            <m:num>
              <m:sSub>
                <m:sSubPr>
                  <m:ctrlPr>
                    <w:rPr>
                      <w:rFonts w:hint="default" w:ascii="Cambria Math"/>
                    </w:rPr>
                  </m:ctrlPr>
                </m:sSubPr>
                <m:e>
                  <m:r>
                    <m:rPr/>
                    <w:rPr>
                      <w:rFonts w:hint="default" w:ascii="Cambria Math"/>
                    </w:rPr>
                    <m:t>E</m:t>
                  </m:r>
                </m:e>
                <m:sub>
                  <m:r>
                    <m:rPr/>
                    <w:rPr>
                      <w:rFonts w:hint="default" w:ascii="Cambria Math"/>
                    </w:rPr>
                    <m:t>total</m:t>
                  </m:r>
                </m:sub>
              </m:sSub>
              <m:ctrlPr>
                <w:rPr>
                  <w:rFonts w:hint="default" w:ascii="Cambria Math"/>
                </w:rPr>
              </m:ctrlPr>
            </m:num>
            <m:den>
              <m:sSub>
                <m:sSubPr>
                  <m:ctrlPr>
                    <w:rPr>
                      <w:rFonts w:hint="default" w:ascii="Cambria Math"/>
                    </w:rPr>
                  </m:ctrlPr>
                </m:sSubPr>
                <m:e>
                  <m:r>
                    <m:rPr/>
                    <w:rPr>
                      <w:rFonts w:hint="default" w:ascii="Cambria Math"/>
                    </w:rPr>
                    <m:t>Q</m:t>
                  </m:r>
                </m:e>
                <m:sub>
                  <m:r>
                    <m:rPr/>
                    <w:rPr>
                      <w:rFonts w:hint="default" w:ascii="Cambria Math"/>
                    </w:rPr>
                    <m:t>qual</m:t>
                  </m:r>
                </m:sub>
              </m:sSub>
              <m:ctrlPr>
                <w:rPr>
                  <w:rFonts w:hint="default" w:ascii="Cambria Math"/>
                </w:rPr>
              </m:ctrlPr>
            </m:den>
          </m:f>
          <m:r>
            <m:rPr/>
            <w:rPr>
              <w:rFonts w:hint="default" w:ascii="Cambria Math"/>
            </w:rPr>
            <m:t>×100</m:t>
          </m:r>
        </m:oMath>
      </m:oMathPara>
    </w:p>
    <w:p w14:paraId="683D47E6">
      <w:r>
        <w:t xml:space="preserve">其中 </w:t>
      </w:r>
      <m:oMath>
        <m:sSub>
          <m:sSubPr>
            <m:ctrlPr>
              <w:rPr>
                <w:rFonts w:hint="default" w:ascii="Cambria Math"/>
              </w:rPr>
            </m:ctrlPr>
          </m:sSubPr>
          <m:e>
            <m:r>
              <m:rPr/>
              <w:rPr>
                <w:rFonts w:hint="default" w:ascii="Cambria Math"/>
              </w:rPr>
              <m:t>E</m:t>
            </m:r>
          </m:e>
          <m:sub>
            <m:r>
              <m:rPr/>
              <w:rPr>
                <w:rFonts w:hint="default" w:ascii="Cambria Math"/>
              </w:rPr>
              <m:t>total</m:t>
            </m:r>
          </m:sub>
        </m:sSub>
      </m:oMath>
      <w:r>
        <w:t xml:space="preserve"> 为生产总能耗（kgce），</w:t>
      </w:r>
      <m:oMath>
        <m:sSub>
          <m:sSubPr>
            <m:ctrlPr>
              <w:rPr>
                <w:rFonts w:hint="default" w:ascii="Cambria Math"/>
              </w:rPr>
            </m:ctrlPr>
          </m:sSubPr>
          <m:e>
            <m:r>
              <m:rPr/>
              <w:rPr>
                <w:rFonts w:hint="default" w:ascii="Cambria Math"/>
              </w:rPr>
              <m:t>Q</m:t>
            </m:r>
          </m:e>
          <m:sub>
            <m:r>
              <m:rPr/>
              <w:rPr>
                <w:rFonts w:hint="default" w:ascii="Cambria Math"/>
              </w:rPr>
              <m:t>qual</m:t>
            </m:r>
          </m:sub>
        </m:sSub>
      </m:oMath>
      <w:r>
        <w:t xml:space="preserve"> 为合格产品产量（t）。</w:t>
      </w:r>
    </w:p>
    <w:p w14:paraId="7C0146A2">
      <w:r>
        <w:rPr>
          <w:b/>
        </w:rPr>
        <w:t>计算结果：</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3638"/>
        <w:gridCol w:w="4666"/>
      </w:tblGrid>
      <w:tr w14:paraId="2AFC52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3638" w:type="dxa"/>
            <w:tcBorders>
              <w:top w:val="single" w:color="auto" w:sz="12" w:space="0"/>
              <w:left w:val="nil"/>
              <w:bottom w:val="nil"/>
              <w:right w:val="nil"/>
            </w:tcBorders>
            <w:noWrap w:val="0"/>
            <w:tcMar>
              <w:top w:w="-1" w:type="dxa"/>
              <w:left w:w="-1" w:type="dxa"/>
              <w:bottom w:w="-1" w:type="dxa"/>
              <w:right w:w="-1" w:type="dxa"/>
            </w:tcMar>
            <w:vAlign w:val="center"/>
          </w:tcPr>
          <w:p w14:paraId="1D88D41C">
            <w:pPr>
              <w:snapToGrid w:val="0"/>
              <w:jc w:val="center"/>
              <w:rPr>
                <w:b/>
              </w:rPr>
            </w:pPr>
            <w:r>
              <w:rPr>
                <w:b/>
              </w:rPr>
              <w:t>项目</w:t>
            </w:r>
          </w:p>
        </w:tc>
        <w:tc>
          <w:tcPr>
            <w:tcW w:w="4666" w:type="dxa"/>
            <w:tcBorders>
              <w:top w:val="single" w:color="auto" w:sz="12" w:space="0"/>
              <w:left w:val="nil"/>
              <w:bottom w:val="nil"/>
              <w:right w:val="nil"/>
            </w:tcBorders>
            <w:noWrap w:val="0"/>
            <w:tcMar>
              <w:top w:w="-1" w:type="dxa"/>
              <w:left w:w="-1" w:type="dxa"/>
              <w:bottom w:w="-1" w:type="dxa"/>
              <w:right w:w="-1" w:type="dxa"/>
            </w:tcMar>
            <w:vAlign w:val="center"/>
          </w:tcPr>
          <w:p w14:paraId="79DBB7E6">
            <w:pPr>
              <w:snapToGrid w:val="0"/>
              <w:jc w:val="center"/>
              <w:rPr>
                <w:b/>
              </w:rPr>
            </w:pPr>
            <w:r>
              <w:rPr>
                <w:b/>
              </w:rPr>
              <w:t>数值</w:t>
            </w:r>
          </w:p>
        </w:tc>
      </w:tr>
      <w:tr w14:paraId="22A311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638" w:type="dxa"/>
            <w:tcBorders>
              <w:top w:val="single" w:color="auto" w:sz="4" w:space="0"/>
              <w:left w:val="nil"/>
              <w:bottom w:val="nil"/>
              <w:right w:val="nil"/>
            </w:tcBorders>
            <w:noWrap w:val="0"/>
            <w:tcMar>
              <w:top w:w="-1" w:type="dxa"/>
              <w:left w:w="-1" w:type="dxa"/>
              <w:bottom w:w="-1" w:type="dxa"/>
              <w:right w:w="-1" w:type="dxa"/>
            </w:tcMar>
            <w:vAlign w:val="center"/>
          </w:tcPr>
          <w:p w14:paraId="02D3C74E">
            <w:pPr>
              <w:snapToGrid w:val="0"/>
            </w:pPr>
            <w:r>
              <w:t>基准EC</w:t>
            </w:r>
          </w:p>
        </w:tc>
        <w:tc>
          <w:tcPr>
            <w:tcW w:w="4666" w:type="dxa"/>
            <w:tcBorders>
              <w:top w:val="single" w:color="auto" w:sz="4" w:space="0"/>
              <w:left w:val="nil"/>
              <w:bottom w:val="nil"/>
              <w:right w:val="nil"/>
            </w:tcBorders>
            <w:noWrap w:val="0"/>
            <w:tcMar>
              <w:top w:w="-1" w:type="dxa"/>
              <w:left w:w="-1" w:type="dxa"/>
              <w:bottom w:w="-1" w:type="dxa"/>
              <w:right w:w="-1" w:type="dxa"/>
            </w:tcMar>
            <w:vAlign w:val="center"/>
          </w:tcPr>
          <w:p w14:paraId="269EE49E">
            <w:pPr>
              <w:snapToGrid w:val="0"/>
            </w:pPr>
            <w:r>
              <w:t>14.00 kWh/吨</w:t>
            </w:r>
          </w:p>
        </w:tc>
      </w:tr>
      <w:tr w14:paraId="06E197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638" w:type="dxa"/>
            <w:tcBorders>
              <w:top w:val="nil"/>
              <w:left w:val="nil"/>
              <w:bottom w:val="nil"/>
              <w:right w:val="nil"/>
            </w:tcBorders>
            <w:noWrap w:val="0"/>
            <w:tcMar>
              <w:top w:w="-1" w:type="dxa"/>
              <w:left w:w="-1" w:type="dxa"/>
              <w:bottom w:w="-1" w:type="dxa"/>
              <w:right w:w="-1" w:type="dxa"/>
            </w:tcMar>
            <w:vAlign w:val="center"/>
          </w:tcPr>
          <w:p w14:paraId="42B4EBDC">
            <w:pPr>
              <w:snapToGrid w:val="0"/>
            </w:pPr>
            <w:r>
              <w:t>优化后EC</w:t>
            </w:r>
          </w:p>
        </w:tc>
        <w:tc>
          <w:tcPr>
            <w:tcW w:w="4666" w:type="dxa"/>
            <w:tcBorders>
              <w:top w:val="nil"/>
              <w:left w:val="nil"/>
              <w:bottom w:val="nil"/>
              <w:right w:val="nil"/>
            </w:tcBorders>
            <w:noWrap w:val="0"/>
            <w:tcMar>
              <w:top w:w="-1" w:type="dxa"/>
              <w:left w:w="-1" w:type="dxa"/>
              <w:bottom w:w="-1" w:type="dxa"/>
              <w:right w:w="-1" w:type="dxa"/>
            </w:tcMar>
            <w:vAlign w:val="center"/>
          </w:tcPr>
          <w:p w14:paraId="4D90D109">
            <w:pPr>
              <w:snapToGrid w:val="0"/>
            </w:pPr>
            <w:r>
              <w:t>13.2</w:t>
            </w:r>
            <w:r>
              <w:rPr>
                <w:rFonts w:hint="eastAsia"/>
                <w:lang w:val="en-US" w:eastAsia="zh-CN"/>
              </w:rPr>
              <w:t>7</w:t>
            </w:r>
            <w:r>
              <w:t>8</w:t>
            </w:r>
            <w:r>
              <w:rPr>
                <w:rFonts w:hint="eastAsia"/>
                <w:lang w:val="en-US" w:eastAsia="zh-CN"/>
              </w:rPr>
              <w:t>5</w:t>
            </w:r>
            <w:r>
              <w:t xml:space="preserve"> kWh/吨</w:t>
            </w:r>
          </w:p>
        </w:tc>
      </w:tr>
      <w:tr w14:paraId="430375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638" w:type="dxa"/>
            <w:tcBorders>
              <w:top w:val="nil"/>
              <w:left w:val="nil"/>
              <w:bottom w:val="nil"/>
              <w:right w:val="nil"/>
            </w:tcBorders>
            <w:noWrap w:val="0"/>
            <w:tcMar>
              <w:top w:w="-1" w:type="dxa"/>
              <w:left w:w="-1" w:type="dxa"/>
              <w:bottom w:w="-1" w:type="dxa"/>
              <w:right w:w="-1" w:type="dxa"/>
            </w:tcMar>
            <w:vAlign w:val="center"/>
          </w:tcPr>
          <w:p w14:paraId="2356F62C">
            <w:pPr>
              <w:snapToGrid w:val="0"/>
            </w:pPr>
            <w:r>
              <w:rPr>
                <w:b/>
              </w:rPr>
              <w:t>EC降低率</w:t>
            </w:r>
          </w:p>
        </w:tc>
        <w:tc>
          <w:tcPr>
            <w:tcW w:w="4666" w:type="dxa"/>
            <w:tcBorders>
              <w:top w:val="nil"/>
              <w:left w:val="nil"/>
              <w:bottom w:val="nil"/>
              <w:right w:val="nil"/>
            </w:tcBorders>
            <w:noWrap w:val="0"/>
            <w:tcMar>
              <w:top w:w="-1" w:type="dxa"/>
              <w:left w:w="-1" w:type="dxa"/>
              <w:bottom w:w="-1" w:type="dxa"/>
              <w:right w:w="-1" w:type="dxa"/>
            </w:tcMar>
            <w:vAlign w:val="center"/>
          </w:tcPr>
          <w:p w14:paraId="57866B1D">
            <w:pPr>
              <w:snapToGrid w:val="0"/>
            </w:pPr>
            <w:r>
              <w:rPr>
                <w:b/>
              </w:rPr>
              <w:t>5.15%</w:t>
            </w:r>
          </w:p>
        </w:tc>
      </w:tr>
      <w:tr w14:paraId="64CE1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638" w:type="dxa"/>
            <w:tcBorders>
              <w:top w:val="nil"/>
              <w:left w:val="nil"/>
              <w:bottom w:val="nil"/>
              <w:right w:val="nil"/>
            </w:tcBorders>
            <w:noWrap w:val="0"/>
            <w:tcMar>
              <w:top w:w="-1" w:type="dxa"/>
              <w:left w:w="-1" w:type="dxa"/>
              <w:bottom w:w="-1" w:type="dxa"/>
              <w:right w:w="-1" w:type="dxa"/>
            </w:tcMar>
            <w:vAlign w:val="center"/>
          </w:tcPr>
          <w:p w14:paraId="442E4CF2">
            <w:pPr>
              <w:snapToGrid w:val="0"/>
            </w:pPr>
            <w:r>
              <w:t>比赛目标</w:t>
            </w:r>
          </w:p>
        </w:tc>
        <w:tc>
          <w:tcPr>
            <w:tcW w:w="4666" w:type="dxa"/>
            <w:tcBorders>
              <w:top w:val="nil"/>
              <w:left w:val="nil"/>
              <w:bottom w:val="nil"/>
              <w:right w:val="nil"/>
            </w:tcBorders>
            <w:noWrap w:val="0"/>
            <w:tcMar>
              <w:top w:w="-1" w:type="dxa"/>
              <w:left w:w="-1" w:type="dxa"/>
              <w:bottom w:w="-1" w:type="dxa"/>
              <w:right w:w="-1" w:type="dxa"/>
            </w:tcMar>
            <w:vAlign w:val="center"/>
          </w:tcPr>
          <w:p w14:paraId="303A1F32">
            <w:pPr>
              <w:snapToGrid w:val="0"/>
            </w:pPr>
            <w:r>
              <w:t>≥1.5%</w:t>
            </w:r>
          </w:p>
        </w:tc>
      </w:tr>
      <w:tr w14:paraId="72E0F1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3638" w:type="dxa"/>
            <w:tcBorders>
              <w:top w:val="nil"/>
              <w:left w:val="nil"/>
              <w:bottom w:val="single" w:color="auto" w:sz="12" w:space="0"/>
              <w:right w:val="nil"/>
            </w:tcBorders>
            <w:noWrap w:val="0"/>
            <w:tcMar>
              <w:top w:w="-1" w:type="dxa"/>
              <w:left w:w="-1" w:type="dxa"/>
              <w:bottom w:w="-1" w:type="dxa"/>
              <w:right w:w="-1" w:type="dxa"/>
            </w:tcMar>
            <w:vAlign w:val="center"/>
          </w:tcPr>
          <w:p w14:paraId="5E8DA9E0">
            <w:pPr>
              <w:snapToGrid w:val="0"/>
            </w:pPr>
            <w:r>
              <w:t>得分</w:t>
            </w:r>
          </w:p>
        </w:tc>
        <w:tc>
          <w:tcPr>
            <w:tcW w:w="4666" w:type="dxa"/>
            <w:tcBorders>
              <w:top w:val="nil"/>
              <w:left w:val="nil"/>
              <w:bottom w:val="single" w:color="auto" w:sz="12" w:space="0"/>
              <w:right w:val="nil"/>
            </w:tcBorders>
            <w:noWrap w:val="0"/>
            <w:tcMar>
              <w:top w:w="-1" w:type="dxa"/>
              <w:left w:w="-1" w:type="dxa"/>
              <w:bottom w:w="-1" w:type="dxa"/>
              <w:right w:w="-1" w:type="dxa"/>
            </w:tcMar>
            <w:vAlign w:val="center"/>
          </w:tcPr>
          <w:p w14:paraId="0D9E7697">
            <w:pPr>
              <w:snapToGrid w:val="0"/>
            </w:pPr>
            <w:r>
              <w:t>+15分</w:t>
            </w:r>
          </w:p>
        </w:tc>
      </w:tr>
    </w:tbl>
    <w:p w14:paraId="00BED081">
      <w:pPr>
        <w:rPr>
          <w:rFonts w:hint="default"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优化路径：</w:t>
      </w:r>
    </w:p>
    <w:p w14:paraId="442DA9AE">
      <w:pPr>
        <w:rPr>
          <w:color w:val="E54C5E" w:themeColor="accent6"/>
          <w14:textFill>
            <w14:solidFill>
              <w14:schemeClr w14:val="accent6"/>
            </w14:solidFill>
          </w14:textFill>
        </w:rPr>
      </w:pPr>
      <w:r>
        <w:rPr>
          <w:rFonts w:hint="eastAsia"/>
          <w:color w:val="E54C5E" w:themeColor="accent6"/>
          <w:lang w:val="en-US" w:eastAsia="zh-CN"/>
          <w14:textFill>
            <w14:solidFill>
              <w14:schemeClr w14:val="accent6"/>
            </w14:solidFill>
          </w14:textFill>
        </w:rPr>
        <w:t>1、</w:t>
      </w:r>
      <w:r>
        <w:rPr>
          <w:color w:val="E54C5E" w:themeColor="accent6"/>
          <w14:textFill>
            <w14:solidFill>
              <w14:schemeClr w14:val="accent6"/>
            </w14:solidFill>
          </w14:textFill>
        </w:rPr>
        <w:t>工序级排产优化：引入加热炉运行状态变量，将产量与加热炉启停状态直接关联。加热炉在24小时内运行8小时，停机16小时。加热炉运行时产量为0.95吨/小时，停机时产量为最低值0.15吨/小时，总产量满足9.49吨的需求。</w:t>
      </w:r>
    </w:p>
    <w:p w14:paraId="5628B6BB">
      <w:pPr>
        <w:rPr>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2、</w:t>
      </w:r>
      <w:r>
        <w:rPr>
          <w:color w:val="E54C5E" w:themeColor="accent6"/>
          <w:lang w:val="en-US" w:eastAsia="zh-CN"/>
          <w14:textFill>
            <w14:solidFill>
              <w14:schemeClr w14:val="accent6"/>
            </w14:solidFill>
          </w14:textFill>
        </w:rPr>
        <w:t>工艺参数优化：加热温度从1150℃降至1140℃（降低10℃），轧制速度从10m/s提升至11m/s（提升1m/s）。基于文献数据，温度每降低10℃能耗下降2.22%，速度每提升1m/s能耗下降3%。</w:t>
      </w:r>
    </w:p>
    <w:p w14:paraId="71131D92">
      <w:pPr>
        <w:rPr>
          <w:rFonts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pPr>
      <w:r>
        <w:rPr>
          <w:rFonts w:hint="eastAsia"/>
          <w:color w:val="E54C5E" w:themeColor="accent6"/>
          <w:lang w:val="en-US" w:eastAsia="zh-CN"/>
          <w14:textFill>
            <w14:solidFill>
              <w14:schemeClr w14:val="accent6"/>
            </w14:solidFill>
          </w14:textFill>
        </w:rPr>
        <w:t>3、</w:t>
      </w:r>
      <w:r>
        <w:rPr>
          <w:color w:val="E54C5E" w:themeColor="accent6"/>
          <w:lang w:val="en-US" w:eastAsia="zh-CN"/>
          <w14:textFill>
            <w14:solidFill>
              <w14:schemeClr w14:val="accent6"/>
            </w14:solidFill>
          </w14:textFill>
        </w:rPr>
        <w:t>避峰填谷策略：加热炉运行时段集中在谷电时段（0-7点、22-23点），峰电时段（8-21点）停机。工序约束同时保证加热炉连续运行时间不超过12小时、不低于8小时，避免频繁启停造成的能耗损失和设备损伤。</w:t>
      </w:r>
    </w:p>
    <w:p w14:paraId="25828AEB">
      <w:pPr>
        <w:pStyle w:val="4"/>
      </w:pPr>
      <w:r>
        <w:t>4.2 ER（方案可执行率）</w:t>
      </w:r>
    </w:p>
    <w:p w14:paraId="6E710BD5">
      <w:r>
        <w:t>方案可执行率（Executable Rate, ER）定义为：</w:t>
      </w:r>
    </w:p>
    <w:p w14:paraId="241E4D92">
      <m:oMathPara>
        <m:oMath>
          <m:r>
            <m:rPr/>
            <w:rPr>
              <w:rFonts w:hint="default" w:ascii="Cambria Math"/>
            </w:rPr>
            <m:t>ER=</m:t>
          </m:r>
          <m:f>
            <m:fPr>
              <m:ctrlPr>
                <w:rPr>
                  <w:rFonts w:hint="default" w:ascii="Cambria Math"/>
                </w:rPr>
              </m:ctrlPr>
            </m:fPr>
            <m:num>
              <m:sSub>
                <m:sSubPr>
                  <m:ctrlPr>
                    <w:rPr>
                      <w:rFonts w:hint="default" w:ascii="Cambria Math"/>
                    </w:rPr>
                  </m:ctrlPr>
                </m:sSubPr>
                <m:e>
                  <m:r>
                    <m:rPr/>
                    <w:rPr>
                      <w:rFonts w:hint="default" w:ascii="Cambria Math"/>
                    </w:rPr>
                    <m:t>P</m:t>
                  </m:r>
                </m:e>
                <m:sub>
                  <m:r>
                    <m:rPr/>
                    <w:rPr>
                      <w:rFonts w:hint="default" w:ascii="Cambria Math"/>
                    </w:rPr>
                    <m:t>e</m:t>
                  </m:r>
                </m:sub>
              </m:sSub>
              <m:ctrlPr>
                <w:rPr>
                  <w:rFonts w:hint="default" w:ascii="Cambria Math"/>
                </w:rPr>
              </m:ctrlPr>
            </m:num>
            <m:den>
              <m:sSub>
                <m:sSubPr>
                  <m:ctrlPr>
                    <w:rPr>
                      <w:rFonts w:hint="default" w:ascii="Cambria Math"/>
                    </w:rPr>
                  </m:ctrlPr>
                </m:sSubPr>
                <m:e>
                  <m:r>
                    <m:rPr/>
                    <w:rPr>
                      <w:rFonts w:hint="default" w:ascii="Cambria Math"/>
                    </w:rPr>
                    <m:t>P</m:t>
                  </m:r>
                </m:e>
                <m:sub>
                  <m:r>
                    <m:rPr/>
                    <w:rPr>
                      <w:rFonts w:hint="default" w:ascii="Cambria Math"/>
                    </w:rPr>
                    <m:t>total</m:t>
                  </m:r>
                </m:sub>
              </m:sSub>
              <m:ctrlPr>
                <w:rPr>
                  <w:rFonts w:hint="default" w:ascii="Cambria Math"/>
                </w:rPr>
              </m:ctrlPr>
            </m:den>
          </m:f>
          <m:r>
            <m:rPr/>
            <w:rPr>
              <w:rFonts w:hint="default" w:ascii="Cambria Math"/>
            </w:rPr>
            <m:t>×100</m:t>
          </m:r>
        </m:oMath>
      </m:oMathPara>
    </w:p>
    <w:p w14:paraId="7C15843E">
      <w:r>
        <w:t xml:space="preserve">其中 </w:t>
      </w:r>
      <m:oMath>
        <m:sSub>
          <m:sSubPr>
            <m:ctrlPr>
              <w:rPr>
                <w:rFonts w:hint="default" w:ascii="Cambria Math"/>
              </w:rPr>
            </m:ctrlPr>
          </m:sSubPr>
          <m:e>
            <m:r>
              <m:rPr/>
              <w:rPr>
                <w:rFonts w:hint="default" w:ascii="Cambria Math"/>
              </w:rPr>
              <m:t>P</m:t>
            </m:r>
          </m:e>
          <m:sub>
            <m:r>
              <m:rPr/>
              <w:rPr>
                <w:rFonts w:hint="default" w:ascii="Cambria Math"/>
              </w:rPr>
              <m:t>e</m:t>
            </m:r>
          </m:sub>
        </m:sSub>
      </m:oMath>
      <w:r>
        <w:t xml:space="preserve"> 为可执行方案数量，</w:t>
      </w:r>
      <m:oMath>
        <m:sSub>
          <m:sSubPr>
            <m:ctrlPr>
              <w:rPr>
                <w:rFonts w:hint="default" w:ascii="Cambria Math"/>
              </w:rPr>
            </m:ctrlPr>
          </m:sSubPr>
          <m:e>
            <m:r>
              <m:rPr/>
              <w:rPr>
                <w:rFonts w:hint="default" w:ascii="Cambria Math"/>
              </w:rPr>
              <m:t>P</m:t>
            </m:r>
          </m:e>
          <m:sub>
            <m:r>
              <m:rPr/>
              <w:rPr>
                <w:rFonts w:hint="default" w:ascii="Cambria Math"/>
              </w:rPr>
              <m:t>total</m:t>
            </m:r>
          </m:sub>
        </m:sSub>
      </m:oMath>
      <w:r>
        <w:t xml:space="preserve"> 为方案总数。</w:t>
      </w:r>
    </w:p>
    <w:p w14:paraId="0ECB2233">
      <w:r>
        <w:rPr>
          <w:b/>
        </w:rPr>
        <w:t>可执行判定标准</w:t>
      </w:r>
      <w:r>
        <w:t>：</w:t>
      </w:r>
    </w:p>
    <w:p w14:paraId="096DD7F5">
      <w:pPr>
        <w:numPr>
          <w:ilvl w:val="0"/>
          <w:numId w:val="10"/>
        </w:numPr>
        <w:spacing w:before="0"/>
      </w:pPr>
      <w:r>
        <w:t>条件1：锅炉负荷在20~80 MW范围内（设备能力约束）</w:t>
      </w:r>
    </w:p>
    <w:p w14:paraId="7A198EB4">
      <w:pPr>
        <w:numPr>
          <w:ilvl w:val="0"/>
          <w:numId w:val="10"/>
        </w:numPr>
        <w:spacing w:after="0"/>
      </w:pPr>
      <w:r>
        <w:t>条件2：相邻时刻锅炉负荷变化率≤5 MW/min（爬坡约束）</w:t>
      </w:r>
    </w:p>
    <w:p w14:paraId="35059335">
      <w:r>
        <w:rPr>
          <w:b/>
        </w:rPr>
        <w:t>计算结果：</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5394"/>
        <w:gridCol w:w="2910"/>
      </w:tblGrid>
      <w:tr w14:paraId="3356E8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5394" w:type="dxa"/>
            <w:tcBorders>
              <w:top w:val="single" w:color="auto" w:sz="12" w:space="0"/>
              <w:left w:val="nil"/>
              <w:bottom w:val="nil"/>
              <w:right w:val="nil"/>
            </w:tcBorders>
            <w:noWrap w:val="0"/>
            <w:tcMar>
              <w:top w:w="-1" w:type="dxa"/>
              <w:left w:w="-1" w:type="dxa"/>
              <w:bottom w:w="-1" w:type="dxa"/>
              <w:right w:w="-1" w:type="dxa"/>
            </w:tcMar>
            <w:vAlign w:val="center"/>
          </w:tcPr>
          <w:p w14:paraId="49310E0E">
            <w:pPr>
              <w:snapToGrid w:val="0"/>
              <w:ind w:left="0" w:leftChars="0" w:right="0" w:rightChars="0" w:firstLine="0" w:firstLineChars="0"/>
              <w:jc w:val="center"/>
              <w:rPr>
                <w:b/>
              </w:rPr>
            </w:pPr>
            <w:r>
              <w:rPr>
                <w:b/>
              </w:rPr>
              <w:t>项目</w:t>
            </w:r>
          </w:p>
        </w:tc>
        <w:tc>
          <w:tcPr>
            <w:tcW w:w="2910" w:type="dxa"/>
            <w:tcBorders>
              <w:top w:val="single" w:color="auto" w:sz="12" w:space="0"/>
              <w:left w:val="nil"/>
              <w:bottom w:val="nil"/>
              <w:right w:val="nil"/>
            </w:tcBorders>
            <w:noWrap w:val="0"/>
            <w:tcMar>
              <w:top w:w="-1" w:type="dxa"/>
              <w:left w:w="-1" w:type="dxa"/>
              <w:bottom w:w="-1" w:type="dxa"/>
              <w:right w:w="-1" w:type="dxa"/>
            </w:tcMar>
            <w:vAlign w:val="center"/>
          </w:tcPr>
          <w:p w14:paraId="0CBF8ABF">
            <w:pPr>
              <w:snapToGrid w:val="0"/>
              <w:ind w:left="0" w:leftChars="0" w:right="0" w:rightChars="0" w:firstLine="0" w:firstLineChars="0"/>
              <w:jc w:val="center"/>
              <w:rPr>
                <w:b/>
              </w:rPr>
            </w:pPr>
            <w:r>
              <w:rPr>
                <w:b/>
              </w:rPr>
              <w:t>数值</w:t>
            </w:r>
          </w:p>
        </w:tc>
      </w:tr>
      <w:tr w14:paraId="7D62F7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394" w:type="dxa"/>
            <w:tcBorders>
              <w:top w:val="single" w:color="auto" w:sz="4" w:space="0"/>
              <w:left w:val="nil"/>
              <w:bottom w:val="nil"/>
              <w:right w:val="nil"/>
            </w:tcBorders>
            <w:noWrap w:val="0"/>
            <w:tcMar>
              <w:top w:w="-1" w:type="dxa"/>
              <w:left w:w="-1" w:type="dxa"/>
              <w:bottom w:w="-1" w:type="dxa"/>
              <w:right w:w="-1" w:type="dxa"/>
            </w:tcMar>
            <w:vAlign w:val="center"/>
          </w:tcPr>
          <w:p w14:paraId="37EAECAC">
            <w:pPr>
              <w:snapToGrid w:val="0"/>
              <w:ind w:left="0" w:leftChars="0" w:right="0" w:rightChars="0" w:firstLine="0" w:firstLineChars="0"/>
              <w:jc w:val="left"/>
            </w:pPr>
            <w:r>
              <w:t>总方案数</w:t>
            </w:r>
          </w:p>
        </w:tc>
        <w:tc>
          <w:tcPr>
            <w:tcW w:w="2910" w:type="dxa"/>
            <w:tcBorders>
              <w:top w:val="single" w:color="auto" w:sz="4" w:space="0"/>
              <w:left w:val="nil"/>
              <w:bottom w:val="nil"/>
              <w:right w:val="nil"/>
            </w:tcBorders>
            <w:noWrap w:val="0"/>
            <w:tcMar>
              <w:top w:w="-1" w:type="dxa"/>
              <w:left w:w="-1" w:type="dxa"/>
              <w:bottom w:w="-1" w:type="dxa"/>
              <w:right w:w="-1" w:type="dxa"/>
            </w:tcMar>
            <w:vAlign w:val="center"/>
          </w:tcPr>
          <w:p w14:paraId="77DE84FF">
            <w:pPr>
              <w:snapToGrid w:val="0"/>
              <w:ind w:left="0" w:leftChars="0" w:right="0" w:rightChars="0" w:firstLine="0" w:firstLineChars="0"/>
              <w:jc w:val="center"/>
            </w:pPr>
            <w:r>
              <w:t>120</w:t>
            </w:r>
          </w:p>
        </w:tc>
      </w:tr>
      <w:tr w14:paraId="2AB787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394" w:type="dxa"/>
            <w:tcBorders>
              <w:top w:val="nil"/>
              <w:left w:val="nil"/>
              <w:bottom w:val="nil"/>
              <w:right w:val="nil"/>
            </w:tcBorders>
            <w:noWrap w:val="0"/>
            <w:tcMar>
              <w:top w:w="-1" w:type="dxa"/>
              <w:left w:w="-1" w:type="dxa"/>
              <w:bottom w:w="-1" w:type="dxa"/>
              <w:right w:w="-1" w:type="dxa"/>
            </w:tcMar>
            <w:vAlign w:val="center"/>
          </w:tcPr>
          <w:p w14:paraId="1C440CED">
            <w:pPr>
              <w:snapToGrid w:val="0"/>
              <w:ind w:left="0" w:leftChars="0" w:right="0" w:rightChars="0" w:firstLine="0" w:firstLineChars="0"/>
              <w:jc w:val="left"/>
            </w:pPr>
            <w:r>
              <w:t>可执行方案数</w:t>
            </w:r>
          </w:p>
        </w:tc>
        <w:tc>
          <w:tcPr>
            <w:tcW w:w="2910" w:type="dxa"/>
            <w:tcBorders>
              <w:top w:val="nil"/>
              <w:left w:val="nil"/>
              <w:bottom w:val="nil"/>
              <w:right w:val="nil"/>
            </w:tcBorders>
            <w:noWrap w:val="0"/>
            <w:tcMar>
              <w:top w:w="-1" w:type="dxa"/>
              <w:left w:w="-1" w:type="dxa"/>
              <w:bottom w:w="-1" w:type="dxa"/>
              <w:right w:w="-1" w:type="dxa"/>
            </w:tcMar>
            <w:vAlign w:val="center"/>
          </w:tcPr>
          <w:p w14:paraId="7A3DD747">
            <w:pPr>
              <w:snapToGrid w:val="0"/>
              <w:ind w:left="0" w:leftChars="0" w:right="0" w:rightChars="0" w:firstLine="0" w:firstLineChars="0"/>
              <w:jc w:val="center"/>
            </w:pPr>
            <w:r>
              <w:t>120</w:t>
            </w:r>
          </w:p>
        </w:tc>
      </w:tr>
      <w:tr w14:paraId="6788FA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394" w:type="dxa"/>
            <w:tcBorders>
              <w:top w:val="nil"/>
              <w:left w:val="nil"/>
              <w:bottom w:val="nil"/>
              <w:right w:val="nil"/>
            </w:tcBorders>
            <w:noWrap w:val="0"/>
            <w:tcMar>
              <w:top w:w="-1" w:type="dxa"/>
              <w:left w:w="-1" w:type="dxa"/>
              <w:bottom w:w="-1" w:type="dxa"/>
              <w:right w:w="-1" w:type="dxa"/>
            </w:tcMar>
            <w:vAlign w:val="center"/>
          </w:tcPr>
          <w:p w14:paraId="17EFEA22">
            <w:pPr>
              <w:snapToGrid w:val="0"/>
              <w:ind w:left="0" w:leftChars="0" w:right="0" w:rightChars="0" w:firstLine="0" w:firstLineChars="0"/>
              <w:jc w:val="left"/>
            </w:pPr>
            <w:r>
              <w:rPr>
                <w:b/>
              </w:rPr>
              <w:t>ER</w:t>
            </w:r>
          </w:p>
        </w:tc>
        <w:tc>
          <w:tcPr>
            <w:tcW w:w="2910" w:type="dxa"/>
            <w:tcBorders>
              <w:top w:val="nil"/>
              <w:left w:val="nil"/>
              <w:bottom w:val="nil"/>
              <w:right w:val="nil"/>
            </w:tcBorders>
            <w:noWrap w:val="0"/>
            <w:tcMar>
              <w:top w:w="-1" w:type="dxa"/>
              <w:left w:w="-1" w:type="dxa"/>
              <w:bottom w:w="-1" w:type="dxa"/>
              <w:right w:w="-1" w:type="dxa"/>
            </w:tcMar>
            <w:vAlign w:val="center"/>
          </w:tcPr>
          <w:p w14:paraId="0A00C57A">
            <w:pPr>
              <w:snapToGrid w:val="0"/>
              <w:ind w:left="0" w:leftChars="0" w:right="0" w:rightChars="0" w:firstLine="0" w:firstLineChars="0"/>
              <w:jc w:val="center"/>
            </w:pPr>
            <w:r>
              <w:rPr>
                <w:b/>
              </w:rPr>
              <w:t>100%</w:t>
            </w:r>
          </w:p>
        </w:tc>
      </w:tr>
      <w:tr w14:paraId="44A438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394" w:type="dxa"/>
            <w:tcBorders>
              <w:top w:val="nil"/>
              <w:left w:val="nil"/>
              <w:bottom w:val="nil"/>
              <w:right w:val="nil"/>
            </w:tcBorders>
            <w:noWrap w:val="0"/>
            <w:tcMar>
              <w:top w:w="-1" w:type="dxa"/>
              <w:left w:w="-1" w:type="dxa"/>
              <w:bottom w:w="-1" w:type="dxa"/>
              <w:right w:w="-1" w:type="dxa"/>
            </w:tcMar>
            <w:vAlign w:val="center"/>
          </w:tcPr>
          <w:p w14:paraId="23755836">
            <w:pPr>
              <w:snapToGrid w:val="0"/>
              <w:ind w:left="0" w:leftChars="0" w:right="0" w:rightChars="0" w:firstLine="0" w:firstLineChars="0"/>
              <w:jc w:val="left"/>
            </w:pPr>
            <w:r>
              <w:t>比赛目标</w:t>
            </w:r>
          </w:p>
        </w:tc>
        <w:tc>
          <w:tcPr>
            <w:tcW w:w="2910" w:type="dxa"/>
            <w:tcBorders>
              <w:top w:val="nil"/>
              <w:left w:val="nil"/>
              <w:bottom w:val="nil"/>
              <w:right w:val="nil"/>
            </w:tcBorders>
            <w:noWrap w:val="0"/>
            <w:tcMar>
              <w:top w:w="-1" w:type="dxa"/>
              <w:left w:w="-1" w:type="dxa"/>
              <w:bottom w:w="-1" w:type="dxa"/>
              <w:right w:w="-1" w:type="dxa"/>
            </w:tcMar>
            <w:vAlign w:val="center"/>
          </w:tcPr>
          <w:p w14:paraId="4571D419">
            <w:pPr>
              <w:snapToGrid w:val="0"/>
              <w:ind w:left="0" w:leftChars="0" w:right="0" w:rightChars="0" w:firstLine="0" w:firstLineChars="0"/>
              <w:jc w:val="center"/>
            </w:pPr>
            <w:r>
              <w:t>≥95%</w:t>
            </w:r>
          </w:p>
        </w:tc>
      </w:tr>
      <w:tr w14:paraId="7B3401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394" w:type="dxa"/>
            <w:tcBorders>
              <w:top w:val="nil"/>
              <w:left w:val="nil"/>
              <w:bottom w:val="single" w:color="auto" w:sz="12" w:space="0"/>
              <w:right w:val="nil"/>
            </w:tcBorders>
            <w:noWrap w:val="0"/>
            <w:tcMar>
              <w:top w:w="-1" w:type="dxa"/>
              <w:left w:w="-1" w:type="dxa"/>
              <w:bottom w:w="-1" w:type="dxa"/>
              <w:right w:w="-1" w:type="dxa"/>
            </w:tcMar>
            <w:vAlign w:val="center"/>
          </w:tcPr>
          <w:p w14:paraId="7311BD94">
            <w:pPr>
              <w:snapToGrid w:val="0"/>
              <w:ind w:left="0" w:leftChars="0" w:right="0" w:rightChars="0" w:firstLine="0" w:firstLineChars="0"/>
              <w:jc w:val="left"/>
            </w:pPr>
            <w:r>
              <w:t>得分</w:t>
            </w:r>
          </w:p>
        </w:tc>
        <w:tc>
          <w:tcPr>
            <w:tcW w:w="2910" w:type="dxa"/>
            <w:tcBorders>
              <w:top w:val="nil"/>
              <w:left w:val="nil"/>
              <w:bottom w:val="single" w:color="auto" w:sz="12" w:space="0"/>
              <w:right w:val="nil"/>
            </w:tcBorders>
            <w:noWrap w:val="0"/>
            <w:tcMar>
              <w:top w:w="-1" w:type="dxa"/>
              <w:left w:w="-1" w:type="dxa"/>
              <w:bottom w:w="-1" w:type="dxa"/>
              <w:right w:w="-1" w:type="dxa"/>
            </w:tcMar>
            <w:vAlign w:val="center"/>
          </w:tcPr>
          <w:p w14:paraId="35555BFD">
            <w:pPr>
              <w:snapToGrid w:val="0"/>
              <w:ind w:left="0" w:leftChars="0" w:right="0" w:rightChars="0" w:firstLine="0" w:firstLineChars="0"/>
              <w:jc w:val="center"/>
            </w:pPr>
            <w:r>
              <w:t>+10分</w:t>
            </w:r>
          </w:p>
        </w:tc>
      </w:tr>
    </w:tbl>
    <w:p w14:paraId="4D5A9AEB">
      <w:pPr>
        <w:pStyle w:val="4"/>
        <w:spacing w:before="0" w:after="120" w:line="360" w:lineRule="auto"/>
        <w:ind w:left="0" w:leftChars="0" w:firstLine="480" w:firstLineChars="200"/>
        <w:jc w:val="both"/>
        <w:rPr>
          <w:rFonts w:eastAsia="宋体"/>
          <w:b w:val="0"/>
          <w:i w:val="0"/>
          <w:strike w:val="0"/>
          <w:color w:val="auto"/>
          <w:sz w:val="24"/>
          <w:u w:val="none"/>
        </w:rPr>
      </w:pPr>
      <w:r>
        <w:rPr>
          <w:rFonts w:hint="eastAsia" w:eastAsia="宋体"/>
          <w:b w:val="0"/>
          <w:i w:val="0"/>
          <w:strike w:val="0"/>
          <w:color w:val="E54C5E" w:themeColor="accent6"/>
          <w:sz w:val="24"/>
          <w:u w:val="none"/>
          <w14:textFill>
            <w14:solidFill>
              <w14:schemeClr w14:val="accent6"/>
            </w14:solidFill>
          </w14:textFill>
        </w:rPr>
        <w:t>注：在引入工序建模约束（加热炉总运行时间8~12小时）后，ER仍保持100%，说明工序约束未对方案可执行性产生负面影响。</w:t>
      </w:r>
    </w:p>
    <w:p w14:paraId="757E5627">
      <w:pPr>
        <w:pStyle w:val="4"/>
      </w:pPr>
      <w:r>
        <w:t>4.3 数据准确性</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300"/>
        <w:gridCol w:w="6004"/>
      </w:tblGrid>
      <w:tr w14:paraId="17F32D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0" w:type="dxa"/>
            <w:tcBorders>
              <w:top w:val="single" w:color="auto" w:sz="12" w:space="0"/>
              <w:left w:val="nil"/>
              <w:bottom w:val="nil"/>
              <w:right w:val="nil"/>
            </w:tcBorders>
            <w:noWrap w:val="0"/>
            <w:tcMar>
              <w:top w:w="-1" w:type="dxa"/>
              <w:left w:w="-1" w:type="dxa"/>
              <w:bottom w:w="-1" w:type="dxa"/>
              <w:right w:w="-1" w:type="dxa"/>
            </w:tcMar>
            <w:vAlign w:val="center"/>
          </w:tcPr>
          <w:p w14:paraId="579FC9D9">
            <w:pPr>
              <w:snapToGrid w:val="0"/>
              <w:jc w:val="center"/>
              <w:rPr>
                <w:b/>
              </w:rPr>
            </w:pPr>
            <w:r>
              <w:rPr>
                <w:b/>
              </w:rPr>
              <w:t>项目</w:t>
            </w:r>
          </w:p>
        </w:tc>
        <w:tc>
          <w:tcPr>
            <w:tcW w:w="6004" w:type="dxa"/>
            <w:tcBorders>
              <w:top w:val="single" w:color="auto" w:sz="12" w:space="0"/>
              <w:left w:val="nil"/>
              <w:bottom w:val="nil"/>
              <w:right w:val="nil"/>
            </w:tcBorders>
            <w:noWrap w:val="0"/>
            <w:tcMar>
              <w:top w:w="-1" w:type="dxa"/>
              <w:left w:w="-1" w:type="dxa"/>
              <w:bottom w:w="-1" w:type="dxa"/>
              <w:right w:w="-1" w:type="dxa"/>
            </w:tcMar>
            <w:vAlign w:val="center"/>
          </w:tcPr>
          <w:p w14:paraId="61F63839">
            <w:pPr>
              <w:snapToGrid w:val="0"/>
              <w:jc w:val="center"/>
              <w:rPr>
                <w:b/>
              </w:rPr>
            </w:pPr>
            <w:r>
              <w:rPr>
                <w:b/>
              </w:rPr>
              <w:t>说明</w:t>
            </w:r>
          </w:p>
        </w:tc>
      </w:tr>
      <w:tr w14:paraId="187B37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0" w:type="dxa"/>
            <w:tcBorders>
              <w:top w:val="single" w:color="auto" w:sz="4" w:space="0"/>
              <w:left w:val="nil"/>
              <w:bottom w:val="nil"/>
              <w:right w:val="nil"/>
            </w:tcBorders>
            <w:noWrap w:val="0"/>
            <w:tcMar>
              <w:top w:w="-1" w:type="dxa"/>
              <w:left w:w="-1" w:type="dxa"/>
              <w:bottom w:w="-1" w:type="dxa"/>
              <w:right w:w="-1" w:type="dxa"/>
            </w:tcMar>
            <w:vAlign w:val="center"/>
          </w:tcPr>
          <w:p w14:paraId="6DD2E88B">
            <w:pPr>
              <w:snapToGrid w:val="0"/>
            </w:pPr>
            <w:r>
              <w:t>数据类型</w:t>
            </w:r>
          </w:p>
        </w:tc>
        <w:tc>
          <w:tcPr>
            <w:tcW w:w="6004" w:type="dxa"/>
            <w:tcBorders>
              <w:top w:val="single" w:color="auto" w:sz="4" w:space="0"/>
              <w:left w:val="nil"/>
              <w:bottom w:val="nil"/>
              <w:right w:val="nil"/>
            </w:tcBorders>
            <w:noWrap w:val="0"/>
            <w:tcMar>
              <w:top w:w="-1" w:type="dxa"/>
              <w:left w:w="-1" w:type="dxa"/>
              <w:bottom w:w="-1" w:type="dxa"/>
              <w:right w:w="-1" w:type="dxa"/>
            </w:tcMar>
            <w:vAlign w:val="center"/>
          </w:tcPr>
          <w:p w14:paraId="74DF585E">
            <w:pPr>
              <w:snapToGrid w:val="0"/>
              <w:rPr>
                <w:rFonts w:hint="eastAsia" w:eastAsiaTheme="minorEastAsia"/>
                <w:lang w:eastAsia="zh-CN"/>
              </w:rPr>
            </w:pPr>
            <w:r>
              <w:t>真实历史数据</w:t>
            </w:r>
            <w:r>
              <w:rPr>
                <w:rFonts w:hint="eastAsia"/>
                <w:lang w:eastAsia="zh-CN"/>
              </w:rPr>
              <w:t>（原始15分钟</w:t>
            </w:r>
            <w:r>
              <w:rPr>
                <w:rFonts w:hint="eastAsia"/>
                <w:lang w:val="en-US" w:eastAsia="zh-CN"/>
              </w:rPr>
              <w:t>粒</w:t>
            </w:r>
            <w:r>
              <w:rPr>
                <w:rFonts w:hint="eastAsia"/>
                <w:lang w:eastAsia="zh-CN"/>
              </w:rPr>
              <w:t>度）</w:t>
            </w:r>
          </w:p>
        </w:tc>
      </w:tr>
      <w:tr w14:paraId="273959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0" w:type="dxa"/>
            <w:tcBorders>
              <w:top w:val="nil"/>
              <w:left w:val="nil"/>
              <w:bottom w:val="nil"/>
              <w:right w:val="nil"/>
            </w:tcBorders>
            <w:noWrap w:val="0"/>
            <w:tcMar>
              <w:top w:w="-1" w:type="dxa"/>
              <w:left w:w="-1" w:type="dxa"/>
              <w:bottom w:w="-1" w:type="dxa"/>
              <w:right w:w="-1" w:type="dxa"/>
            </w:tcMar>
            <w:vAlign w:val="center"/>
          </w:tcPr>
          <w:p w14:paraId="2B681495">
            <w:pPr>
              <w:snapToGrid w:val="0"/>
            </w:pPr>
            <w:r>
              <w:t>数据来源</w:t>
            </w:r>
          </w:p>
        </w:tc>
        <w:tc>
          <w:tcPr>
            <w:tcW w:w="6004" w:type="dxa"/>
            <w:tcBorders>
              <w:top w:val="nil"/>
              <w:left w:val="nil"/>
              <w:bottom w:val="nil"/>
              <w:right w:val="nil"/>
            </w:tcBorders>
            <w:noWrap w:val="0"/>
            <w:tcMar>
              <w:top w:w="-1" w:type="dxa"/>
              <w:left w:w="-1" w:type="dxa"/>
              <w:bottom w:w="-1" w:type="dxa"/>
              <w:right w:w="-1" w:type="dxa"/>
            </w:tcMar>
            <w:vAlign w:val="center"/>
          </w:tcPr>
          <w:p w14:paraId="6F8D875A">
            <w:pPr>
              <w:snapToGrid w:val="0"/>
            </w:pPr>
            <w:r>
              <w:t>GitHub钢铁行业能耗数据集</w:t>
            </w:r>
          </w:p>
        </w:tc>
      </w:tr>
      <w:tr w14:paraId="617E8E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0" w:type="dxa"/>
            <w:tcBorders>
              <w:top w:val="nil"/>
              <w:left w:val="nil"/>
              <w:bottom w:val="nil"/>
              <w:right w:val="nil"/>
            </w:tcBorders>
            <w:noWrap w:val="0"/>
            <w:tcMar>
              <w:top w:w="-1" w:type="dxa"/>
              <w:left w:w="-1" w:type="dxa"/>
              <w:bottom w:w="-1" w:type="dxa"/>
              <w:right w:w="-1" w:type="dxa"/>
            </w:tcMar>
            <w:vAlign w:val="center"/>
          </w:tcPr>
          <w:p w14:paraId="1EF73630">
            <w:pPr>
              <w:snapToGrid w:val="0"/>
              <w:rPr>
                <w:color w:val="E54C5E" w:themeColor="accent6"/>
                <w14:textFill>
                  <w14:solidFill>
                    <w14:schemeClr w14:val="accent6"/>
                  </w14:solidFill>
                </w14:textFill>
              </w:rPr>
            </w:pPr>
            <w:r>
              <w:rPr>
                <w:color w:val="E54C5E" w:themeColor="accent6"/>
                <w14:textFill>
                  <w14:solidFill>
                    <w14:schemeClr w14:val="accent6"/>
                  </w14:solidFill>
                </w14:textFill>
              </w:rPr>
              <w:t>数据量</w:t>
            </w:r>
          </w:p>
          <w:p w14:paraId="2D93344E">
            <w:pPr>
              <w:snapToGrid w:val="0"/>
              <w:rPr>
                <w:color w:val="E54C5E" w:themeColor="accent6"/>
                <w14:textFill>
                  <w14:solidFill>
                    <w14:schemeClr w14:val="accent6"/>
                  </w14:solidFill>
                </w14:textFill>
              </w:rPr>
            </w:pPr>
            <w:r>
              <w:rPr>
                <w:rFonts w:hint="eastAsia"/>
                <w:color w:val="E54C5E" w:themeColor="accent6"/>
                <w:lang w:val="en-US" w:eastAsia="zh-CN"/>
                <w14:textFill>
                  <w14:solidFill>
                    <w14:schemeClr w14:val="accent6"/>
                  </w14:solidFill>
                </w14:textFill>
              </w:rPr>
              <w:t>插</w:t>
            </w:r>
            <w:r>
              <w:rPr>
                <w:rFonts w:hint="eastAsia"/>
                <w:color w:val="E54C5E" w:themeColor="accent6"/>
                <w14:textFill>
                  <w14:solidFill>
                    <w14:schemeClr w14:val="accent6"/>
                  </w14:solidFill>
                </w14:textFill>
              </w:rPr>
              <w:t>值数据量</w:t>
            </w:r>
          </w:p>
        </w:tc>
        <w:tc>
          <w:tcPr>
            <w:tcW w:w="6004" w:type="dxa"/>
            <w:tcBorders>
              <w:top w:val="nil"/>
              <w:left w:val="nil"/>
              <w:bottom w:val="nil"/>
              <w:right w:val="nil"/>
            </w:tcBorders>
            <w:noWrap w:val="0"/>
            <w:tcMar>
              <w:top w:w="-1" w:type="dxa"/>
              <w:left w:w="-1" w:type="dxa"/>
              <w:bottom w:w="-1" w:type="dxa"/>
              <w:right w:w="-1" w:type="dxa"/>
            </w:tcMar>
            <w:vAlign w:val="center"/>
          </w:tcPr>
          <w:p w14:paraId="35BA861C">
            <w:pPr>
              <w:snapToGrid w:val="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35040条（15分钟粒度）</w:t>
            </w:r>
          </w:p>
          <w:p w14:paraId="0FD61AE4">
            <w:pPr>
              <w:snapToGrid w:val="0"/>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132481条（1分钟粒度，用于MPC训练）</w:t>
            </w:r>
          </w:p>
        </w:tc>
      </w:tr>
      <w:tr w14:paraId="32AC72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00" w:type="dxa"/>
            <w:tcBorders>
              <w:top w:val="nil"/>
              <w:left w:val="nil"/>
              <w:bottom w:val="single" w:color="auto" w:sz="12" w:space="0"/>
              <w:right w:val="nil"/>
            </w:tcBorders>
            <w:noWrap w:val="0"/>
            <w:tcMar>
              <w:top w:w="-1" w:type="dxa"/>
              <w:left w:w="-1" w:type="dxa"/>
              <w:bottom w:w="-1" w:type="dxa"/>
              <w:right w:w="-1" w:type="dxa"/>
            </w:tcMar>
            <w:vAlign w:val="center"/>
          </w:tcPr>
          <w:p w14:paraId="2AAA5300">
            <w:pPr>
              <w:snapToGrid w:val="0"/>
              <w:rPr>
                <w:rFonts w:hint="eastAsia"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说明</w:t>
            </w:r>
          </w:p>
        </w:tc>
        <w:tc>
          <w:tcPr>
            <w:tcW w:w="6004" w:type="dxa"/>
            <w:tcBorders>
              <w:top w:val="nil"/>
              <w:left w:val="nil"/>
              <w:bottom w:val="single" w:color="auto" w:sz="12" w:space="0"/>
              <w:right w:val="nil"/>
            </w:tcBorders>
            <w:noWrap w:val="0"/>
            <w:tcMar>
              <w:top w:w="-1" w:type="dxa"/>
              <w:left w:w="-1" w:type="dxa"/>
              <w:bottom w:w="-1" w:type="dxa"/>
              <w:right w:w="-1" w:type="dxa"/>
            </w:tcMar>
            <w:vAlign w:val="center"/>
          </w:tcPr>
          <w:p w14:paraId="46FEC6F6">
            <w:pPr>
              <w:snapToGrid w:val="0"/>
              <w:rPr>
                <w:color w:val="E54C5E" w:themeColor="accent6"/>
                <w14:textFill>
                  <w14:solidFill>
                    <w14:schemeClr w14:val="accent6"/>
                  </w14:solidFill>
                </w14:textFill>
              </w:rPr>
            </w:pPr>
            <w:r>
              <w:rPr>
                <w:rFonts w:hint="eastAsia"/>
                <w:color w:val="E54C5E" w:themeColor="accent6"/>
                <w14:textFill>
                  <w14:solidFill>
                    <w14:schemeClr w14:val="accent6"/>
                  </w14:solidFill>
                </w14:textFill>
              </w:rPr>
              <w:t>插值数据用于分钟级调控训练，原始数据用于验证</w:t>
            </w:r>
          </w:p>
        </w:tc>
      </w:tr>
    </w:tbl>
    <w:p w14:paraId="29A1E4D1">
      <w:pPr>
        <w:pStyle w:val="4"/>
      </w:pPr>
      <w:r>
        <w:t>4.4 综合得分</w:t>
      </w:r>
    </w:p>
    <w:tbl>
      <w:tblPr>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5163"/>
        <w:gridCol w:w="3141"/>
      </w:tblGrid>
      <w:tr w14:paraId="31A5C3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5163" w:type="dxa"/>
            <w:tcBorders>
              <w:top w:val="single" w:color="auto" w:sz="12" w:space="0"/>
              <w:left w:val="nil"/>
              <w:bottom w:val="nil"/>
              <w:right w:val="nil"/>
            </w:tcBorders>
            <w:noWrap w:val="0"/>
            <w:tcMar>
              <w:top w:w="-1" w:type="dxa"/>
              <w:left w:w="-1" w:type="dxa"/>
              <w:bottom w:w="-1" w:type="dxa"/>
              <w:right w:w="-1" w:type="dxa"/>
            </w:tcMar>
            <w:vAlign w:val="center"/>
          </w:tcPr>
          <w:p w14:paraId="002A584C">
            <w:pPr>
              <w:snapToGrid w:val="0"/>
              <w:ind w:left="0" w:leftChars="0" w:right="0" w:rightChars="0" w:firstLine="0" w:firstLineChars="0"/>
              <w:jc w:val="center"/>
              <w:rPr>
                <w:b/>
              </w:rPr>
            </w:pPr>
            <w:r>
              <w:rPr>
                <w:b/>
              </w:rPr>
              <w:t>指标</w:t>
            </w:r>
          </w:p>
        </w:tc>
        <w:tc>
          <w:tcPr>
            <w:tcW w:w="3141" w:type="dxa"/>
            <w:tcBorders>
              <w:top w:val="single" w:color="auto" w:sz="12" w:space="0"/>
              <w:left w:val="nil"/>
              <w:bottom w:val="nil"/>
              <w:right w:val="nil"/>
            </w:tcBorders>
            <w:noWrap w:val="0"/>
            <w:tcMar>
              <w:top w:w="-1" w:type="dxa"/>
              <w:left w:w="-1" w:type="dxa"/>
              <w:bottom w:w="-1" w:type="dxa"/>
              <w:right w:w="-1" w:type="dxa"/>
            </w:tcMar>
            <w:vAlign w:val="center"/>
          </w:tcPr>
          <w:p w14:paraId="172577FF">
            <w:pPr>
              <w:snapToGrid w:val="0"/>
              <w:ind w:left="0" w:leftChars="0" w:right="0" w:rightChars="0" w:firstLine="0" w:firstLineChars="0"/>
              <w:jc w:val="center"/>
              <w:rPr>
                <w:b/>
              </w:rPr>
            </w:pPr>
            <w:r>
              <w:rPr>
                <w:b/>
              </w:rPr>
              <w:t>得分</w:t>
            </w:r>
          </w:p>
        </w:tc>
      </w:tr>
      <w:tr w14:paraId="17504E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163" w:type="dxa"/>
            <w:tcBorders>
              <w:top w:val="single" w:color="auto" w:sz="4" w:space="0"/>
              <w:left w:val="nil"/>
              <w:bottom w:val="nil"/>
              <w:right w:val="nil"/>
            </w:tcBorders>
            <w:noWrap w:val="0"/>
            <w:tcMar>
              <w:top w:w="-1" w:type="dxa"/>
              <w:left w:w="-1" w:type="dxa"/>
              <w:bottom w:w="-1" w:type="dxa"/>
              <w:right w:w="-1" w:type="dxa"/>
            </w:tcMar>
            <w:vAlign w:val="center"/>
          </w:tcPr>
          <w:p w14:paraId="25A28FE4">
            <w:pPr>
              <w:snapToGrid w:val="0"/>
              <w:ind w:left="0" w:leftChars="0" w:right="0" w:rightChars="0" w:firstLine="0" w:firstLineChars="0"/>
              <w:jc w:val="center"/>
            </w:pPr>
            <w:r>
              <w:t>EC（轧钢能耗降低率）</w:t>
            </w:r>
          </w:p>
        </w:tc>
        <w:tc>
          <w:tcPr>
            <w:tcW w:w="3141" w:type="dxa"/>
            <w:tcBorders>
              <w:top w:val="single" w:color="auto" w:sz="4" w:space="0"/>
              <w:left w:val="nil"/>
              <w:bottom w:val="nil"/>
              <w:right w:val="nil"/>
            </w:tcBorders>
            <w:noWrap w:val="0"/>
            <w:tcMar>
              <w:top w:w="-1" w:type="dxa"/>
              <w:left w:w="-1" w:type="dxa"/>
              <w:bottom w:w="-1" w:type="dxa"/>
              <w:right w:w="-1" w:type="dxa"/>
            </w:tcMar>
            <w:vAlign w:val="center"/>
          </w:tcPr>
          <w:p w14:paraId="230D0C3A">
            <w:pPr>
              <w:snapToGrid w:val="0"/>
              <w:ind w:left="0" w:leftChars="0" w:right="0" w:rightChars="0" w:firstLine="0" w:firstLineChars="0"/>
              <w:jc w:val="right"/>
            </w:pPr>
            <w:r>
              <w:t>+15分</w:t>
            </w:r>
          </w:p>
        </w:tc>
      </w:tr>
      <w:tr w14:paraId="4C4B48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163" w:type="dxa"/>
            <w:tcBorders>
              <w:top w:val="nil"/>
              <w:left w:val="nil"/>
              <w:bottom w:val="nil"/>
              <w:right w:val="nil"/>
            </w:tcBorders>
            <w:noWrap w:val="0"/>
            <w:tcMar>
              <w:top w:w="-1" w:type="dxa"/>
              <w:left w:w="-1" w:type="dxa"/>
              <w:bottom w:w="-1" w:type="dxa"/>
              <w:right w:w="-1" w:type="dxa"/>
            </w:tcMar>
            <w:vAlign w:val="center"/>
          </w:tcPr>
          <w:p w14:paraId="4ED99EBD">
            <w:pPr>
              <w:snapToGrid w:val="0"/>
              <w:ind w:left="0" w:leftChars="0" w:right="0" w:rightChars="0" w:firstLine="0" w:firstLineChars="0"/>
              <w:jc w:val="center"/>
            </w:pPr>
            <w:r>
              <w:t>ER（方案可执行率）</w:t>
            </w:r>
          </w:p>
        </w:tc>
        <w:tc>
          <w:tcPr>
            <w:tcW w:w="3141" w:type="dxa"/>
            <w:tcBorders>
              <w:top w:val="nil"/>
              <w:left w:val="nil"/>
              <w:bottom w:val="nil"/>
              <w:right w:val="nil"/>
            </w:tcBorders>
            <w:noWrap w:val="0"/>
            <w:tcMar>
              <w:top w:w="-1" w:type="dxa"/>
              <w:left w:w="-1" w:type="dxa"/>
              <w:bottom w:w="-1" w:type="dxa"/>
              <w:right w:w="-1" w:type="dxa"/>
            </w:tcMar>
            <w:vAlign w:val="center"/>
          </w:tcPr>
          <w:p w14:paraId="3C7BACEA">
            <w:pPr>
              <w:snapToGrid w:val="0"/>
              <w:ind w:left="0" w:leftChars="0" w:right="0" w:rightChars="0" w:firstLine="0" w:firstLineChars="0"/>
              <w:jc w:val="right"/>
            </w:pPr>
            <w:r>
              <w:t>+10分</w:t>
            </w:r>
          </w:p>
        </w:tc>
      </w:tr>
      <w:tr w14:paraId="3D64E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163" w:type="dxa"/>
            <w:tcBorders>
              <w:top w:val="nil"/>
              <w:left w:val="nil"/>
              <w:bottom w:val="nil"/>
              <w:right w:val="nil"/>
            </w:tcBorders>
            <w:noWrap w:val="0"/>
            <w:tcMar>
              <w:top w:w="-1" w:type="dxa"/>
              <w:left w:w="-1" w:type="dxa"/>
              <w:bottom w:w="-1" w:type="dxa"/>
              <w:right w:w="-1" w:type="dxa"/>
            </w:tcMar>
            <w:vAlign w:val="center"/>
          </w:tcPr>
          <w:p w14:paraId="602FF180">
            <w:pPr>
              <w:snapToGrid w:val="0"/>
              <w:ind w:left="0" w:leftChars="0" w:right="0" w:rightChars="0" w:firstLine="0" w:firstLineChars="0"/>
              <w:jc w:val="center"/>
            </w:pPr>
            <w:r>
              <w:t>数据准确性（真实数据）</w:t>
            </w:r>
          </w:p>
        </w:tc>
        <w:tc>
          <w:tcPr>
            <w:tcW w:w="3141" w:type="dxa"/>
            <w:tcBorders>
              <w:top w:val="nil"/>
              <w:left w:val="nil"/>
              <w:bottom w:val="nil"/>
              <w:right w:val="nil"/>
            </w:tcBorders>
            <w:noWrap w:val="0"/>
            <w:tcMar>
              <w:top w:w="-1" w:type="dxa"/>
              <w:left w:w="-1" w:type="dxa"/>
              <w:bottom w:w="-1" w:type="dxa"/>
              <w:right w:w="-1" w:type="dxa"/>
            </w:tcMar>
            <w:vAlign w:val="center"/>
          </w:tcPr>
          <w:p w14:paraId="429C0ABD">
            <w:pPr>
              <w:snapToGrid w:val="0"/>
              <w:ind w:left="0" w:leftChars="0" w:right="0" w:rightChars="0" w:firstLine="0" w:firstLineChars="0"/>
              <w:jc w:val="right"/>
            </w:pPr>
            <w:r>
              <w:t>+15分</w:t>
            </w:r>
          </w:p>
        </w:tc>
      </w:tr>
      <w:tr w14:paraId="69B334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5163" w:type="dxa"/>
            <w:tcBorders>
              <w:top w:val="nil"/>
              <w:left w:val="nil"/>
              <w:bottom w:val="single" w:color="auto" w:sz="12" w:space="0"/>
              <w:right w:val="nil"/>
            </w:tcBorders>
            <w:noWrap w:val="0"/>
            <w:tcMar>
              <w:top w:w="-1" w:type="dxa"/>
              <w:left w:w="-1" w:type="dxa"/>
              <w:bottom w:w="-1" w:type="dxa"/>
              <w:right w:w="-1" w:type="dxa"/>
            </w:tcMar>
            <w:vAlign w:val="center"/>
          </w:tcPr>
          <w:p w14:paraId="5A2D09F9">
            <w:pPr>
              <w:snapToGrid w:val="0"/>
              <w:ind w:left="0" w:leftChars="0" w:right="0" w:rightChars="0" w:firstLine="0" w:firstLineChars="0"/>
              <w:jc w:val="center"/>
              <w:rPr>
                <w:b/>
              </w:rPr>
            </w:pPr>
            <w:r>
              <w:rPr>
                <w:b/>
              </w:rPr>
              <w:t>合计</w:t>
            </w:r>
          </w:p>
        </w:tc>
        <w:tc>
          <w:tcPr>
            <w:tcW w:w="3141" w:type="dxa"/>
            <w:tcBorders>
              <w:top w:val="nil"/>
              <w:left w:val="nil"/>
              <w:bottom w:val="single" w:color="auto" w:sz="12" w:space="0"/>
              <w:right w:val="nil"/>
            </w:tcBorders>
            <w:noWrap w:val="0"/>
            <w:tcMar>
              <w:top w:w="-1" w:type="dxa"/>
              <w:left w:w="-1" w:type="dxa"/>
              <w:bottom w:w="-1" w:type="dxa"/>
              <w:right w:w="-1" w:type="dxa"/>
            </w:tcMar>
            <w:vAlign w:val="center"/>
          </w:tcPr>
          <w:p w14:paraId="56191D55">
            <w:pPr>
              <w:snapToGrid w:val="0"/>
              <w:ind w:left="0" w:leftChars="0" w:right="0" w:rightChars="0" w:firstLine="0" w:firstLineChars="0"/>
              <w:jc w:val="right"/>
              <w:rPr>
                <w:b/>
              </w:rPr>
            </w:pPr>
            <w:r>
              <w:rPr>
                <w:b/>
              </w:rPr>
              <w:t>40分（满分）</w:t>
            </w:r>
          </w:p>
        </w:tc>
      </w:tr>
    </w:tbl>
    <w:p w14:paraId="401F9F82">
      <w:pPr>
        <w:pStyle w:val="3"/>
      </w:pPr>
      <w:r>
        <w:t>五、算法创新点</w:t>
      </w:r>
    </w:p>
    <w:p w14:paraId="4B04F9ED">
      <w:pPr>
        <w:pStyle w:val="4"/>
      </w:pPr>
      <w:r>
        <w:t>5.1 双时间尺度协同优化</w:t>
      </w:r>
    </w:p>
    <w:p w14:paraId="5588D915">
      <w:r>
        <w:t>本研究构建了"日级规划+实时调控"的双时间尺度闭环架构，日级模型负责制定24小时宏观排产计划，实时模型负责分钟级微观跟踪调控，实现了从规划到执行的全流程覆盖。</w:t>
      </w:r>
    </w:p>
    <w:p w14:paraId="2A50426D">
      <w:pPr>
        <w:pStyle w:val="4"/>
      </w:pPr>
      <w:r>
        <w:t>5.2 工艺参数与排产联合优化</w:t>
      </w:r>
    </w:p>
    <w:p w14:paraId="596EC4E6">
      <w:r>
        <w:t>区别于传统排产模型仅优化产量分配，本研究将加热温度和轧制速度引入决策变量，在排产同时优化工艺参数，实现了生产-能源-工艺的三维协同。</w:t>
      </w:r>
    </w:p>
    <w:p w14:paraId="54EB970C">
      <w:pPr>
        <w:pStyle w:val="4"/>
      </w:pPr>
      <w:r>
        <w:t>5.3 文献驱动的模型参数化</w:t>
      </w:r>
    </w:p>
    <w:p w14:paraId="433064AE">
      <w:r>
        <w:t>模型中温度-能耗、速度-能耗关系系数来源于公开文献（《轧钢》2014年第1期、万方数据2014），而非任意假设，确保模型参数的物理合理性和可解释性。</w:t>
      </w:r>
    </w:p>
    <w:p w14:paraId="32448ACE">
      <w:pPr>
        <w:pStyle w:val="4"/>
        <w:rPr>
          <w:rFonts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pPr>
      <w:r>
        <w:rPr>
          <w:color w:val="E54C5E" w:themeColor="accent6"/>
          <w14:textFill>
            <w14:solidFill>
              <w14:schemeClr w14:val="accent6"/>
            </w14:solidFill>
          </w14:textFill>
        </w:rPr>
        <w:t>5.4 真实数据验证</w:t>
      </w:r>
    </w:p>
    <w:p w14:paraId="77E52B48">
      <w:pPr>
        <w:widowControl w:val="0"/>
        <w:ind w:leftChars="0"/>
        <w:jc w:val="both"/>
        <w:rPr>
          <w:rFonts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pPr>
      <w:r>
        <w:rPr>
          <w:rFonts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模型基于35,040条原始15分钟真实钢厂历史数据进行验证。为满足比赛1分钟采样要求，通过线性插值生成132,481条1分钟数据用于MPC分钟级调控训练。原始数据验证保证结果真实性，插值数据保证输出粒度，两者结合实现数据真实性与时间分辨率的统一。</w:t>
      </w:r>
    </w:p>
    <w:p w14:paraId="1315016B">
      <w:pPr>
        <w:pStyle w:val="4"/>
      </w:pPr>
      <w:r>
        <w:t>5.5 标准化接口设计</w:t>
      </w:r>
    </w:p>
    <w:p w14:paraId="0B641F70">
      <w:r>
        <w:t>模型输出采用标准JSON格式，包含日级计划JSON和实时调控JSON两个接口，可直接与后端系统对接，具备工程实用价值。</w:t>
      </w:r>
    </w:p>
    <w:p w14:paraId="2C5523CC">
      <w:pPr>
        <w:pStyle w:val="4"/>
      </w:pPr>
      <w:r>
        <w:t>5.6 模型可迁移性</w:t>
      </w:r>
    </w:p>
    <w:p w14:paraId="7D55C095">
      <w:r>
        <w:t>模型代码基于通用MATLAB平台开发，不依赖特定硬件或数据库，可适配不同工业园区的数据格式和参数配置，具备良好的可迁移性。</w:t>
      </w:r>
    </w:p>
    <w:p w14:paraId="168D6E23">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pPr>
      <w:r>
        <w:rPr>
          <w:rFonts w:hint="eastAsia" w:asciiTheme="minorHAnsi" w:hAnsiTheme="minorHAnsi" w:eastAsiaTheme="minorEastAsia" w:cstheme="minorBidi"/>
          <w:b/>
          <w:color w:val="E54C5E" w:themeColor="accent6"/>
          <w:kern w:val="2"/>
          <w:sz w:val="32"/>
          <w:szCs w:val="24"/>
          <w:lang w:val="en-US" w:eastAsia="zh-CN" w:bidi="ar-SA"/>
          <w14:textFill>
            <w14:solidFill>
              <w14:schemeClr w14:val="accent6"/>
            </w14:solidFill>
          </w14:textFill>
        </w:rPr>
        <w:t xml:space="preserve"> 5.7 工序级生产流程建模</w:t>
      </w:r>
    </w:p>
    <w:p w14:paraId="52DE1CC7">
      <w:pPr>
        <w:widowControl w:val="0"/>
        <w:ind w:leftChars="0"/>
        <w:jc w:val="both"/>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区别于传统排产模型将产量作为独立变量直接优化，本研究将轧钢生产分解为加热、粗轧、精轧、冷却、卷取五个工序，通过工序状态变量（启停状态）、时序依赖约束（加热→后续工序）、最小启停时间约束，实现了产量由工序运行状态共同决定的生产流程建模。该建模方法使排产计划同时满足工艺时序逻辑和设备安全约束，加热炉运行时间集中在谷电时段8小时，既降低了用电成本，又避免了设备频繁启停带来的能耗损失和设备损伤。</w:t>
      </w:r>
    </w:p>
    <w:p w14:paraId="72D636FC">
      <w:pPr>
        <w:pStyle w:val="3"/>
      </w:pPr>
      <w:r>
        <w:t>六、结论</w:t>
      </w:r>
    </w:p>
    <w:p w14:paraId="4F7D21E0">
      <w:r>
        <w:t>本研究针对工业园区轧钢生产与热电厂能源供给协同优化难题，提出了基于MILP-MPC双时间尺度协同优化方法。通过</w:t>
      </w:r>
      <w:r>
        <w:rPr>
          <w:rFonts w:hint="eastAsia"/>
          <w:lang w:val="en-US" w:eastAsia="zh-CN"/>
        </w:rPr>
        <w:t>35040</w:t>
      </w:r>
      <w:r>
        <w:t>条真实数据的验证，结果表明：</w:t>
      </w:r>
    </w:p>
    <w:p w14:paraId="6CC2D11F">
      <w:pPr>
        <w:numPr>
          <w:ilvl w:val="0"/>
          <w:numId w:val="11"/>
        </w:numPr>
        <w:rPr>
          <w:color w:val="E54C5E" w:themeColor="accent6"/>
          <w14:textFill>
            <w14:solidFill>
              <w14:schemeClr w14:val="accent6"/>
            </w14:solidFill>
          </w14:textFill>
        </w:rPr>
      </w:pPr>
      <w:r>
        <w:rPr>
          <w:rFonts w:hint="eastAsia"/>
          <w:color w:val="E54C5E" w:themeColor="accent6"/>
          <w14:textFill>
            <w14:solidFill>
              <w14:schemeClr w14:val="accent6"/>
            </w14:solidFill>
          </w14:textFill>
        </w:rPr>
        <w:t>日级排产模型通过引入工序级建模约束（工序状态变量、时序依赖、最小启停时间），将产量与加热炉运行状态直接关联，有效实现"避峰填谷"——加热炉运行集中在谷电时段8小时，停机16小时。结合工艺参数优化（加热温度降低10℃、轧制速度提升1m/s），轧钢能耗降低率达5.15%，超额完成比赛1.5%的目标，且经MPC验证ER保持100%。</w:t>
      </w:r>
      <w:r>
        <w:rPr>
          <w:color w:val="E54C5E" w:themeColor="accent6"/>
          <w14:textFill>
            <w14:solidFill>
              <w14:schemeClr w14:val="accent6"/>
            </w14:solidFill>
          </w14:textFill>
        </w:rPr>
        <w:t>实时调控模型可每分钟输出锅炉负荷、汽机出力等调控指令，所有方案均在设备约束范围内，方案可执行率达100%。</w:t>
      </w:r>
    </w:p>
    <w:p w14:paraId="1913BA97">
      <w:pPr>
        <w:numPr>
          <w:ilvl w:val="0"/>
          <w:numId w:val="11"/>
        </w:numPr>
      </w:pPr>
      <w:r>
        <w:rPr>
          <w:rFonts w:hint="eastAsia"/>
        </w:rPr>
        <w:t xml:space="preserve"> 模型全部基于真实钢厂数据（35,040条原始15分钟数据）验证，数据准确性得分满分，综合得分40分。</w:t>
      </w:r>
    </w:p>
    <w:p w14:paraId="336427E8">
      <w:pPr>
        <w:numPr>
          <w:ilvl w:val="0"/>
          <w:numId w:val="11"/>
        </w:numPr>
        <w:spacing w:after="0"/>
      </w:pPr>
      <w:r>
        <w:t>模型具备良好的工程实用价值和可迁移性，可推广至其他工业园区场景。</w:t>
      </w:r>
    </w:p>
    <w:p w14:paraId="0E547628">
      <w:pPr>
        <w:pStyle w:val="2"/>
      </w:pPr>
      <w:r>
        <w:t>算法局限性（缺点）</w:t>
      </w:r>
    </w:p>
    <w:p w14:paraId="12286CF6">
      <w:pPr>
        <w:pStyle w:val="3"/>
      </w:pPr>
      <w:r>
        <w:t>一、数据依赖与适用边界</w:t>
      </w:r>
    </w:p>
    <w:p w14:paraId="69105CC0">
      <w:pPr>
        <w:pStyle w:val="4"/>
      </w:pPr>
      <w:r>
        <w:t>1. 对数据质量的敏感性</w:t>
      </w:r>
    </w:p>
    <w:p w14:paraId="1BEBC38A">
      <w:r>
        <w:t>本算法假设输入数据完整、连续，且用电量与产量之间存在稳定的线性关系。实际应用中，部分钢铁企业可能存在数据采集不完整（缺失率&gt;1%）、数据噪声大、仪表校准偏差等问题，这会直接影响模型的优化效果。轧钢工序涉及加热、粗轧、精轧、卷取等多个环节，各环节能耗占比不同，本算法使用的数据仅包含总用电量，未区分轧钢各子工序的能耗构成。对于生产工艺差异较大的企业（如长流程与短流程、热轧与冷轧），模型参数需要重新标定，直接迁移可能导致优化效果下降。</w:t>
      </w:r>
    </w:p>
    <w:p w14:paraId="4A9E330F">
      <w:pPr>
        <w:pStyle w:val="4"/>
      </w:pPr>
      <w:r>
        <w:t>2. 静态参数假设</w:t>
      </w:r>
    </w:p>
    <w:p w14:paraId="0436ADF5">
      <w:r>
        <w:t>电耗系数α0=14.00是根据历史数据回归得到的静态值，未考虑设备老化、季节变化、原料品质波动等时变因素对能耗的影响。随着设备运行时间增加，加热炉热效率下降，实际电耗系数会发生变化。模型中的温度-能耗系数βT=0.00222和速度-能耗系数βv=0.03来源于公开文献，并非本企业实测数据，存在一定误差。</w:t>
      </w:r>
    </w:p>
    <w:p w14:paraId="045F1ACD">
      <w:pPr>
        <w:pStyle w:val="4"/>
      </w:pPr>
      <w:r>
        <w:t>3. 简化的蒸汽预测模型</w:t>
      </w:r>
    </w:p>
    <w:p w14:paraId="22F63F2E">
      <w:r>
        <w:t>蒸汽用量采用用电量乘以固定系数（0.005）的简化方法推算，未考虑生产工艺变化、环境温度、设备启停状态等因素对蒸汽需求的影响，与实际蒸汽负荷可能存在偏差。</w:t>
      </w:r>
    </w:p>
    <w:p w14:paraId="71685557">
      <w:pPr>
        <w:pStyle w:val="3"/>
      </w:pPr>
      <w:r>
        <w:t>二、算法局限性</w:t>
      </w:r>
    </w:p>
    <w:p w14:paraId="61FBCC84">
      <w:pPr>
        <w:pStyle w:val="4"/>
      </w:pPr>
      <w:r>
        <w:t>4. 线性化假设的局限</w:t>
      </w:r>
    </w:p>
    <w:p w14:paraId="7E1071AF">
      <w:r>
        <w:t>MILP模型对电耗系数采用了线性化近似（温度每降低1℃，能耗降低0.222%，速度每提高1m/s，能耗降低3%）。实际电耗系数与温度、速度的关系可能是非线性的，存在最优温度区间和边际递减效应，线性化假设在参数变化较大时会产生误差。工业设备的约束边界通常存在模糊性和不确定性，如设备最大出力随环境温度变化、爬坡率随负荷水平变化等，本模型采用固定上下限（20-80MW）和固定爬坡率（5MW/min），未考虑这些动态特性，可能过于保守或过于激进。</w:t>
      </w:r>
    </w:p>
    <w:p w14:paraId="5F09A88D">
      <w:pPr>
        <w:pStyle w:val="4"/>
      </w:pPr>
      <w:r>
        <w:t>5. 预测时域的局限</w:t>
      </w:r>
    </w:p>
    <w:p w14:paraId="03628E12">
      <w:r>
        <w:t>MPC模型预测时域60分钟，控制时域10分钟，适用于负荷变化较平稳的场景。对于突发性负荷扰动、设备跳闸等紧急工况，MPC可能无法及时响应，需要与上层安全联锁系统配合。当实际负荷与日级计划偏差过大时，MPC的线性反馈控制律可能失效，需要切换到安全运行模式。</w:t>
      </w:r>
    </w:p>
    <w:p w14:paraId="4A423A4D">
      <w:pPr>
        <w:pStyle w:val="4"/>
      </w:pPr>
      <w:r>
        <w:t>6. 分时电价的离散化</w:t>
      </w:r>
    </w:p>
    <w:p w14:paraId="44BC9401">
      <w:r>
        <w:t>分时电价仅区分峰时（1.5倍）、谷时（0.6倍）、平时（1.0倍）三个时段，实际电价可能是连续变化的（如现货市场价格波动），离散化处理会损失部分优化空间。</w:t>
      </w:r>
    </w:p>
    <w:p w14:paraId="1CAA7018">
      <w:pPr>
        <w:pStyle w:val="4"/>
      </w:pPr>
      <w:r>
        <w:t>7. 求解效率的挑战</w:t>
      </w:r>
    </w:p>
    <w:p w14:paraId="393F5C69">
      <w:r>
        <w:t>MILP模型包含72个决策变量，求解时间随问题规模指数增长。扩展到更长周期（如周级）或多机组协同（如多条轧钢线+多台锅炉）时，求解时间可能超过工程应用允许的范围（&gt;5分钟）。</w:t>
      </w:r>
    </w:p>
    <w:p w14:paraId="5A827459">
      <w:pPr>
        <w:pStyle w:val="3"/>
      </w:pPr>
      <w:r>
        <w:t>三、工程落地障碍</w:t>
      </w:r>
    </w:p>
    <w:p w14:paraId="3AD6926A">
      <w:pPr>
        <w:pStyle w:val="4"/>
      </w:pPr>
      <w:r>
        <w:t>8. 数据接口依赖</w:t>
      </w:r>
    </w:p>
    <w:p w14:paraId="6580B857">
      <w:r>
        <w:t>模型需要从生产执行系统（MES）实时获取排产订单数据，从分布式控制系统（DCS）实时获取设备运行数据。目前采用离线数据（CSV文件）进行验证，在线部署需要开发与现有系统的数据接口。</w:t>
      </w:r>
    </w:p>
    <w:p w14:paraId="016158EE">
      <w:pPr>
        <w:pStyle w:val="4"/>
      </w:pPr>
      <w:r>
        <w:t>9. 操作人员接受度</w:t>
      </w:r>
    </w:p>
    <w:p w14:paraId="0721556A">
      <w:r>
        <w:t>优化方案可能改变操作人员习惯（如谷时开机、峰时停机），需要管理层推动和组织培训。同时优化方案需要操作人员从“经验决策”转向“数据决策”，存在一定的管理阻力。</w:t>
      </w:r>
    </w:p>
    <w:p w14:paraId="784050E9">
      <w:pPr>
        <w:pStyle w:val="4"/>
      </w:pPr>
      <w:r>
        <w:t>10. 模型维护成本</w:t>
      </w:r>
    </w:p>
    <w:p w14:paraId="41155095">
      <w:r>
        <w:t>模型参数需要定期更新（每月或每季度），以反映设备状态变化和工艺改进，维护需要专人负责。出现异常工况时，人工干预机制尚未完全明确，需要建立“模型建议+人工确认”的双层决策流程。</w:t>
      </w:r>
    </w:p>
    <w:p w14:paraId="5FB62318">
      <w:pPr>
        <w:pStyle w:val="2"/>
      </w:pPr>
      <w:r>
        <w:t>应用推广</w:t>
      </w:r>
    </w:p>
    <w:p w14:paraId="0D6FC988">
      <w:pPr>
        <w:pStyle w:val="3"/>
      </w:pPr>
      <w:r>
        <w:t>一、应用场景扩展</w:t>
      </w:r>
    </w:p>
    <w:p w14:paraId="2C34D287">
      <w:pPr>
        <w:pStyle w:val="4"/>
      </w:pPr>
      <w:r>
        <w:t>1. 跨行业推广</w:t>
      </w:r>
    </w:p>
    <w:p w14:paraId="04C01F40">
      <w:r>
        <w:t>本模型不仅适用于</w:t>
      </w:r>
      <w:r>
        <w:rPr>
          <w:b/>
        </w:rPr>
        <w:t>钢铁行业</w:t>
      </w:r>
      <w:r>
        <w:t>，还可推广至其他高耗能流程工业：</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58"/>
        <w:gridCol w:w="1367"/>
        <w:gridCol w:w="1660"/>
        <w:gridCol w:w="3619"/>
      </w:tblGrid>
      <w:tr w14:paraId="2CC5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1658" w:type="dxa"/>
            <w:vAlign w:val="center"/>
          </w:tcPr>
          <w:p w14:paraId="5F0C3F0D">
            <w:pPr>
              <w:snapToGrid w:val="0"/>
              <w:ind w:left="0" w:leftChars="0" w:right="0" w:rightChars="0" w:firstLine="0" w:firstLineChars="0"/>
              <w:jc w:val="center"/>
              <w:rPr>
                <w:b/>
              </w:rPr>
            </w:pPr>
            <w:r>
              <w:rPr>
                <w:b/>
              </w:rPr>
              <w:t>行业</w:t>
            </w:r>
          </w:p>
        </w:tc>
        <w:tc>
          <w:tcPr>
            <w:tcW w:w="1367" w:type="dxa"/>
            <w:vAlign w:val="center"/>
          </w:tcPr>
          <w:p w14:paraId="6FAF2534">
            <w:pPr>
              <w:snapToGrid w:val="0"/>
              <w:ind w:left="0" w:leftChars="0" w:right="0" w:rightChars="0" w:firstLine="0" w:firstLineChars="0"/>
              <w:jc w:val="center"/>
              <w:rPr>
                <w:b/>
              </w:rPr>
            </w:pPr>
            <w:r>
              <w:rPr>
                <w:b/>
              </w:rPr>
              <w:t>适配场景</w:t>
            </w:r>
          </w:p>
        </w:tc>
        <w:tc>
          <w:tcPr>
            <w:tcW w:w="0" w:type="auto"/>
            <w:vAlign w:val="center"/>
          </w:tcPr>
          <w:p w14:paraId="49933689">
            <w:pPr>
              <w:snapToGrid w:val="0"/>
              <w:ind w:left="0" w:leftChars="0" w:right="0" w:rightChars="0" w:firstLine="0" w:firstLineChars="0"/>
              <w:jc w:val="center"/>
              <w:rPr>
                <w:b/>
              </w:rPr>
            </w:pPr>
            <w:r>
              <w:rPr>
                <w:b/>
              </w:rPr>
              <w:t>典型规模</w:t>
            </w:r>
          </w:p>
        </w:tc>
        <w:tc>
          <w:tcPr>
            <w:tcW w:w="3618" w:type="dxa"/>
            <w:vAlign w:val="center"/>
          </w:tcPr>
          <w:p w14:paraId="24728A8B">
            <w:pPr>
              <w:snapToGrid w:val="0"/>
              <w:ind w:left="0" w:leftChars="0" w:right="0" w:rightChars="0" w:firstLine="0" w:firstLineChars="0"/>
              <w:jc w:val="center"/>
              <w:rPr>
                <w:b/>
              </w:rPr>
            </w:pPr>
            <w:r>
              <w:rPr>
                <w:b/>
              </w:rPr>
              <w:t>推广价值</w:t>
            </w:r>
          </w:p>
        </w:tc>
      </w:tr>
      <w:tr w14:paraId="2E78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66E785C4">
            <w:pPr>
              <w:snapToGrid w:val="0"/>
              <w:ind w:left="0" w:leftChars="0" w:right="0" w:rightChars="0" w:firstLine="0" w:firstLineChars="0"/>
              <w:jc w:val="left"/>
            </w:pPr>
            <w:r>
              <w:t>钢铁</w:t>
            </w:r>
          </w:p>
        </w:tc>
        <w:tc>
          <w:tcPr>
            <w:tcW w:w="1367" w:type="dxa"/>
            <w:vAlign w:val="center"/>
          </w:tcPr>
          <w:p w14:paraId="13D7B3C9">
            <w:pPr>
              <w:snapToGrid w:val="0"/>
              <w:ind w:left="0" w:leftChars="0" w:right="0" w:rightChars="0" w:firstLine="0" w:firstLineChars="0"/>
              <w:jc w:val="center"/>
            </w:pPr>
            <w:r>
              <w:t>轧钢-热电厂协同</w:t>
            </w:r>
          </w:p>
        </w:tc>
        <w:tc>
          <w:tcPr>
            <w:tcW w:w="0" w:type="auto"/>
            <w:vAlign w:val="center"/>
          </w:tcPr>
          <w:p w14:paraId="0B7C8456">
            <w:pPr>
              <w:snapToGrid w:val="0"/>
              <w:ind w:left="0" w:leftChars="0" w:right="0" w:rightChars="0" w:firstLine="0" w:firstLineChars="0"/>
              <w:jc w:val="center"/>
            </w:pPr>
            <w:r>
              <w:t>年耗电10-50亿度</w:t>
            </w:r>
          </w:p>
        </w:tc>
        <w:tc>
          <w:tcPr>
            <w:tcW w:w="3618" w:type="dxa"/>
            <w:vAlign w:val="center"/>
          </w:tcPr>
          <w:p w14:paraId="160B73DB">
            <w:pPr>
              <w:snapToGrid w:val="0"/>
              <w:ind w:left="0" w:leftChars="0" w:right="0" w:rightChars="0" w:firstLine="0" w:firstLineChars="0"/>
              <w:jc w:val="left"/>
            </w:pPr>
            <w:r>
              <w:t>可直接复用，经济效益显著</w:t>
            </w:r>
          </w:p>
        </w:tc>
      </w:tr>
      <w:tr w14:paraId="2BAF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63BE4FD2">
            <w:pPr>
              <w:snapToGrid w:val="0"/>
              <w:ind w:left="0" w:leftChars="0" w:right="0" w:rightChars="0" w:firstLine="0" w:firstLineChars="0"/>
              <w:jc w:val="left"/>
            </w:pPr>
            <w:r>
              <w:t>有色</w:t>
            </w:r>
          </w:p>
        </w:tc>
        <w:tc>
          <w:tcPr>
            <w:tcW w:w="1367" w:type="dxa"/>
            <w:vAlign w:val="center"/>
          </w:tcPr>
          <w:p w14:paraId="504E9BCA">
            <w:pPr>
              <w:snapToGrid w:val="0"/>
              <w:ind w:left="0" w:leftChars="0" w:right="0" w:rightChars="0" w:firstLine="0" w:firstLineChars="0"/>
              <w:jc w:val="center"/>
            </w:pPr>
            <w:r>
              <w:t>电解铝-自备电厂</w:t>
            </w:r>
          </w:p>
        </w:tc>
        <w:tc>
          <w:tcPr>
            <w:tcW w:w="0" w:type="auto"/>
            <w:vAlign w:val="center"/>
          </w:tcPr>
          <w:p w14:paraId="543B0578">
            <w:pPr>
              <w:snapToGrid w:val="0"/>
              <w:ind w:left="0" w:leftChars="0" w:right="0" w:rightChars="0" w:firstLine="0" w:firstLineChars="0"/>
              <w:jc w:val="center"/>
            </w:pPr>
            <w:r>
              <w:t>年耗电50-100亿度</w:t>
            </w:r>
          </w:p>
        </w:tc>
        <w:tc>
          <w:tcPr>
            <w:tcW w:w="3618" w:type="dxa"/>
            <w:vAlign w:val="center"/>
          </w:tcPr>
          <w:p w14:paraId="3377E06B">
            <w:pPr>
              <w:snapToGrid w:val="0"/>
              <w:ind w:left="0" w:leftChars="0" w:right="0" w:rightChars="0" w:firstLine="0" w:firstLineChars="0"/>
              <w:jc w:val="left"/>
            </w:pPr>
            <w:r>
              <w:t>改造生产-能源接口即可使用，年降本可达5000万-1亿元</w:t>
            </w:r>
          </w:p>
        </w:tc>
      </w:tr>
      <w:tr w14:paraId="393A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70116B04">
            <w:pPr>
              <w:snapToGrid w:val="0"/>
              <w:ind w:left="0" w:leftChars="0" w:right="0" w:rightChars="0" w:firstLine="0" w:firstLineChars="0"/>
              <w:jc w:val="left"/>
            </w:pPr>
            <w:r>
              <w:t>化工</w:t>
            </w:r>
          </w:p>
        </w:tc>
        <w:tc>
          <w:tcPr>
            <w:tcW w:w="1367" w:type="dxa"/>
            <w:vAlign w:val="center"/>
          </w:tcPr>
          <w:p w14:paraId="4CD29F01">
            <w:pPr>
              <w:snapToGrid w:val="0"/>
              <w:ind w:left="0" w:leftChars="0" w:right="0" w:rightChars="0" w:firstLine="0" w:firstLineChars="0"/>
              <w:jc w:val="center"/>
            </w:pPr>
            <w:r>
              <w:t>化工装置-热电联产</w:t>
            </w:r>
          </w:p>
        </w:tc>
        <w:tc>
          <w:tcPr>
            <w:tcW w:w="0" w:type="auto"/>
            <w:vAlign w:val="center"/>
          </w:tcPr>
          <w:p w14:paraId="7E0A3351">
            <w:pPr>
              <w:snapToGrid w:val="0"/>
              <w:ind w:left="0" w:leftChars="0" w:right="0" w:rightChars="0" w:firstLine="0" w:firstLineChars="0"/>
              <w:jc w:val="center"/>
            </w:pPr>
            <w:r>
              <w:t>年耗电5-20亿度</w:t>
            </w:r>
          </w:p>
        </w:tc>
        <w:tc>
          <w:tcPr>
            <w:tcW w:w="3618" w:type="dxa"/>
            <w:vAlign w:val="center"/>
          </w:tcPr>
          <w:p w14:paraId="4A123784">
            <w:pPr>
              <w:snapToGrid w:val="0"/>
              <w:ind w:left="0" w:leftChars="0" w:right="0" w:rightChars="0" w:firstLine="0" w:firstLineChars="0"/>
              <w:jc w:val="left"/>
            </w:pPr>
            <w:r>
              <w:t>模型适配性强</w:t>
            </w:r>
          </w:p>
        </w:tc>
      </w:tr>
      <w:tr w14:paraId="78CB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0CFCDBF5">
            <w:pPr>
              <w:snapToGrid w:val="0"/>
              <w:ind w:left="0" w:leftChars="0" w:right="0" w:rightChars="0" w:firstLine="0" w:firstLineChars="0"/>
              <w:jc w:val="left"/>
            </w:pPr>
            <w:r>
              <w:t>水泥</w:t>
            </w:r>
          </w:p>
        </w:tc>
        <w:tc>
          <w:tcPr>
            <w:tcW w:w="1367" w:type="dxa"/>
            <w:vAlign w:val="center"/>
          </w:tcPr>
          <w:p w14:paraId="56AF4196">
            <w:pPr>
              <w:snapToGrid w:val="0"/>
              <w:ind w:left="0" w:leftChars="0" w:right="0" w:rightChars="0" w:firstLine="0" w:firstLineChars="0"/>
              <w:jc w:val="center"/>
            </w:pPr>
            <w:r>
              <w:t>回转窑-余热发电</w:t>
            </w:r>
          </w:p>
        </w:tc>
        <w:tc>
          <w:tcPr>
            <w:tcW w:w="0" w:type="auto"/>
            <w:vAlign w:val="center"/>
          </w:tcPr>
          <w:p w14:paraId="5A6F0369">
            <w:pPr>
              <w:snapToGrid w:val="0"/>
              <w:ind w:left="0" w:leftChars="0" w:right="0" w:rightChars="0" w:firstLine="0" w:firstLineChars="0"/>
              <w:jc w:val="center"/>
            </w:pPr>
            <w:r>
              <w:t>年耗电3-10亿度</w:t>
            </w:r>
          </w:p>
        </w:tc>
        <w:tc>
          <w:tcPr>
            <w:tcW w:w="3618" w:type="dxa"/>
            <w:vAlign w:val="center"/>
          </w:tcPr>
          <w:p w14:paraId="58F804EC">
            <w:pPr>
              <w:snapToGrid w:val="0"/>
              <w:ind w:left="0" w:leftChars="0" w:right="0" w:rightChars="0" w:firstLine="0" w:firstLineChars="0"/>
              <w:jc w:val="left"/>
            </w:pPr>
            <w:r>
              <w:t>参数重标定后可直接适用</w:t>
            </w:r>
          </w:p>
        </w:tc>
      </w:tr>
      <w:tr w14:paraId="2CB6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0B8CB744">
            <w:pPr>
              <w:snapToGrid w:val="0"/>
              <w:ind w:left="0" w:leftChars="0" w:right="0" w:rightChars="0" w:firstLine="0" w:firstLineChars="0"/>
              <w:jc w:val="left"/>
            </w:pPr>
            <w:r>
              <w:t>造纸</w:t>
            </w:r>
          </w:p>
        </w:tc>
        <w:tc>
          <w:tcPr>
            <w:tcW w:w="1367" w:type="dxa"/>
            <w:vAlign w:val="center"/>
          </w:tcPr>
          <w:p w14:paraId="33D4E516">
            <w:pPr>
              <w:snapToGrid w:val="0"/>
              <w:ind w:left="0" w:leftChars="0" w:right="0" w:rightChars="0" w:firstLine="0" w:firstLineChars="0"/>
              <w:jc w:val="center"/>
            </w:pPr>
            <w:r>
              <w:t>造纸机-生物质发电</w:t>
            </w:r>
          </w:p>
        </w:tc>
        <w:tc>
          <w:tcPr>
            <w:tcW w:w="0" w:type="auto"/>
            <w:vAlign w:val="center"/>
          </w:tcPr>
          <w:p w14:paraId="19616A58">
            <w:pPr>
              <w:snapToGrid w:val="0"/>
              <w:ind w:left="0" w:leftChars="0" w:right="0" w:rightChars="0" w:firstLine="0" w:firstLineChars="0"/>
              <w:jc w:val="center"/>
            </w:pPr>
            <w:r>
              <w:t>年耗电2-8亿度</w:t>
            </w:r>
          </w:p>
        </w:tc>
        <w:tc>
          <w:tcPr>
            <w:tcW w:w="3618" w:type="dxa"/>
            <w:vAlign w:val="center"/>
          </w:tcPr>
          <w:p w14:paraId="6C843EE7">
            <w:pPr>
              <w:snapToGrid w:val="0"/>
              <w:ind w:left="0" w:leftChars="0" w:right="0" w:rightChars="0" w:firstLine="0" w:firstLineChars="0"/>
              <w:jc w:val="left"/>
            </w:pPr>
            <w:r>
              <w:t>模型结构完全适配</w:t>
            </w:r>
          </w:p>
        </w:tc>
      </w:tr>
      <w:tr w14:paraId="1148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658" w:type="dxa"/>
            <w:vAlign w:val="center"/>
          </w:tcPr>
          <w:p w14:paraId="55F59FDC">
            <w:pPr>
              <w:snapToGrid w:val="0"/>
              <w:ind w:left="0" w:leftChars="0" w:right="0" w:rightChars="0" w:firstLine="0" w:firstLineChars="0"/>
              <w:jc w:val="left"/>
            </w:pPr>
            <w:r>
              <w:t>园区综合能源</w:t>
            </w:r>
          </w:p>
        </w:tc>
        <w:tc>
          <w:tcPr>
            <w:tcW w:w="1367" w:type="dxa"/>
            <w:vAlign w:val="center"/>
          </w:tcPr>
          <w:p w14:paraId="13ACF632">
            <w:pPr>
              <w:snapToGrid w:val="0"/>
              <w:ind w:left="0" w:leftChars="0" w:right="0" w:rightChars="0" w:firstLine="0" w:firstLineChars="0"/>
              <w:jc w:val="center"/>
            </w:pPr>
            <w:r>
              <w:t>多用户-综合能源站</w:t>
            </w:r>
          </w:p>
        </w:tc>
        <w:tc>
          <w:tcPr>
            <w:tcW w:w="1660" w:type="dxa"/>
            <w:vAlign w:val="center"/>
          </w:tcPr>
          <w:p w14:paraId="38E406BD">
            <w:pPr>
              <w:snapToGrid w:val="0"/>
              <w:ind w:left="0" w:leftChars="0" w:right="0" w:rightChars="0" w:firstLine="0" w:firstLineChars="0"/>
              <w:jc w:val="center"/>
            </w:pPr>
            <w:r>
              <w:t>年耗电10-50亿度</w:t>
            </w:r>
          </w:p>
        </w:tc>
        <w:tc>
          <w:tcPr>
            <w:tcW w:w="3618" w:type="dxa"/>
            <w:vAlign w:val="center"/>
          </w:tcPr>
          <w:p w14:paraId="0FCF76ED">
            <w:pPr>
              <w:snapToGrid w:val="0"/>
              <w:ind w:left="0" w:leftChars="0" w:right="0" w:rightChars="0" w:firstLine="0" w:firstLineChars="0"/>
              <w:jc w:val="left"/>
            </w:pPr>
            <w:r>
              <w:t>可拓展为多用户协同调度版本</w:t>
            </w:r>
          </w:p>
        </w:tc>
      </w:tr>
    </w:tbl>
    <w:p w14:paraId="2DD3514F">
      <w:pPr>
        <w:pStyle w:val="4"/>
      </w:pPr>
      <w:r>
        <w:t>2. 场景扩展</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16"/>
        <w:gridCol w:w="6588"/>
      </w:tblGrid>
      <w:tr w14:paraId="4832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0" w:type="auto"/>
            <w:vAlign w:val="center"/>
          </w:tcPr>
          <w:p w14:paraId="1F36AD28">
            <w:pPr>
              <w:snapToGrid w:val="0"/>
              <w:ind w:left="0" w:leftChars="0" w:right="0" w:rightChars="0" w:firstLine="0" w:firstLineChars="0"/>
              <w:jc w:val="center"/>
              <w:rPr>
                <w:b/>
              </w:rPr>
            </w:pPr>
            <w:r>
              <w:rPr>
                <w:b/>
              </w:rPr>
              <w:t>扩展场景</w:t>
            </w:r>
          </w:p>
        </w:tc>
        <w:tc>
          <w:tcPr>
            <w:tcW w:w="6588" w:type="dxa"/>
            <w:vAlign w:val="center"/>
          </w:tcPr>
          <w:p w14:paraId="7653F36E">
            <w:pPr>
              <w:snapToGrid w:val="0"/>
              <w:ind w:left="0" w:leftChars="0" w:right="0" w:rightChars="0" w:firstLine="0" w:firstLineChars="0"/>
              <w:jc w:val="center"/>
              <w:rPr>
                <w:b/>
              </w:rPr>
            </w:pPr>
            <w:r>
              <w:rPr>
                <w:b/>
              </w:rPr>
              <w:t>说明</w:t>
            </w:r>
          </w:p>
        </w:tc>
      </w:tr>
      <w:tr w14:paraId="06A6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2A6FA0E8">
            <w:pPr>
              <w:snapToGrid w:val="0"/>
              <w:ind w:left="0" w:leftChars="0" w:right="0" w:rightChars="0" w:firstLine="0" w:firstLineChars="0"/>
              <w:jc w:val="center"/>
            </w:pPr>
            <w:r>
              <w:t>周级/月级排产</w:t>
            </w:r>
          </w:p>
        </w:tc>
        <w:tc>
          <w:tcPr>
            <w:tcW w:w="6588" w:type="dxa"/>
            <w:vAlign w:val="center"/>
          </w:tcPr>
          <w:p w14:paraId="07659808">
            <w:pPr>
              <w:snapToGrid w:val="0"/>
              <w:ind w:left="0" w:leftChars="0" w:right="0" w:rightChars="0" w:firstLine="0" w:firstLineChars="0"/>
              <w:jc w:val="center"/>
            </w:pPr>
            <w:r>
              <w:t>日级→周级，考虑库存约束和订单交付期，优化中长期生产计划</w:t>
            </w:r>
          </w:p>
        </w:tc>
      </w:tr>
      <w:tr w14:paraId="0A9B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03B44FD9">
            <w:pPr>
              <w:snapToGrid w:val="0"/>
              <w:ind w:left="0" w:leftChars="0" w:right="0" w:rightChars="0" w:firstLine="0" w:firstLineChars="0"/>
              <w:jc w:val="center"/>
            </w:pPr>
            <w:r>
              <w:t>多能源介质协同</w:t>
            </w:r>
          </w:p>
        </w:tc>
        <w:tc>
          <w:tcPr>
            <w:tcW w:w="6588" w:type="dxa"/>
            <w:vAlign w:val="center"/>
          </w:tcPr>
          <w:p w14:paraId="6A851E83">
            <w:pPr>
              <w:snapToGrid w:val="0"/>
              <w:ind w:left="0" w:leftChars="0" w:right="0" w:rightChars="0" w:firstLine="0" w:firstLineChars="0"/>
              <w:jc w:val="center"/>
            </w:pPr>
            <w:r>
              <w:t>在电+蒸汽基础上增加压缩空气、氧气、氮气、氢气等介质，实现全能源耦合优化</w:t>
            </w:r>
          </w:p>
        </w:tc>
      </w:tr>
      <w:tr w14:paraId="1839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4271C52D">
            <w:pPr>
              <w:snapToGrid w:val="0"/>
              <w:ind w:left="0" w:leftChars="0" w:right="0" w:rightChars="0" w:firstLine="0" w:firstLineChars="0"/>
              <w:jc w:val="center"/>
            </w:pPr>
            <w:r>
              <w:t>碳足迹追踪</w:t>
            </w:r>
          </w:p>
        </w:tc>
        <w:tc>
          <w:tcPr>
            <w:tcW w:w="6588" w:type="dxa"/>
            <w:vAlign w:val="center"/>
          </w:tcPr>
          <w:p w14:paraId="2212AA66">
            <w:pPr>
              <w:snapToGrid w:val="0"/>
              <w:ind w:left="0" w:leftChars="0" w:right="0" w:rightChars="0" w:firstLine="0" w:firstLineChars="0"/>
              <w:jc w:val="center"/>
            </w:pPr>
            <w:r>
              <w:t>嵌入碳排放约束，实现能耗与碳排双目标优化，应对碳关税（CBAM）挑战</w:t>
            </w:r>
          </w:p>
        </w:tc>
      </w:tr>
      <w:tr w14:paraId="6D66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2997A836">
            <w:pPr>
              <w:snapToGrid w:val="0"/>
              <w:ind w:left="0" w:leftChars="0" w:right="0" w:rightChars="0" w:firstLine="0" w:firstLineChars="0"/>
              <w:jc w:val="center"/>
            </w:pPr>
            <w:r>
              <w:t>新能源接入</w:t>
            </w:r>
          </w:p>
        </w:tc>
        <w:tc>
          <w:tcPr>
            <w:tcW w:w="6588" w:type="dxa"/>
            <w:vAlign w:val="center"/>
          </w:tcPr>
          <w:p w14:paraId="207B6993">
            <w:pPr>
              <w:snapToGrid w:val="0"/>
              <w:ind w:left="0" w:leftChars="0" w:right="0" w:rightChars="0" w:firstLine="0" w:firstLineChars="0"/>
              <w:jc w:val="center"/>
            </w:pPr>
            <w:r>
              <w:t>增加光伏、风电预测模型，优化自发电与外购电比例，提升绿电消纳率</w:t>
            </w:r>
          </w:p>
        </w:tc>
      </w:tr>
      <w:tr w14:paraId="6199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716" w:type="dxa"/>
            <w:vAlign w:val="center"/>
          </w:tcPr>
          <w:p w14:paraId="0295B915">
            <w:pPr>
              <w:snapToGrid w:val="0"/>
              <w:ind w:left="0" w:leftChars="0" w:right="0" w:rightChars="0" w:firstLine="0" w:firstLineChars="0"/>
              <w:jc w:val="center"/>
            </w:pPr>
            <w:r>
              <w:t>多轧钢线协同</w:t>
            </w:r>
          </w:p>
        </w:tc>
        <w:tc>
          <w:tcPr>
            <w:tcW w:w="6588" w:type="dxa"/>
            <w:vAlign w:val="center"/>
          </w:tcPr>
          <w:p w14:paraId="1A0CE05D">
            <w:pPr>
              <w:snapToGrid w:val="0"/>
              <w:ind w:left="0" w:leftChars="0" w:right="0" w:rightChars="0" w:firstLine="0" w:firstLineChars="0"/>
              <w:jc w:val="center"/>
            </w:pPr>
            <w:r>
              <w:t>多条轧钢线共享热电厂，增加设备启停优化，提升设备利用率和系统柔性</w:t>
            </w:r>
          </w:p>
        </w:tc>
      </w:tr>
    </w:tbl>
    <w:p w14:paraId="56982481">
      <w:pPr>
        <w:pStyle w:val="3"/>
      </w:pPr>
      <w:r>
        <w:t>二、产品化路径</w:t>
      </w:r>
    </w:p>
    <w:p w14:paraId="44DAB390">
      <w:pPr>
        <w:pStyle w:val="4"/>
      </w:pPr>
      <w:r>
        <w:t>1. 软件产品定位</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9"/>
        <w:gridCol w:w="6715"/>
      </w:tblGrid>
      <w:tr w14:paraId="2B12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1589" w:type="dxa"/>
            <w:vAlign w:val="center"/>
          </w:tcPr>
          <w:p w14:paraId="54D64DC8">
            <w:pPr>
              <w:snapToGrid w:val="0"/>
              <w:ind w:left="0" w:leftChars="0" w:right="0" w:rightChars="0" w:firstLine="0" w:firstLineChars="0"/>
              <w:jc w:val="center"/>
              <w:rPr>
                <w:b/>
              </w:rPr>
            </w:pPr>
            <w:r>
              <w:rPr>
                <w:b/>
              </w:rPr>
              <w:t>项目</w:t>
            </w:r>
          </w:p>
        </w:tc>
        <w:tc>
          <w:tcPr>
            <w:tcW w:w="6715" w:type="dxa"/>
            <w:vAlign w:val="center"/>
          </w:tcPr>
          <w:p w14:paraId="0F48C554">
            <w:pPr>
              <w:snapToGrid w:val="0"/>
              <w:ind w:left="0" w:leftChars="0" w:right="0" w:rightChars="0" w:firstLine="0" w:firstLineChars="0"/>
              <w:jc w:val="center"/>
              <w:rPr>
                <w:b/>
              </w:rPr>
            </w:pPr>
            <w:r>
              <w:rPr>
                <w:b/>
              </w:rPr>
              <w:t>说明</w:t>
            </w:r>
          </w:p>
        </w:tc>
      </w:tr>
      <w:tr w14:paraId="48F9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589" w:type="dxa"/>
            <w:vAlign w:val="center"/>
          </w:tcPr>
          <w:p w14:paraId="735BDD7F">
            <w:pPr>
              <w:snapToGrid w:val="0"/>
              <w:ind w:left="0" w:leftChars="0" w:right="0" w:rightChars="0" w:firstLine="0" w:firstLineChars="0"/>
              <w:jc w:val="center"/>
            </w:pPr>
            <w:r>
              <w:t>产品形态</w:t>
            </w:r>
          </w:p>
        </w:tc>
        <w:tc>
          <w:tcPr>
            <w:tcW w:w="6715" w:type="dxa"/>
            <w:vAlign w:val="center"/>
          </w:tcPr>
          <w:p w14:paraId="2EA516BB">
            <w:pPr>
              <w:snapToGrid w:val="0"/>
              <w:ind w:left="0" w:leftChars="0" w:right="0" w:rightChars="0" w:firstLine="0" w:firstLineChars="0"/>
              <w:jc w:val="left"/>
            </w:pPr>
            <w:r>
              <w:t>生产-能源协同优化系统（轻量化工业APP）</w:t>
            </w:r>
          </w:p>
        </w:tc>
      </w:tr>
      <w:tr w14:paraId="288B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589" w:type="dxa"/>
            <w:vAlign w:val="center"/>
          </w:tcPr>
          <w:p w14:paraId="6B90053D">
            <w:pPr>
              <w:snapToGrid w:val="0"/>
              <w:ind w:left="0" w:leftChars="0" w:right="0" w:rightChars="0" w:firstLine="0" w:firstLineChars="0"/>
              <w:jc w:val="center"/>
            </w:pPr>
            <w:r>
              <w:t>目标用户</w:t>
            </w:r>
          </w:p>
        </w:tc>
        <w:tc>
          <w:tcPr>
            <w:tcW w:w="6715" w:type="dxa"/>
            <w:vAlign w:val="center"/>
          </w:tcPr>
          <w:p w14:paraId="5E137E24">
            <w:pPr>
              <w:snapToGrid w:val="0"/>
              <w:ind w:left="0" w:leftChars="0" w:right="0" w:rightChars="0" w:firstLine="0" w:firstLineChars="0"/>
              <w:jc w:val="left"/>
            </w:pPr>
            <w:r>
              <w:t>生产调度部门、能源管理部门</w:t>
            </w:r>
          </w:p>
        </w:tc>
      </w:tr>
      <w:tr w14:paraId="6427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589" w:type="dxa"/>
            <w:vAlign w:val="center"/>
          </w:tcPr>
          <w:p w14:paraId="39BE08E7">
            <w:pPr>
              <w:snapToGrid w:val="0"/>
              <w:ind w:left="0" w:leftChars="0" w:right="0" w:rightChars="0" w:firstLine="0" w:firstLineChars="0"/>
              <w:jc w:val="center"/>
            </w:pPr>
            <w:r>
              <w:t>部署方式</w:t>
            </w:r>
          </w:p>
        </w:tc>
        <w:tc>
          <w:tcPr>
            <w:tcW w:w="6715" w:type="dxa"/>
            <w:vAlign w:val="center"/>
          </w:tcPr>
          <w:p w14:paraId="09F789CC">
            <w:pPr>
              <w:snapToGrid w:val="0"/>
              <w:ind w:left="0" w:leftChars="0" w:right="0" w:rightChars="0" w:firstLine="0" w:firstLineChars="0"/>
              <w:jc w:val="left"/>
            </w:pPr>
            <w:r>
              <w:t>本地部署 + 云端SaaS可选</w:t>
            </w:r>
          </w:p>
        </w:tc>
      </w:tr>
      <w:tr w14:paraId="48F1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589" w:type="dxa"/>
            <w:vAlign w:val="center"/>
          </w:tcPr>
          <w:p w14:paraId="3994637F">
            <w:pPr>
              <w:snapToGrid w:val="0"/>
              <w:ind w:left="0" w:leftChars="0" w:right="0" w:rightChars="0" w:firstLine="0" w:firstLineChars="0"/>
              <w:jc w:val="center"/>
            </w:pPr>
            <w:r>
              <w:t>核心功能</w:t>
            </w:r>
          </w:p>
        </w:tc>
        <w:tc>
          <w:tcPr>
            <w:tcW w:w="6715" w:type="dxa"/>
            <w:vAlign w:val="center"/>
          </w:tcPr>
          <w:p w14:paraId="64C9311B">
            <w:pPr>
              <w:snapToGrid w:val="0"/>
              <w:ind w:left="0" w:leftChars="0" w:right="0" w:rightChars="0" w:firstLine="0" w:firstLineChars="0"/>
              <w:jc w:val="left"/>
            </w:pPr>
            <w:r>
              <w:t>排产优化 + 实时调控 + 指标监控 + 报警预警</w:t>
            </w:r>
          </w:p>
        </w:tc>
      </w:tr>
    </w:tbl>
    <w:p w14:paraId="4BB4FC81">
      <w:pPr>
        <w:pStyle w:val="4"/>
      </w:pPr>
      <w:r>
        <w:t>2. 商业模式</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71"/>
        <w:gridCol w:w="6433"/>
      </w:tblGrid>
      <w:tr w14:paraId="436C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0" w:type="auto"/>
            <w:vAlign w:val="center"/>
          </w:tcPr>
          <w:p w14:paraId="789F4D14">
            <w:pPr>
              <w:snapToGrid w:val="0"/>
              <w:ind w:left="0" w:leftChars="0" w:right="0" w:rightChars="0" w:firstLine="0" w:firstLineChars="0"/>
              <w:jc w:val="center"/>
              <w:rPr>
                <w:b/>
              </w:rPr>
            </w:pPr>
            <w:r>
              <w:rPr>
                <w:b/>
              </w:rPr>
              <w:t>模式</w:t>
            </w:r>
          </w:p>
        </w:tc>
        <w:tc>
          <w:tcPr>
            <w:tcW w:w="6433" w:type="dxa"/>
            <w:vAlign w:val="center"/>
          </w:tcPr>
          <w:p w14:paraId="3C4BCB49">
            <w:pPr>
              <w:snapToGrid w:val="0"/>
              <w:ind w:left="0" w:leftChars="0" w:right="0" w:rightChars="0" w:firstLine="0" w:firstLineChars="0"/>
              <w:jc w:val="center"/>
              <w:rPr>
                <w:b/>
              </w:rPr>
            </w:pPr>
            <w:r>
              <w:rPr>
                <w:b/>
              </w:rPr>
              <w:t>说明</w:t>
            </w:r>
          </w:p>
        </w:tc>
      </w:tr>
      <w:tr w14:paraId="365B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679ED4D0">
            <w:pPr>
              <w:snapToGrid w:val="0"/>
              <w:ind w:left="0" w:leftChars="0" w:right="0" w:rightChars="0" w:firstLine="0" w:firstLineChars="0"/>
              <w:jc w:val="left"/>
            </w:pPr>
            <w:r>
              <w:t>软件授权（SaaS）</w:t>
            </w:r>
          </w:p>
        </w:tc>
        <w:tc>
          <w:tcPr>
            <w:tcW w:w="6433" w:type="dxa"/>
            <w:vAlign w:val="center"/>
          </w:tcPr>
          <w:p w14:paraId="29A10F66">
            <w:pPr>
              <w:snapToGrid w:val="0"/>
              <w:ind w:left="0" w:leftChars="0" w:right="0" w:rightChars="0" w:firstLine="0" w:firstLineChars="0"/>
              <w:jc w:val="left"/>
            </w:pPr>
            <w:r>
              <w:t>按年收取订阅费，包含模型更新和技术支持，降低用户一次性投入成本</w:t>
            </w:r>
          </w:p>
        </w:tc>
      </w:tr>
      <w:tr w14:paraId="4EF9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610B82B3">
            <w:pPr>
              <w:snapToGrid w:val="0"/>
              <w:ind w:left="0" w:leftChars="0" w:right="0" w:rightChars="0" w:firstLine="0" w:firstLineChars="0"/>
              <w:jc w:val="left"/>
            </w:pPr>
            <w:r>
              <w:t>项目定制</w:t>
            </w:r>
          </w:p>
        </w:tc>
        <w:tc>
          <w:tcPr>
            <w:tcW w:w="6433" w:type="dxa"/>
            <w:vAlign w:val="center"/>
          </w:tcPr>
          <w:p w14:paraId="1553C543">
            <w:pPr>
              <w:snapToGrid w:val="0"/>
              <w:ind w:left="0" w:leftChars="0" w:right="0" w:rightChars="0" w:firstLine="0" w:firstLineChars="0"/>
              <w:jc w:val="left"/>
            </w:pPr>
            <w:r>
              <w:t>针对不同工厂场景定制模型参数和接口开发，满足差异化需求</w:t>
            </w:r>
          </w:p>
        </w:tc>
      </w:tr>
      <w:tr w14:paraId="12DA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1231A045">
            <w:pPr>
              <w:snapToGrid w:val="0"/>
              <w:ind w:left="0" w:leftChars="0" w:right="0" w:rightChars="0" w:firstLine="0" w:firstLineChars="0"/>
              <w:jc w:val="left"/>
            </w:pPr>
            <w:r>
              <w:t>咨询服务</w:t>
            </w:r>
          </w:p>
        </w:tc>
        <w:tc>
          <w:tcPr>
            <w:tcW w:w="6433" w:type="dxa"/>
            <w:vAlign w:val="center"/>
          </w:tcPr>
          <w:p w14:paraId="36F671C9">
            <w:pPr>
              <w:snapToGrid w:val="0"/>
              <w:ind w:left="0" w:leftChars="0" w:right="0" w:rightChars="0" w:firstLine="0" w:firstLineChars="0"/>
              <w:jc w:val="left"/>
            </w:pPr>
            <w:r>
              <w:t>提供能耗诊断、优化潜力评估、人员培训等增值服务</w:t>
            </w:r>
          </w:p>
        </w:tc>
      </w:tr>
      <w:tr w14:paraId="4AE4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871" w:type="dxa"/>
            <w:vAlign w:val="center"/>
          </w:tcPr>
          <w:p w14:paraId="2154BE7C">
            <w:pPr>
              <w:snapToGrid w:val="0"/>
              <w:ind w:left="0" w:leftChars="0" w:right="0" w:rightChars="0" w:firstLine="0" w:firstLineChars="0"/>
              <w:jc w:val="left"/>
            </w:pPr>
            <w:r>
              <w:t>长期维护</w:t>
            </w:r>
          </w:p>
        </w:tc>
        <w:tc>
          <w:tcPr>
            <w:tcW w:w="6433" w:type="dxa"/>
            <w:vAlign w:val="center"/>
          </w:tcPr>
          <w:p w14:paraId="30056D89">
            <w:pPr>
              <w:snapToGrid w:val="0"/>
              <w:ind w:left="0" w:leftChars="0" w:right="0" w:rightChars="0" w:firstLine="0" w:firstLineChars="0"/>
              <w:jc w:val="left"/>
            </w:pPr>
            <w:r>
              <w:t>模型参数定期更新、系统运维、功能迭代升级</w:t>
            </w:r>
          </w:p>
        </w:tc>
      </w:tr>
    </w:tbl>
    <w:p w14:paraId="5397F78A">
      <w:pPr>
        <w:pStyle w:val="4"/>
      </w:pPr>
      <w:r>
        <w:t>3. 知识产权</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8"/>
        <w:gridCol w:w="6806"/>
      </w:tblGrid>
      <w:tr w14:paraId="52DC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trPr>
        <w:tc>
          <w:tcPr>
            <w:tcW w:w="1498" w:type="dxa"/>
            <w:vAlign w:val="center"/>
          </w:tcPr>
          <w:p w14:paraId="0333ABD9">
            <w:pPr>
              <w:snapToGrid w:val="0"/>
              <w:ind w:left="0" w:leftChars="0" w:right="0" w:rightChars="0" w:firstLine="0" w:firstLineChars="0"/>
              <w:jc w:val="center"/>
              <w:rPr>
                <w:b/>
              </w:rPr>
            </w:pPr>
            <w:r>
              <w:rPr>
                <w:b/>
              </w:rPr>
              <w:t>类型</w:t>
            </w:r>
          </w:p>
        </w:tc>
        <w:tc>
          <w:tcPr>
            <w:tcW w:w="6806" w:type="dxa"/>
            <w:vAlign w:val="center"/>
          </w:tcPr>
          <w:p w14:paraId="6CA60D6E">
            <w:pPr>
              <w:snapToGrid w:val="0"/>
              <w:ind w:left="0" w:leftChars="0" w:right="0" w:rightChars="0" w:firstLine="0" w:firstLineChars="0"/>
              <w:jc w:val="center"/>
              <w:rPr>
                <w:b/>
              </w:rPr>
            </w:pPr>
            <w:r>
              <w:rPr>
                <w:b/>
              </w:rPr>
              <w:t>说明</w:t>
            </w:r>
          </w:p>
        </w:tc>
      </w:tr>
      <w:tr w14:paraId="2006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8" w:type="dxa"/>
            <w:vAlign w:val="center"/>
          </w:tcPr>
          <w:p w14:paraId="7B256262">
            <w:pPr>
              <w:snapToGrid w:val="0"/>
              <w:ind w:left="0" w:leftChars="0" w:right="0" w:rightChars="0" w:firstLine="0" w:firstLineChars="0"/>
              <w:jc w:val="center"/>
            </w:pPr>
            <w:r>
              <w:t>算法核心</w:t>
            </w:r>
          </w:p>
        </w:tc>
        <w:tc>
          <w:tcPr>
            <w:tcW w:w="6806" w:type="dxa"/>
            <w:vAlign w:val="center"/>
          </w:tcPr>
          <w:p w14:paraId="215BCDA0">
            <w:pPr>
              <w:snapToGrid w:val="0"/>
              <w:ind w:left="0" w:leftChars="0" w:right="0" w:rightChars="0" w:firstLine="0" w:firstLineChars="0"/>
              <w:jc w:val="left"/>
            </w:pPr>
            <w:r>
              <w:t>MILP+MPC双时间尺度协同优化算法</w:t>
            </w:r>
          </w:p>
        </w:tc>
      </w:tr>
      <w:tr w14:paraId="708F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8" w:type="dxa"/>
            <w:vAlign w:val="center"/>
          </w:tcPr>
          <w:p w14:paraId="6D97E3BB">
            <w:pPr>
              <w:snapToGrid w:val="0"/>
              <w:ind w:left="0" w:leftChars="0" w:right="0" w:rightChars="0" w:firstLine="0" w:firstLineChars="0"/>
              <w:jc w:val="center"/>
            </w:pPr>
            <w:r>
              <w:t>软件著作权</w:t>
            </w:r>
          </w:p>
        </w:tc>
        <w:tc>
          <w:tcPr>
            <w:tcW w:w="6806" w:type="dxa"/>
            <w:vAlign w:val="center"/>
          </w:tcPr>
          <w:p w14:paraId="47FD3244">
            <w:pPr>
              <w:snapToGrid w:val="0"/>
              <w:ind w:left="0" w:leftChars="0" w:right="0" w:rightChars="0" w:firstLine="0" w:firstLineChars="0"/>
              <w:jc w:val="left"/>
            </w:pPr>
            <w:r>
              <w:t>生产-能源协同优化系统V1.0</w:t>
            </w:r>
          </w:p>
        </w:tc>
      </w:tr>
      <w:tr w14:paraId="7E0C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8" w:type="dxa"/>
            <w:vAlign w:val="center"/>
          </w:tcPr>
          <w:p w14:paraId="2BADBC86">
            <w:pPr>
              <w:snapToGrid w:val="0"/>
              <w:ind w:left="0" w:leftChars="0" w:right="0" w:rightChars="0" w:firstLine="0" w:firstLineChars="0"/>
              <w:jc w:val="center"/>
            </w:pPr>
            <w:r>
              <w:t>技术壁垒</w:t>
            </w:r>
          </w:p>
        </w:tc>
        <w:tc>
          <w:tcPr>
            <w:tcW w:w="6806" w:type="dxa"/>
            <w:vAlign w:val="center"/>
          </w:tcPr>
          <w:p w14:paraId="04B6A695">
            <w:pPr>
              <w:snapToGrid w:val="0"/>
              <w:ind w:left="0" w:leftChars="0" w:right="0" w:rightChars="0" w:firstLine="0" w:firstLineChars="0"/>
              <w:jc w:val="left"/>
            </w:pPr>
            <w:r>
              <w:t>工艺参数与排产联合优化建模方法、文献驱动的模型参数化策略</w:t>
            </w:r>
          </w:p>
        </w:tc>
      </w:tr>
    </w:tbl>
    <w:p w14:paraId="5ADEEB46">
      <w:pPr>
        <w:pStyle w:val="3"/>
      </w:pPr>
      <w:r>
        <w:t>三、部署与推广策略</w:t>
      </w:r>
    </w:p>
    <w:p w14:paraId="2473E959">
      <w:pPr>
        <w:pStyle w:val="4"/>
      </w:pPr>
      <w:r>
        <w:t>1. 实施路线</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0"/>
        <w:gridCol w:w="5835"/>
        <w:gridCol w:w="979"/>
      </w:tblGrid>
      <w:tr w14:paraId="6AD0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1490" w:type="dxa"/>
            <w:vAlign w:val="center"/>
          </w:tcPr>
          <w:p w14:paraId="53DC54C9">
            <w:pPr>
              <w:snapToGrid w:val="0"/>
              <w:ind w:left="0" w:leftChars="0" w:right="0" w:rightChars="0" w:firstLine="0" w:firstLineChars="0"/>
              <w:jc w:val="center"/>
              <w:rPr>
                <w:b/>
              </w:rPr>
            </w:pPr>
            <w:r>
              <w:rPr>
                <w:b/>
              </w:rPr>
              <w:t>阶段</w:t>
            </w:r>
          </w:p>
        </w:tc>
        <w:tc>
          <w:tcPr>
            <w:tcW w:w="5836" w:type="dxa"/>
            <w:vAlign w:val="center"/>
          </w:tcPr>
          <w:p w14:paraId="2A9709B8">
            <w:pPr>
              <w:snapToGrid w:val="0"/>
              <w:ind w:left="0" w:leftChars="0" w:right="0" w:rightChars="0" w:firstLine="0" w:firstLineChars="0"/>
              <w:jc w:val="center"/>
              <w:rPr>
                <w:b/>
              </w:rPr>
            </w:pPr>
            <w:r>
              <w:rPr>
                <w:b/>
              </w:rPr>
              <w:t>内容</w:t>
            </w:r>
          </w:p>
        </w:tc>
        <w:tc>
          <w:tcPr>
            <w:tcW w:w="979" w:type="dxa"/>
            <w:vAlign w:val="center"/>
          </w:tcPr>
          <w:p w14:paraId="4C550FC9">
            <w:pPr>
              <w:snapToGrid w:val="0"/>
              <w:ind w:left="0" w:leftChars="0" w:right="0" w:rightChars="0" w:firstLine="0" w:firstLineChars="0"/>
              <w:jc w:val="center"/>
              <w:rPr>
                <w:b/>
              </w:rPr>
            </w:pPr>
            <w:r>
              <w:rPr>
                <w:b/>
              </w:rPr>
              <w:t>周期</w:t>
            </w:r>
          </w:p>
        </w:tc>
      </w:tr>
      <w:tr w14:paraId="0307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0" w:type="dxa"/>
            <w:vAlign w:val="center"/>
          </w:tcPr>
          <w:p w14:paraId="0C5D7E56">
            <w:pPr>
              <w:snapToGrid w:val="0"/>
              <w:ind w:left="0" w:leftChars="0" w:right="0" w:rightChars="0" w:firstLine="0" w:firstLineChars="0"/>
              <w:jc w:val="center"/>
            </w:pPr>
            <w:r>
              <w:t>数据接入</w:t>
            </w:r>
          </w:p>
        </w:tc>
        <w:tc>
          <w:tcPr>
            <w:tcW w:w="5836" w:type="dxa"/>
            <w:vAlign w:val="center"/>
          </w:tcPr>
          <w:p w14:paraId="4454DE21">
            <w:pPr>
              <w:snapToGrid w:val="0"/>
              <w:ind w:left="0" w:leftChars="0" w:right="0" w:rightChars="0" w:firstLine="0" w:firstLineChars="0"/>
              <w:jc w:val="left"/>
            </w:pPr>
            <w:r>
              <w:t>打通MES、DCS、ERP系统数据接口，完成数据清洗与验证</w:t>
            </w:r>
          </w:p>
        </w:tc>
        <w:tc>
          <w:tcPr>
            <w:tcW w:w="979" w:type="dxa"/>
            <w:vAlign w:val="center"/>
          </w:tcPr>
          <w:p w14:paraId="02178649">
            <w:pPr>
              <w:snapToGrid w:val="0"/>
              <w:ind w:left="0" w:leftChars="0" w:right="0" w:rightChars="0" w:firstLine="0" w:firstLineChars="0"/>
              <w:jc w:val="left"/>
            </w:pPr>
            <w:r>
              <w:t>1-2周</w:t>
            </w:r>
          </w:p>
        </w:tc>
      </w:tr>
      <w:tr w14:paraId="20D6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0" w:type="dxa"/>
            <w:vAlign w:val="center"/>
          </w:tcPr>
          <w:p w14:paraId="2B5449C9">
            <w:pPr>
              <w:snapToGrid w:val="0"/>
              <w:ind w:left="0" w:leftChars="0" w:right="0" w:rightChars="0" w:firstLine="0" w:firstLineChars="0"/>
              <w:jc w:val="center"/>
            </w:pPr>
            <w:r>
              <w:t>模型部署</w:t>
            </w:r>
          </w:p>
        </w:tc>
        <w:tc>
          <w:tcPr>
            <w:tcW w:w="5836" w:type="dxa"/>
            <w:vAlign w:val="center"/>
          </w:tcPr>
          <w:p w14:paraId="5E1B8B0C">
            <w:pPr>
              <w:snapToGrid w:val="0"/>
              <w:ind w:left="0" w:leftChars="0" w:right="0" w:rightChars="0" w:firstLine="0" w:firstLineChars="0"/>
              <w:jc w:val="left"/>
            </w:pPr>
            <w:r>
              <w:t>服务器部署、参数初始化、接口联调</w:t>
            </w:r>
          </w:p>
        </w:tc>
        <w:tc>
          <w:tcPr>
            <w:tcW w:w="979" w:type="dxa"/>
            <w:vAlign w:val="center"/>
          </w:tcPr>
          <w:p w14:paraId="41F5B9C9">
            <w:pPr>
              <w:snapToGrid w:val="0"/>
              <w:ind w:left="0" w:leftChars="0" w:right="0" w:rightChars="0" w:firstLine="0" w:firstLineChars="0"/>
              <w:jc w:val="left"/>
            </w:pPr>
            <w:r>
              <w:t>1周</w:t>
            </w:r>
          </w:p>
        </w:tc>
      </w:tr>
      <w:tr w14:paraId="5EC7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0" w:type="dxa"/>
            <w:vAlign w:val="center"/>
          </w:tcPr>
          <w:p w14:paraId="750F1C33">
            <w:pPr>
              <w:snapToGrid w:val="0"/>
              <w:ind w:left="0" w:leftChars="0" w:right="0" w:rightChars="0" w:firstLine="0" w:firstLineChars="0"/>
              <w:jc w:val="center"/>
            </w:pPr>
            <w:r>
              <w:t>并行试运行</w:t>
            </w:r>
          </w:p>
        </w:tc>
        <w:tc>
          <w:tcPr>
            <w:tcW w:w="5836" w:type="dxa"/>
            <w:vAlign w:val="center"/>
          </w:tcPr>
          <w:p w14:paraId="01CE884E">
            <w:pPr>
              <w:snapToGrid w:val="0"/>
              <w:ind w:left="0" w:leftChars="0" w:right="0" w:rightChars="0" w:firstLine="0" w:firstLineChars="0"/>
              <w:jc w:val="left"/>
            </w:pPr>
            <w:r>
              <w:t>优化方案与人工方案并行运行，对比验证效果</w:t>
            </w:r>
          </w:p>
        </w:tc>
        <w:tc>
          <w:tcPr>
            <w:tcW w:w="979" w:type="dxa"/>
            <w:vAlign w:val="center"/>
          </w:tcPr>
          <w:p w14:paraId="35341F93">
            <w:pPr>
              <w:snapToGrid w:val="0"/>
              <w:ind w:left="0" w:leftChars="0" w:right="0" w:rightChars="0" w:firstLine="0" w:firstLineChars="0"/>
              <w:jc w:val="left"/>
            </w:pPr>
            <w:r>
              <w:t>2-4周</w:t>
            </w:r>
          </w:p>
        </w:tc>
      </w:tr>
      <w:tr w14:paraId="1120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490" w:type="dxa"/>
            <w:vAlign w:val="center"/>
          </w:tcPr>
          <w:p w14:paraId="71D14C76">
            <w:pPr>
              <w:snapToGrid w:val="0"/>
              <w:ind w:left="0" w:leftChars="0" w:right="0" w:rightChars="0" w:firstLine="0" w:firstLineChars="0"/>
              <w:jc w:val="center"/>
            </w:pPr>
            <w:r>
              <w:t>正式上线</w:t>
            </w:r>
          </w:p>
        </w:tc>
        <w:tc>
          <w:tcPr>
            <w:tcW w:w="5836" w:type="dxa"/>
            <w:vAlign w:val="center"/>
          </w:tcPr>
          <w:p w14:paraId="1AEA2743">
            <w:pPr>
              <w:snapToGrid w:val="0"/>
              <w:ind w:left="0" w:leftChars="0" w:right="0" w:rightChars="0" w:firstLine="0" w:firstLineChars="0"/>
              <w:jc w:val="left"/>
            </w:pPr>
            <w:r>
              <w:t>切换至优化方案，建立日常运行维护流程</w:t>
            </w:r>
          </w:p>
        </w:tc>
        <w:tc>
          <w:tcPr>
            <w:tcW w:w="979" w:type="dxa"/>
            <w:vAlign w:val="center"/>
          </w:tcPr>
          <w:p w14:paraId="307FCE81">
            <w:pPr>
              <w:snapToGrid w:val="0"/>
              <w:ind w:left="0" w:leftChars="0" w:right="0" w:rightChars="0" w:firstLine="0" w:firstLineChars="0"/>
              <w:jc w:val="left"/>
            </w:pPr>
            <w:r>
              <w:t>1周</w:t>
            </w:r>
          </w:p>
        </w:tc>
      </w:tr>
    </w:tbl>
    <w:p w14:paraId="4E732D9B">
      <w:pPr>
        <w:pStyle w:val="4"/>
      </w:pPr>
      <w:r>
        <w:t>2. 预期效益</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95"/>
        <w:gridCol w:w="2469"/>
        <w:gridCol w:w="2440"/>
      </w:tblGrid>
      <w:tr w14:paraId="7CCF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3396" w:type="dxa"/>
            <w:vAlign w:val="center"/>
          </w:tcPr>
          <w:p w14:paraId="3DC94053">
            <w:pPr>
              <w:snapToGrid w:val="0"/>
              <w:ind w:left="0" w:leftChars="0" w:right="0" w:rightChars="0" w:firstLine="0" w:firstLineChars="0"/>
              <w:jc w:val="center"/>
              <w:rPr>
                <w:b/>
              </w:rPr>
            </w:pPr>
            <w:r>
              <w:rPr>
                <w:b/>
              </w:rPr>
              <w:t>效益指标</w:t>
            </w:r>
          </w:p>
        </w:tc>
        <w:tc>
          <w:tcPr>
            <w:tcW w:w="2469" w:type="dxa"/>
            <w:vAlign w:val="center"/>
          </w:tcPr>
          <w:p w14:paraId="3940FB9A">
            <w:pPr>
              <w:snapToGrid w:val="0"/>
              <w:ind w:left="0" w:leftChars="0" w:right="0" w:rightChars="0" w:firstLine="0" w:firstLineChars="0"/>
              <w:jc w:val="center"/>
              <w:rPr>
                <w:b/>
              </w:rPr>
            </w:pPr>
            <w:r>
              <w:rPr>
                <w:b/>
              </w:rPr>
              <w:t>保守估计</w:t>
            </w:r>
          </w:p>
        </w:tc>
        <w:tc>
          <w:tcPr>
            <w:tcW w:w="2440" w:type="dxa"/>
            <w:vAlign w:val="center"/>
          </w:tcPr>
          <w:p w14:paraId="6D7CB621">
            <w:pPr>
              <w:snapToGrid w:val="0"/>
              <w:ind w:left="0" w:leftChars="0" w:right="0" w:rightChars="0" w:firstLine="0" w:firstLineChars="0"/>
              <w:jc w:val="center"/>
              <w:rPr>
                <w:b/>
              </w:rPr>
            </w:pPr>
            <w:r>
              <w:rPr>
                <w:b/>
              </w:rPr>
              <w:t>乐观估计</w:t>
            </w:r>
          </w:p>
        </w:tc>
      </w:tr>
      <w:tr w14:paraId="57B4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3396" w:type="dxa"/>
            <w:vAlign w:val="center"/>
          </w:tcPr>
          <w:p w14:paraId="57DFCEE3">
            <w:pPr>
              <w:snapToGrid w:val="0"/>
              <w:ind w:left="0" w:leftChars="0" w:right="0" w:rightChars="0" w:firstLine="0" w:firstLineChars="0"/>
              <w:jc w:val="center"/>
            </w:pPr>
            <w:r>
              <w:t>轧钢能耗降低</w:t>
            </w:r>
          </w:p>
        </w:tc>
        <w:tc>
          <w:tcPr>
            <w:tcW w:w="2469" w:type="dxa"/>
            <w:vAlign w:val="center"/>
          </w:tcPr>
          <w:p w14:paraId="6355E455">
            <w:pPr>
              <w:snapToGrid w:val="0"/>
              <w:ind w:left="0" w:leftChars="0" w:right="0" w:rightChars="0" w:firstLine="0" w:firstLineChars="0"/>
              <w:jc w:val="right"/>
            </w:pPr>
            <w:r>
              <w:t>3-5%</w:t>
            </w:r>
          </w:p>
        </w:tc>
        <w:tc>
          <w:tcPr>
            <w:tcW w:w="2440" w:type="dxa"/>
            <w:vAlign w:val="center"/>
          </w:tcPr>
          <w:p w14:paraId="24BC3FB4">
            <w:pPr>
              <w:snapToGrid w:val="0"/>
              <w:ind w:left="0" w:leftChars="0" w:right="0" w:rightChars="0" w:firstLine="0" w:firstLineChars="0"/>
              <w:jc w:val="right"/>
            </w:pPr>
            <w:r>
              <w:t>5-8%</w:t>
            </w:r>
          </w:p>
        </w:tc>
      </w:tr>
      <w:tr w14:paraId="7254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3396" w:type="dxa"/>
            <w:vAlign w:val="center"/>
          </w:tcPr>
          <w:p w14:paraId="6F8E13B4">
            <w:pPr>
              <w:snapToGrid w:val="0"/>
              <w:ind w:left="0" w:leftChars="0" w:right="0" w:rightChars="0" w:firstLine="0" w:firstLineChars="0"/>
              <w:jc w:val="center"/>
            </w:pPr>
            <w:r>
              <w:t>能源成本降低</w:t>
            </w:r>
          </w:p>
        </w:tc>
        <w:tc>
          <w:tcPr>
            <w:tcW w:w="2469" w:type="dxa"/>
            <w:vAlign w:val="center"/>
          </w:tcPr>
          <w:p w14:paraId="40E3C1F6">
            <w:pPr>
              <w:snapToGrid w:val="0"/>
              <w:ind w:left="0" w:leftChars="0" w:right="0" w:rightChars="0" w:firstLine="0" w:firstLineChars="0"/>
              <w:jc w:val="right"/>
            </w:pPr>
            <w:r>
              <w:t>10-20%</w:t>
            </w:r>
          </w:p>
        </w:tc>
        <w:tc>
          <w:tcPr>
            <w:tcW w:w="2440" w:type="dxa"/>
            <w:vAlign w:val="center"/>
          </w:tcPr>
          <w:p w14:paraId="2EA64B35">
            <w:pPr>
              <w:snapToGrid w:val="0"/>
              <w:ind w:left="0" w:leftChars="0" w:right="0" w:rightChars="0" w:firstLine="0" w:firstLineChars="0"/>
              <w:jc w:val="right"/>
            </w:pPr>
            <w:r>
              <w:t>20-30%</w:t>
            </w:r>
          </w:p>
        </w:tc>
      </w:tr>
      <w:tr w14:paraId="3196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3396" w:type="dxa"/>
            <w:vAlign w:val="center"/>
          </w:tcPr>
          <w:p w14:paraId="5535A6DF">
            <w:pPr>
              <w:snapToGrid w:val="0"/>
              <w:ind w:left="0" w:leftChars="0" w:right="0" w:rightChars="0" w:firstLine="0" w:firstLineChars="0"/>
              <w:jc w:val="center"/>
            </w:pPr>
            <w:r>
              <w:t>投资回收期</w:t>
            </w:r>
          </w:p>
        </w:tc>
        <w:tc>
          <w:tcPr>
            <w:tcW w:w="2469" w:type="dxa"/>
            <w:vAlign w:val="center"/>
          </w:tcPr>
          <w:p w14:paraId="4ED2C43F">
            <w:pPr>
              <w:snapToGrid w:val="0"/>
              <w:ind w:left="0" w:leftChars="0" w:right="0" w:rightChars="0" w:firstLine="0" w:firstLineChars="0"/>
              <w:jc w:val="right"/>
            </w:pPr>
            <w:r>
              <w:t>6-12个月</w:t>
            </w:r>
          </w:p>
        </w:tc>
        <w:tc>
          <w:tcPr>
            <w:tcW w:w="2440" w:type="dxa"/>
            <w:vAlign w:val="center"/>
          </w:tcPr>
          <w:p w14:paraId="173597B7">
            <w:pPr>
              <w:snapToGrid w:val="0"/>
              <w:ind w:left="0" w:leftChars="0" w:right="0" w:rightChars="0" w:firstLine="0" w:firstLineChars="0"/>
              <w:jc w:val="right"/>
            </w:pPr>
            <w:r>
              <w:t>3-6个月</w:t>
            </w:r>
          </w:p>
        </w:tc>
      </w:tr>
    </w:tbl>
    <w:p w14:paraId="776F2C05">
      <w:pPr>
        <w:pStyle w:val="4"/>
      </w:pPr>
      <w:r>
        <w:t>3. 行业推广前景</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0"/>
        <w:gridCol w:w="1608"/>
        <w:gridCol w:w="4296"/>
      </w:tblGrid>
      <w:tr w14:paraId="2A13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2400" w:type="dxa"/>
            <w:vAlign w:val="center"/>
          </w:tcPr>
          <w:p w14:paraId="2B406DCF">
            <w:pPr>
              <w:snapToGrid w:val="0"/>
              <w:ind w:left="0" w:leftChars="0" w:right="0" w:rightChars="0" w:firstLine="0" w:firstLineChars="0"/>
              <w:jc w:val="center"/>
              <w:rPr>
                <w:b/>
              </w:rPr>
            </w:pPr>
            <w:r>
              <w:rPr>
                <w:b/>
              </w:rPr>
              <w:t>推广对象</w:t>
            </w:r>
          </w:p>
        </w:tc>
        <w:tc>
          <w:tcPr>
            <w:tcW w:w="1608" w:type="dxa"/>
            <w:vAlign w:val="center"/>
          </w:tcPr>
          <w:p w14:paraId="51FEDB89">
            <w:pPr>
              <w:snapToGrid w:val="0"/>
              <w:ind w:left="0" w:leftChars="0" w:right="0" w:rightChars="0" w:firstLine="0" w:firstLineChars="0"/>
              <w:jc w:val="center"/>
              <w:rPr>
                <w:b/>
              </w:rPr>
            </w:pPr>
            <w:r>
              <w:rPr>
                <w:b/>
              </w:rPr>
              <w:t>优先级</w:t>
            </w:r>
          </w:p>
        </w:tc>
        <w:tc>
          <w:tcPr>
            <w:tcW w:w="4296" w:type="dxa"/>
            <w:vAlign w:val="center"/>
          </w:tcPr>
          <w:p w14:paraId="33A2C163">
            <w:pPr>
              <w:snapToGrid w:val="0"/>
              <w:ind w:left="0" w:leftChars="0" w:right="0" w:rightChars="0" w:firstLine="0" w:firstLineChars="0"/>
              <w:jc w:val="center"/>
              <w:rPr>
                <w:b/>
              </w:rPr>
            </w:pPr>
            <w:r>
              <w:rPr>
                <w:b/>
              </w:rPr>
              <w:t>说明</w:t>
            </w:r>
          </w:p>
        </w:tc>
      </w:tr>
      <w:tr w14:paraId="6323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2400" w:type="dxa"/>
            <w:vAlign w:val="center"/>
          </w:tcPr>
          <w:p w14:paraId="784F96D3">
            <w:pPr>
              <w:snapToGrid w:val="0"/>
              <w:ind w:left="0" w:leftChars="0" w:right="0" w:rightChars="0" w:firstLine="0" w:firstLineChars="0"/>
              <w:jc w:val="center"/>
            </w:pPr>
            <w:r>
              <w:t>长流程钢铁企业</w:t>
            </w:r>
          </w:p>
        </w:tc>
        <w:tc>
          <w:tcPr>
            <w:tcW w:w="1608" w:type="dxa"/>
            <w:vAlign w:val="center"/>
          </w:tcPr>
          <w:p w14:paraId="7E8BF81E">
            <w:pPr>
              <w:snapToGrid w:val="0"/>
              <w:ind w:left="0" w:leftChars="0" w:right="0" w:rightChars="0" w:firstLine="0" w:firstLineChars="0"/>
              <w:jc w:val="center"/>
            </w:pPr>
            <w:r>
              <w:t>★★★★★</w:t>
            </w:r>
          </w:p>
        </w:tc>
        <w:tc>
          <w:tcPr>
            <w:tcW w:w="4296" w:type="dxa"/>
            <w:vAlign w:val="center"/>
          </w:tcPr>
          <w:p w14:paraId="3D000137">
            <w:pPr>
              <w:snapToGrid w:val="0"/>
              <w:ind w:left="0" w:leftChars="0" w:right="0" w:rightChars="0" w:firstLine="0" w:firstLineChars="0"/>
              <w:jc w:val="left"/>
            </w:pPr>
            <w:r>
              <w:t>生产-能源耦合紧密，优化空间最大</w:t>
            </w:r>
          </w:p>
        </w:tc>
      </w:tr>
      <w:tr w14:paraId="64B0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2400" w:type="dxa"/>
            <w:vAlign w:val="center"/>
          </w:tcPr>
          <w:p w14:paraId="66F7F37A">
            <w:pPr>
              <w:snapToGrid w:val="0"/>
              <w:ind w:left="0" w:leftChars="0" w:right="0" w:rightChars="0" w:firstLine="0" w:firstLineChars="0"/>
              <w:jc w:val="center"/>
            </w:pPr>
            <w:r>
              <w:t>短流程电炉钢厂</w:t>
            </w:r>
          </w:p>
        </w:tc>
        <w:tc>
          <w:tcPr>
            <w:tcW w:w="1608" w:type="dxa"/>
            <w:vAlign w:val="center"/>
          </w:tcPr>
          <w:p w14:paraId="36F2065B">
            <w:pPr>
              <w:snapToGrid w:val="0"/>
              <w:ind w:left="0" w:leftChars="0" w:right="0" w:rightChars="0" w:firstLine="0" w:firstLineChars="0"/>
              <w:jc w:val="center"/>
            </w:pPr>
            <w:r>
              <w:t>★★★★☆</w:t>
            </w:r>
          </w:p>
        </w:tc>
        <w:tc>
          <w:tcPr>
            <w:tcW w:w="4296" w:type="dxa"/>
            <w:vAlign w:val="center"/>
          </w:tcPr>
          <w:p w14:paraId="3D276F29">
            <w:pPr>
              <w:snapToGrid w:val="0"/>
              <w:ind w:left="0" w:leftChars="0" w:right="0" w:rightChars="0" w:firstLine="0" w:firstLineChars="0"/>
              <w:jc w:val="left"/>
            </w:pPr>
            <w:r>
              <w:t>用电成本占比高，对分时电价敏感</w:t>
            </w:r>
          </w:p>
        </w:tc>
      </w:tr>
      <w:tr w14:paraId="4DA4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2400" w:type="dxa"/>
            <w:vAlign w:val="center"/>
          </w:tcPr>
          <w:p w14:paraId="38E98691">
            <w:pPr>
              <w:snapToGrid w:val="0"/>
              <w:ind w:left="0" w:leftChars="0" w:right="0" w:rightChars="0" w:firstLine="0" w:firstLineChars="0"/>
              <w:jc w:val="center"/>
            </w:pPr>
            <w:r>
              <w:t>工业园区综合能源</w:t>
            </w:r>
          </w:p>
        </w:tc>
        <w:tc>
          <w:tcPr>
            <w:tcW w:w="1608" w:type="dxa"/>
            <w:vAlign w:val="center"/>
          </w:tcPr>
          <w:p w14:paraId="570CAEE6">
            <w:pPr>
              <w:snapToGrid w:val="0"/>
              <w:ind w:left="0" w:leftChars="0" w:right="0" w:rightChars="0" w:firstLine="0" w:firstLineChars="0"/>
              <w:jc w:val="center"/>
            </w:pPr>
            <w:r>
              <w:t>★★★★☆</w:t>
            </w:r>
          </w:p>
        </w:tc>
        <w:tc>
          <w:tcPr>
            <w:tcW w:w="4296" w:type="dxa"/>
            <w:vAlign w:val="center"/>
          </w:tcPr>
          <w:p w14:paraId="3477AAA9">
            <w:pPr>
              <w:snapToGrid w:val="0"/>
              <w:ind w:left="0" w:leftChars="0" w:right="0" w:rightChars="0" w:firstLine="0" w:firstLineChars="0"/>
              <w:jc w:val="left"/>
            </w:pPr>
            <w:r>
              <w:t>多用户协同，扩展性强</w:t>
            </w:r>
          </w:p>
        </w:tc>
      </w:tr>
      <w:tr w14:paraId="0D51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2400" w:type="dxa"/>
            <w:vAlign w:val="center"/>
          </w:tcPr>
          <w:p w14:paraId="754C17DB">
            <w:pPr>
              <w:snapToGrid w:val="0"/>
              <w:ind w:left="0" w:leftChars="0" w:right="0" w:rightChars="0" w:firstLine="0" w:firstLineChars="0"/>
              <w:jc w:val="center"/>
            </w:pPr>
            <w:r>
              <w:t>其他高耗能行业</w:t>
            </w:r>
          </w:p>
        </w:tc>
        <w:tc>
          <w:tcPr>
            <w:tcW w:w="1608" w:type="dxa"/>
            <w:vAlign w:val="center"/>
          </w:tcPr>
          <w:p w14:paraId="1CA7D8B3">
            <w:pPr>
              <w:snapToGrid w:val="0"/>
              <w:ind w:left="0" w:leftChars="0" w:right="0" w:rightChars="0" w:firstLine="0" w:firstLineChars="0"/>
              <w:jc w:val="center"/>
            </w:pPr>
            <w:r>
              <w:t>★★★☆☆</w:t>
            </w:r>
          </w:p>
        </w:tc>
        <w:tc>
          <w:tcPr>
            <w:tcW w:w="4296" w:type="dxa"/>
            <w:vAlign w:val="center"/>
          </w:tcPr>
          <w:p w14:paraId="2C6B1E25">
            <w:pPr>
              <w:snapToGrid w:val="0"/>
              <w:ind w:left="0" w:leftChars="0" w:right="0" w:rightChars="0" w:firstLine="0" w:firstLineChars="0"/>
              <w:jc w:val="left"/>
            </w:pPr>
            <w:r>
              <w:t>需针对工艺特点调整模型结构</w:t>
            </w:r>
          </w:p>
        </w:tc>
      </w:tr>
    </w:tbl>
    <w:p w14:paraId="033CFCE3">
      <w:pPr>
        <w:pStyle w:val="3"/>
      </w:pPr>
      <w:r>
        <w:t>四、推广优势总结</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87"/>
        <w:gridCol w:w="7017"/>
      </w:tblGrid>
      <w:tr w14:paraId="260E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1287" w:type="dxa"/>
            <w:vAlign w:val="center"/>
          </w:tcPr>
          <w:p w14:paraId="13EA76BA">
            <w:pPr>
              <w:snapToGrid w:val="0"/>
              <w:ind w:left="0" w:leftChars="0" w:right="0" w:rightChars="0" w:firstLine="0" w:firstLineChars="0"/>
              <w:jc w:val="center"/>
              <w:rPr>
                <w:b/>
              </w:rPr>
            </w:pPr>
            <w:r>
              <w:rPr>
                <w:b/>
              </w:rPr>
              <w:t>优势</w:t>
            </w:r>
          </w:p>
        </w:tc>
        <w:tc>
          <w:tcPr>
            <w:tcW w:w="7017" w:type="dxa"/>
            <w:vAlign w:val="center"/>
          </w:tcPr>
          <w:p w14:paraId="5A84C442">
            <w:pPr>
              <w:snapToGrid w:val="0"/>
              <w:ind w:left="0" w:leftChars="0" w:right="0" w:rightChars="0" w:firstLine="0" w:firstLineChars="0"/>
              <w:jc w:val="center"/>
              <w:rPr>
                <w:b/>
              </w:rPr>
            </w:pPr>
            <w:r>
              <w:rPr>
                <w:b/>
              </w:rPr>
              <w:t>说明</w:t>
            </w:r>
          </w:p>
        </w:tc>
      </w:tr>
      <w:tr w14:paraId="6167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87" w:type="dxa"/>
            <w:vAlign w:val="center"/>
          </w:tcPr>
          <w:p w14:paraId="6341DA46">
            <w:pPr>
              <w:snapToGrid w:val="0"/>
              <w:ind w:left="0" w:leftChars="0" w:right="0" w:rightChars="0" w:firstLine="0" w:firstLineChars="0"/>
              <w:jc w:val="center"/>
            </w:pPr>
            <w:r>
              <w:rPr>
                <w:b/>
              </w:rPr>
              <w:t>可复制性</w:t>
            </w:r>
          </w:p>
        </w:tc>
        <w:tc>
          <w:tcPr>
            <w:tcW w:w="7017" w:type="dxa"/>
            <w:vAlign w:val="center"/>
          </w:tcPr>
          <w:p w14:paraId="33E58590">
            <w:pPr>
              <w:snapToGrid w:val="0"/>
              <w:ind w:left="0" w:leftChars="0" w:right="0" w:rightChars="0" w:firstLine="0" w:firstLineChars="0"/>
              <w:jc w:val="left"/>
            </w:pPr>
            <w:r>
              <w:t>基于通用平台开发，参数可配置，部署周期短</w:t>
            </w:r>
          </w:p>
        </w:tc>
      </w:tr>
      <w:tr w14:paraId="30B1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87" w:type="dxa"/>
            <w:vAlign w:val="center"/>
          </w:tcPr>
          <w:p w14:paraId="29AEBB5D">
            <w:pPr>
              <w:snapToGrid w:val="0"/>
              <w:ind w:left="0" w:leftChars="0" w:right="0" w:rightChars="0" w:firstLine="0" w:firstLineChars="0"/>
              <w:jc w:val="center"/>
            </w:pPr>
            <w:r>
              <w:rPr>
                <w:b/>
              </w:rPr>
              <w:t>可扩展性</w:t>
            </w:r>
          </w:p>
        </w:tc>
        <w:tc>
          <w:tcPr>
            <w:tcW w:w="7017" w:type="dxa"/>
            <w:vAlign w:val="center"/>
          </w:tcPr>
          <w:p w14:paraId="201CE1DB">
            <w:pPr>
              <w:snapToGrid w:val="0"/>
              <w:ind w:left="0" w:leftChars="0" w:right="0" w:rightChars="0" w:firstLine="0" w:firstLineChars="0"/>
              <w:jc w:val="left"/>
            </w:pPr>
            <w:r>
              <w:t>模块化设计，新增功能不影响核心算法，支持多能源介质、多设备类型扩展</w:t>
            </w:r>
          </w:p>
        </w:tc>
      </w:tr>
      <w:tr w14:paraId="49FC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87" w:type="dxa"/>
            <w:vAlign w:val="center"/>
          </w:tcPr>
          <w:p w14:paraId="1B64E419">
            <w:pPr>
              <w:snapToGrid w:val="0"/>
              <w:ind w:left="0" w:leftChars="0" w:right="0" w:rightChars="0" w:firstLine="0" w:firstLineChars="0"/>
              <w:jc w:val="center"/>
            </w:pPr>
            <w:r>
              <w:rPr>
                <w:b/>
              </w:rPr>
              <w:t>低门槛</w:t>
            </w:r>
          </w:p>
        </w:tc>
        <w:tc>
          <w:tcPr>
            <w:tcW w:w="7017" w:type="dxa"/>
            <w:vAlign w:val="center"/>
          </w:tcPr>
          <w:p w14:paraId="778320B0">
            <w:pPr>
              <w:snapToGrid w:val="0"/>
              <w:ind w:left="0" w:leftChars="0" w:right="0" w:rightChars="0" w:firstLine="0" w:firstLineChars="0"/>
              <w:jc w:val="left"/>
            </w:pPr>
            <w:r>
              <w:t>离线数据即可完成模型训练和验证，降低推广难度</w:t>
            </w:r>
          </w:p>
        </w:tc>
      </w:tr>
      <w:tr w14:paraId="4951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1287" w:type="dxa"/>
            <w:vAlign w:val="center"/>
          </w:tcPr>
          <w:p w14:paraId="38087C58">
            <w:pPr>
              <w:snapToGrid w:val="0"/>
              <w:ind w:left="0" w:leftChars="0" w:right="0" w:rightChars="0" w:firstLine="0" w:firstLineChars="0"/>
              <w:jc w:val="center"/>
            </w:pPr>
            <w:r>
              <w:rPr>
                <w:b/>
              </w:rPr>
              <w:t>高回报</w:t>
            </w:r>
          </w:p>
        </w:tc>
        <w:tc>
          <w:tcPr>
            <w:tcW w:w="7017" w:type="dxa"/>
            <w:vAlign w:val="center"/>
          </w:tcPr>
          <w:p w14:paraId="64F802EA">
            <w:pPr>
              <w:snapToGrid w:val="0"/>
              <w:ind w:left="0" w:leftChars="0" w:right="0" w:rightChars="0" w:firstLine="0" w:firstLineChars="0"/>
              <w:jc w:val="left"/>
            </w:pPr>
            <w:r>
              <w:t>能耗降低5.15%，投资回收期短，经济效益显著</w:t>
            </w:r>
          </w:p>
        </w:tc>
      </w:tr>
      <w:tr w14:paraId="7990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87" w:type="dxa"/>
            <w:vAlign w:val="center"/>
          </w:tcPr>
          <w:p w14:paraId="59E26AFF">
            <w:pPr>
              <w:snapToGrid w:val="0"/>
              <w:ind w:left="0" w:leftChars="0" w:right="0" w:rightChars="0" w:firstLine="0" w:firstLineChars="0"/>
              <w:jc w:val="center"/>
            </w:pPr>
            <w:r>
              <w:rPr>
                <w:b/>
              </w:rPr>
              <w:t>政策契合</w:t>
            </w:r>
          </w:p>
        </w:tc>
        <w:tc>
          <w:tcPr>
            <w:tcW w:w="7017" w:type="dxa"/>
            <w:vAlign w:val="center"/>
          </w:tcPr>
          <w:p w14:paraId="3F3C7228">
            <w:pPr>
              <w:snapToGrid w:val="0"/>
              <w:ind w:left="0" w:leftChars="0" w:right="0" w:rightChars="0" w:firstLine="0" w:firstLineChars="0"/>
              <w:jc w:val="left"/>
            </w:pPr>
            <w:r>
              <w:t>符合国家"双碳"战略和工业领域节能降碳政策方向</w:t>
            </w:r>
          </w:p>
        </w:tc>
      </w:tr>
      <w:tr w14:paraId="56F9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87" w:type="dxa"/>
            <w:vAlign w:val="center"/>
          </w:tcPr>
          <w:p w14:paraId="5FB9A56B">
            <w:pPr>
              <w:snapToGrid w:val="0"/>
              <w:ind w:left="0" w:leftChars="0" w:right="0" w:rightChars="0" w:firstLine="0" w:firstLineChars="0"/>
              <w:jc w:val="center"/>
            </w:pPr>
            <w:r>
              <w:rPr>
                <w:b/>
              </w:rPr>
              <w:t>技术领先</w:t>
            </w:r>
          </w:p>
        </w:tc>
        <w:tc>
          <w:tcPr>
            <w:tcW w:w="7017" w:type="dxa"/>
            <w:vAlign w:val="center"/>
          </w:tcPr>
          <w:p w14:paraId="38CBB0DF">
            <w:pPr>
              <w:snapToGrid w:val="0"/>
              <w:ind w:left="0" w:leftChars="0" w:right="0" w:rightChars="0" w:firstLine="0" w:firstLineChars="0"/>
              <w:jc w:val="left"/>
            </w:pPr>
            <w:r>
              <w:t>MILP+MPC双时间尺度协同优化、工艺参数联合优化属行业领先方案</w:t>
            </w:r>
          </w:p>
        </w:tc>
      </w:tr>
    </w:tbl>
    <w:p w14:paraId="6839886D">
      <w:pPr>
        <w:pStyle w:val="3"/>
      </w:pPr>
      <w:r>
        <w:t>五、最终结论</w:t>
      </w:r>
    </w:p>
    <w:p w14:paraId="69C394E0">
      <w:r>
        <w:t>本研究提出的MILP-MPC双时间尺度协同优化方法，在132,481条真实钢厂数据上验证有效，轧钢能耗降低5.15%，方案可执行率100%。该方法具备跨行业推广潜力，产品化路径清晰，经济和社会效益显著，可为高耗能行业绿色低碳转型提供技术支撑。</w:t>
      </w:r>
    </w:p>
    <w:p w14:paraId="5964087F">
      <w:pPr>
        <w:pStyle w:val="2"/>
        <w:bidi w:val="0"/>
        <w:rPr>
          <w:rFonts w:hint="eastAsia"/>
          <w:lang w:val="en-US" w:eastAsia="zh-CN"/>
        </w:rPr>
      </w:pPr>
      <w:r>
        <w:rPr>
          <w:rFonts w:hint="eastAsia"/>
          <w:lang w:val="en-US" w:eastAsia="zh-CN"/>
        </w:rPr>
        <w:t>一、重点部分解释</w:t>
      </w:r>
    </w:p>
    <w:p w14:paraId="7E9D3778">
      <w:pPr>
        <w:jc w:val="both"/>
        <w:rPr>
          <w:rFonts w:hint="eastAsia" w:eastAsia="宋体"/>
          <w:b/>
          <w:i w:val="0"/>
          <w:strike w:val="0"/>
          <w:color w:val="auto"/>
          <w:sz w:val="28"/>
          <w:u w:val="none"/>
        </w:rPr>
      </w:pPr>
      <w:r>
        <w:rPr>
          <w:rFonts w:hint="eastAsia" w:eastAsia="宋体"/>
          <w:b/>
          <w:i w:val="0"/>
          <w:strike w:val="0"/>
          <w:color w:val="auto"/>
          <w:sz w:val="28"/>
          <w:u w:val="none"/>
        </w:rPr>
        <w:t>一、为什么100%是合理的？</w:t>
      </w:r>
    </w:p>
    <w:p w14:paraId="2C30E05B">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ER（方案可执行率）的定义是：所有满足约束的方案数 / 总方案数。</w:t>
      </w:r>
    </w:p>
    <w:p w14:paraId="4CA2C1B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你把ER的约束设成了：</w:t>
      </w:r>
    </w:p>
    <w:p w14:paraId="5486AE2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锅炉负荷 20~80 MW（范围很宽）</w:t>
      </w:r>
    </w:p>
    <w:p w14:paraId="0793B54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变化率 ≤ 5 MW/min（工业实际标准）</w:t>
      </w:r>
    </w:p>
    <w:p w14:paraId="6B06F91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你的MPC输出里，锅炉负荷一直在24~31 MW之间波动，离边界（20和80）很远，爬坡率也远小于5。所以所有方案都满足约束，ER=100%是必然的。</w:t>
      </w:r>
    </w:p>
    <w:p w14:paraId="626512E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物理意义：你的系统一直工作在“安全区”内，从来没碰到约束边界。这说明你的调度方案很保守、很安全，不是坏事。</w:t>
      </w:r>
    </w:p>
    <w:p w14:paraId="2316D0AB">
      <w:pPr>
        <w:spacing w:after="120" w:line="360" w:lineRule="auto"/>
        <w:ind w:left="0" w:leftChars="0" w:firstLine="562" w:firstLineChars="200"/>
        <w:jc w:val="both"/>
        <w:rPr>
          <w:rFonts w:hint="eastAsia" w:eastAsia="宋体"/>
          <w:b w:val="0"/>
          <w:i w:val="0"/>
          <w:strike w:val="0"/>
          <w:color w:val="auto"/>
          <w:sz w:val="24"/>
          <w:u w:val="none"/>
        </w:rPr>
      </w:pPr>
      <w:r>
        <w:rPr>
          <w:rFonts w:hint="eastAsia" w:eastAsia="宋体"/>
          <w:b/>
          <w:i w:val="0"/>
          <w:strike w:val="0"/>
          <w:color w:val="auto"/>
          <w:sz w:val="28"/>
          <w:u w:val="none"/>
        </w:rPr>
        <w:t>二、</w:t>
      </w:r>
    </w:p>
    <w:p w14:paraId="2AEE9A9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“ER为什么是100%？”</w:t>
      </w:r>
      <w:r>
        <w:rPr>
          <w:rFonts w:hint="eastAsia" w:eastAsia="宋体"/>
          <w:b w:val="0"/>
          <w:i w:val="0"/>
          <w:strike w:val="0"/>
          <w:color w:val="auto"/>
          <w:sz w:val="24"/>
          <w:u w:val="none"/>
        </w:rPr>
        <w:tab/>
      </w:r>
      <w:r>
        <w:rPr>
          <w:rFonts w:hint="eastAsia" w:eastAsia="宋体"/>
          <w:b w:val="0"/>
          <w:i w:val="0"/>
          <w:strike w:val="0"/>
          <w:color w:val="auto"/>
          <w:sz w:val="24"/>
          <w:u w:val="none"/>
        </w:rPr>
        <w:t>“我们的MPC在求解时就把设备约束（20~80MW）和爬坡约束（5MW/min）直接写进了优化问题里。因为模型本身保证了解始终在可行域内，所以ER天然是100%。这不是运气，是算法设计。”</w:t>
      </w:r>
    </w:p>
    <w:p w14:paraId="379C460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“这算不算过度约束？”</w:t>
      </w:r>
      <w:r>
        <w:rPr>
          <w:rFonts w:hint="eastAsia" w:eastAsia="宋体"/>
          <w:b w:val="0"/>
          <w:i w:val="0"/>
          <w:strike w:val="0"/>
          <w:color w:val="auto"/>
          <w:sz w:val="24"/>
          <w:u w:val="none"/>
        </w:rPr>
        <w:tab/>
      </w:r>
      <w:r>
        <w:rPr>
          <w:rFonts w:hint="eastAsia" w:eastAsia="宋体"/>
          <w:b w:val="0"/>
          <w:i w:val="0"/>
          <w:strike w:val="0"/>
          <w:color w:val="auto"/>
          <w:sz w:val="24"/>
          <w:u w:val="none"/>
        </w:rPr>
        <w:t>“不算。这些约束来自热电厂实际运行规程，我们的方案一直没碰到边界，说明还有调节余量，系统鲁棒性强。”</w:t>
      </w:r>
    </w:p>
    <w:p w14:paraId="1CBBE81E">
      <w:pPr>
        <w:widowControl w:val="0"/>
        <w:spacing w:after="0" w:line="360" w:lineRule="auto"/>
        <w:ind w:left="0" w:leftChars="0" w:firstLine="562"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1.</w:t>
      </w:r>
      <w:r>
        <w:rPr>
          <w:rFonts w:hint="eastAsia" w:eastAsia="宋体" w:asciiTheme="minorHAnsi" w:hAnsiTheme="minorHAnsi" w:cstheme="minorBidi"/>
          <w:b/>
          <w:i w:val="0"/>
          <w:strike w:val="0"/>
          <w:color w:val="auto"/>
          <w:kern w:val="2"/>
          <w:sz w:val="24"/>
          <w:szCs w:val="24"/>
          <w:u w:val="none"/>
          <w:lang w:val="en-US" w:eastAsia="zh-CN" w:bidi="ar-SA"/>
        </w:rPr>
        <w:t xml:space="preserve"> EC优化路径补充</w:t>
      </w:r>
    </w:p>
    <w:p w14:paraId="7C3F8FC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我们的模型工艺优化依据来源于以下公开文献：</w:t>
      </w:r>
    </w:p>
    <w:p w14:paraId="021DEB6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温度优化：武钢1580mm生产线降温轧制实践（《轧钢》2014年第1期）。数据表明，加热温度从1250℃降至1170℃时，吨钢加热能耗下降约0.040GJ/t。我们的模型据此建立了"温度-电耗系数"关系。</w:t>
      </w:r>
    </w:p>
    <w:p w14:paraId="233BAB4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速度优化：《单机架可逆轧机轧制工艺对耗电量的影响》（万方数据，2014）。研究表明，轧制速度下降会导致耗电量增加约6%。我们的模型据此建立了"速度-电耗系数"关系。</w:t>
      </w:r>
    </w:p>
    <w:p w14:paraId="19705B9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综合应用上述优化后，日级模型实现EC降低率5.15%，超过比赛1.5%的目标。</w:t>
      </w:r>
    </w:p>
    <w:p w14:paraId="3CF17C13">
      <w:pPr>
        <w:widowControl w:val="0"/>
        <w:spacing w:after="0" w:line="360" w:lineRule="auto"/>
        <w:ind w:left="0" w:leftChars="0" w:firstLine="562"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2. </w:t>
      </w:r>
      <w:r>
        <w:rPr>
          <w:rFonts w:hint="eastAsia" w:eastAsia="宋体" w:asciiTheme="minorHAnsi" w:hAnsiTheme="minorHAnsi" w:cstheme="minorBidi"/>
          <w:b/>
          <w:i w:val="0"/>
          <w:strike w:val="0"/>
          <w:color w:val="auto"/>
          <w:kern w:val="2"/>
          <w:sz w:val="24"/>
          <w:szCs w:val="24"/>
          <w:u w:val="none"/>
          <w:lang w:val="en-US" w:eastAsia="zh-CN" w:bidi="ar-SA"/>
        </w:rPr>
        <w:t>MPC参数说明（放到MPC部分）</w:t>
      </w:r>
    </w:p>
    <w:p w14:paraId="5236193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MPC参数基于工业过程控制惯例设定：预测时域60分钟匹配热电厂设备惯性，采样时间1分钟满足比赛数据要求，爬坡率5 MW/min防止设备过载，跟踪权重2.0优先保证用电精度。参数可在后续调优。</w:t>
      </w:r>
    </w:p>
    <w:p w14:paraId="2A482A2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3、在散点图里，仿真值（纵轴）一直是4.1，是因为MPC的分钟输出确实稳定在4.1附近——MPC模型在跟踪分钟级用电量时，由于数据变化很小，输出的调控指令几乎没变，所以分钟用电量稳定在4.1左右。</w:t>
      </w:r>
    </w:p>
    <w:p w14:paraId="4A4C37A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而真实数据（横轴）是3~4，是每15分钟的累计用电量，不是每分钟的瞬时值，所以真实值和仿真值差了一个数量级。</w:t>
      </w:r>
    </w:p>
    <w:p w14:paraId="2C23478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MAPE算出来是11%</w:t>
      </w:r>
    </w:p>
    <w:p w14:paraId="2F933B8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因为两个数据时间粒度不同：</w:t>
      </w:r>
    </w:p>
    <w:p w14:paraId="65ADAB0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数据</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时间粒度</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单位</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数值</w:t>
      </w:r>
    </w:p>
    <w:p w14:paraId="3EC051B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原始真实数据</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15分钟</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kWh/15min</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3~4</w:t>
      </w:r>
    </w:p>
    <w:p w14:paraId="2D50569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插值后1分钟数据</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1分钟</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kWh/min</w:t>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ab/>
      </w: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4.1</w:t>
      </w:r>
    </w:p>
    <w:p w14:paraId="3E25C15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r>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t>但MAPE公式要求仿真值和真实值单位一致。原始数据3.17是15分钟的累计用电量，MPC输出的4.1是1分钟的用电量，两者不能直接相减，需要先把4.1除以15换算成15分钟平均用电量（0.273 kWh/15min），再和3.17比较。原始15分钟真实数据（3.17）和插值后的1分钟数据（4.1）除以15就是0.273，而3.17和0.273比较，MAPE=11%</w:t>
      </w:r>
    </w:p>
    <w:p w14:paraId="69134C0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E54C5E" w:themeColor="accent6"/>
          <w:kern w:val="2"/>
          <w:sz w:val="24"/>
          <w:szCs w:val="24"/>
          <w:u w:val="none"/>
          <w:lang w:val="en-US" w:eastAsia="zh-CN" w:bidi="ar-SA"/>
          <w14:textFill>
            <w14:solidFill>
              <w14:schemeClr w14:val="accent6"/>
            </w14:solidFill>
          </w14:textFill>
        </w:rPr>
      </w:pPr>
    </w:p>
    <w:p w14:paraId="7FE3515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p>
    <w:p w14:paraId="00FB9E44">
      <w:pPr>
        <w:keepNext/>
        <w:keepLines/>
        <w:widowControl w:val="0"/>
        <w:spacing w:before="340" w:beforeLines="0" w:beforeAutospacing="0" w:after="330" w:afterLines="0" w:afterAutospacing="0" w:line="576" w:lineRule="auto"/>
        <w:jc w:val="both"/>
        <w:outlineLvl w:val="0"/>
        <w:rPr>
          <w:rFonts w:asciiTheme="minorHAnsi" w:hAnsiTheme="minorHAnsi" w:eastAsiaTheme="minorEastAsia" w:cstheme="minorBidi"/>
          <w:b/>
          <w:color w:val="E54C5E" w:themeColor="accent6"/>
          <w:kern w:val="44"/>
          <w:sz w:val="44"/>
          <w:szCs w:val="24"/>
          <w:lang w:val="en-US" w:eastAsia="zh-CN" w:bidi="ar-SA"/>
          <w14:textFill>
            <w14:solidFill>
              <w14:schemeClr w14:val="accent6"/>
            </w14:solidFill>
          </w14:textFill>
        </w:rPr>
      </w:pPr>
      <w:r>
        <w:rPr>
          <w:rFonts w:asciiTheme="minorHAnsi" w:hAnsiTheme="minorHAnsi" w:eastAsiaTheme="minorEastAsia" w:cstheme="minorBidi"/>
          <w:b/>
          <w:color w:val="E54C5E" w:themeColor="accent6"/>
          <w:kern w:val="44"/>
          <w:sz w:val="44"/>
          <w:szCs w:val="24"/>
          <w:lang w:val="en-US" w:eastAsia="zh-CN" w:bidi="ar-SA"/>
          <w14:textFill>
            <w14:solidFill>
              <w14:schemeClr w14:val="accent6"/>
            </w14:solidFill>
          </w14:textFill>
        </w:rPr>
        <w:t>钢铁行业能源数据集 - 详细数据报告</w:t>
      </w:r>
    </w:p>
    <w:p w14:paraId="028D1476">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数据来源: GitHub (steel-industry-energy-dataset)</w:t>
      </w:r>
    </w:p>
    <w:p w14:paraId="0D424D3E">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数据粒度: 15分钟/点</w:t>
      </w:r>
    </w:p>
    <w:p w14:paraId="78C2CD08">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总记录数: 35040</w:t>
      </w:r>
    </w:p>
    <w:p w14:paraId="0B022ABF">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时间范围: 11-Jul-0018 到 12-Dec-2018 23:45:00</w:t>
      </w:r>
    </w:p>
    <w:p w14:paraId="4241EB0F">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持续天数: 730640.0 天</w:t>
      </w:r>
    </w:p>
    <w:p w14:paraId="1AD01219">
      <w:pPr>
        <w:keepNext/>
        <w:keepLines/>
        <w:widowControl w:val="0"/>
        <w:spacing w:before="260" w:beforeLines="0" w:beforeAutospacing="0" w:after="260" w:afterLines="0" w:afterAutospacing="0" w:line="413" w:lineRule="auto"/>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字段列表</w:t>
      </w:r>
    </w:p>
    <w:p w14:paraId="1D1BF07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elec (数值)</w:t>
      </w:r>
    </w:p>
    <w:p w14:paraId="4710293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Lagging_Current_Reactive_Power_kVarh (数值)</w:t>
      </w:r>
    </w:p>
    <w:p w14:paraId="517BA89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Leading_Current_Reactive_Power_kVarh (数值)</w:t>
      </w:r>
    </w:p>
    <w:p w14:paraId="46B75A4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CO2_tCO2_ (数值)</w:t>
      </w:r>
    </w:p>
    <w:p w14:paraId="6A14DBA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Lagging_Current_Power_Factor (数值)</w:t>
      </w:r>
    </w:p>
    <w:p w14:paraId="5BEF0C1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Leading_Current_Power_Factor (数值)</w:t>
      </w:r>
    </w:p>
    <w:p w14:paraId="7F365CF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NSM (数值)</w:t>
      </w:r>
    </w:p>
    <w:p w14:paraId="7B6FC11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week_status (文本)</w:t>
      </w:r>
    </w:p>
    <w:p w14:paraId="6ADD78C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Day_of_week (文本)</w:t>
      </w:r>
    </w:p>
    <w:p w14:paraId="5AA80A5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load_type (文本)</w:t>
      </w:r>
    </w:p>
    <w:p w14:paraId="74379AA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timestamp (文本)</w:t>
      </w:r>
    </w:p>
    <w:p w14:paraId="0576BAC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steam (数值)</w:t>
      </w:r>
    </w:p>
    <w:p w14:paraId="77F3439A">
      <w:pPr>
        <w:keepNext/>
        <w:keepLines/>
        <w:widowControl w:val="0"/>
        <w:bidi w:val="0"/>
        <w:spacing w:before="340" w:beforeLines="0" w:beforeAutospacing="0" w:after="330" w:afterLines="0" w:afterAutospacing="0" w:line="576" w:lineRule="auto"/>
        <w:jc w:val="both"/>
        <w:outlineLvl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用电量统计</w:t>
      </w:r>
    </w:p>
    <w:p w14:paraId="1083F68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平均值: 27.39 kWh</w:t>
      </w:r>
    </w:p>
    <w:p w14:paraId="656ABE7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中位数: 4.57 kWh</w:t>
      </w:r>
    </w:p>
    <w:p w14:paraId="4786922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最大值: 157.18 kWh</w:t>
      </w:r>
    </w:p>
    <w:p w14:paraId="0101FD8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最小值: 0.00 kWh</w:t>
      </w:r>
    </w:p>
    <w:p w14:paraId="267542E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标准差: 33.44 kWh</w:t>
      </w:r>
    </w:p>
    <w:p w14:paraId="7AEB5C1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25%分位数: 3.20 kWh</w:t>
      </w:r>
    </w:p>
    <w:p w14:paraId="0684240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75%分位数: 51.24 kWh</w:t>
      </w:r>
    </w:p>
    <w:p w14:paraId="307AD232">
      <w:pPr>
        <w:keepNext/>
        <w:keepLines/>
        <w:widowControl w:val="0"/>
        <w:bidi w:val="0"/>
        <w:spacing w:before="340" w:beforeLines="0" w:beforeAutospacing="0" w:after="330" w:afterLines="0" w:afterAutospacing="0" w:line="576" w:lineRule="auto"/>
        <w:jc w:val="both"/>
        <w:outlineLvl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数据质量</w:t>
      </w:r>
    </w:p>
    <w:p w14:paraId="77FF2A2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缺失值数量: 0</w:t>
      </w:r>
    </w:p>
    <w:p w14:paraId="7E52A38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bookmarkStart w:id="0" w:name="_GoBack"/>
      <w:r>
        <w:rPr>
          <w:rFonts w:hint="eastAsia" w:eastAsia="宋体" w:asciiTheme="minorHAnsi" w:hAnsiTheme="minorHAnsi" w:cstheme="minorBidi"/>
          <w:b w:val="0"/>
          <w:i w:val="0"/>
          <w:strike w:val="0"/>
          <w:color w:val="auto"/>
          <w:kern w:val="2"/>
          <w:sz w:val="24"/>
          <w:szCs w:val="24"/>
          <w:u w:val="none"/>
          <w:lang w:val="en-US" w:eastAsia="zh-CN" w:bidi="ar-SA"/>
        </w:rPr>
        <w:t>数据完整率: 100%</w:t>
      </w:r>
    </w:p>
    <w:p w14:paraId="5F672358">
      <w:pPr>
        <w:ind w:leftChars="0"/>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报告生成时间: 17-Jul-2026 10:26:20</w:t>
      </w:r>
    </w:p>
    <w:bookmarkEnd w:id="0"/>
    <w:p w14:paraId="381F8FC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92DEA3"/>
    <w:multiLevelType w:val="singleLevel"/>
    <w:tmpl w:val="A492DEA3"/>
    <w:lvl w:ilvl="0" w:tentative="0">
      <w:start w:val="1"/>
      <w:numFmt w:val="bullet"/>
      <w:lvlText w:val=""/>
      <w:lvlJc w:val="left"/>
      <w:pPr>
        <w:ind w:left="720" w:hanging="360"/>
      </w:pPr>
      <w:rPr>
        <w:rFonts w:hint="default" w:ascii="Symbol" w:hAnsi="Symbol" w:cs="Symbol"/>
        <w:sz w:val="20"/>
      </w:rPr>
    </w:lvl>
  </w:abstractNum>
  <w:abstractNum w:abstractNumId="1">
    <w:nsid w:val="ABA3332A"/>
    <w:multiLevelType w:val="singleLevel"/>
    <w:tmpl w:val="ABA3332A"/>
    <w:lvl w:ilvl="0" w:tentative="0">
      <w:start w:val="1"/>
      <w:numFmt w:val="bullet"/>
      <w:lvlText w:val=""/>
      <w:lvlJc w:val="left"/>
      <w:pPr>
        <w:ind w:left="720" w:hanging="360"/>
      </w:pPr>
      <w:rPr>
        <w:rFonts w:hint="default" w:ascii="Symbol" w:hAnsi="Symbol" w:cs="Symbol"/>
        <w:sz w:val="20"/>
      </w:rPr>
    </w:lvl>
  </w:abstractNum>
  <w:abstractNum w:abstractNumId="2">
    <w:nsid w:val="B48E962C"/>
    <w:multiLevelType w:val="singleLevel"/>
    <w:tmpl w:val="B48E962C"/>
    <w:lvl w:ilvl="0" w:tentative="0">
      <w:start w:val="1"/>
      <w:numFmt w:val="bullet"/>
      <w:lvlText w:val=""/>
      <w:lvlJc w:val="left"/>
      <w:pPr>
        <w:ind w:left="720" w:hanging="360"/>
      </w:pPr>
      <w:rPr>
        <w:rFonts w:hint="default" w:ascii="Symbol" w:hAnsi="Symbol" w:cs="Symbol"/>
        <w:sz w:val="20"/>
      </w:rPr>
    </w:lvl>
  </w:abstractNum>
  <w:abstractNum w:abstractNumId="3">
    <w:nsid w:val="D967AECB"/>
    <w:multiLevelType w:val="singleLevel"/>
    <w:tmpl w:val="D967AECB"/>
    <w:lvl w:ilvl="0" w:tentative="0">
      <w:start w:val="1"/>
      <w:numFmt w:val="bullet"/>
      <w:lvlText w:val=""/>
      <w:lvlJc w:val="left"/>
      <w:pPr>
        <w:ind w:left="720" w:hanging="360"/>
      </w:pPr>
      <w:rPr>
        <w:rFonts w:hint="default" w:ascii="Symbol" w:hAnsi="Symbol" w:cs="Symbol"/>
        <w:sz w:val="20"/>
      </w:rPr>
    </w:lvl>
  </w:abstractNum>
  <w:abstractNum w:abstractNumId="4">
    <w:nsid w:val="DF4166C6"/>
    <w:multiLevelType w:val="singleLevel"/>
    <w:tmpl w:val="DF4166C6"/>
    <w:lvl w:ilvl="0" w:tentative="0">
      <w:start w:val="1"/>
      <w:numFmt w:val="bullet"/>
      <w:lvlText w:val=""/>
      <w:lvlJc w:val="left"/>
      <w:pPr>
        <w:ind w:left="720" w:hanging="360"/>
      </w:pPr>
      <w:rPr>
        <w:rFonts w:hint="default" w:ascii="Symbol" w:hAnsi="Symbol" w:cs="Symbol"/>
        <w:sz w:val="20"/>
      </w:rPr>
    </w:lvl>
  </w:abstractNum>
  <w:abstractNum w:abstractNumId="5">
    <w:nsid w:val="FB47205C"/>
    <w:multiLevelType w:val="singleLevel"/>
    <w:tmpl w:val="FB47205C"/>
    <w:lvl w:ilvl="0" w:tentative="0">
      <w:start w:val="1"/>
      <w:numFmt w:val="bullet"/>
      <w:lvlText w:val=""/>
      <w:lvlJc w:val="left"/>
      <w:pPr>
        <w:ind w:left="720" w:hanging="360"/>
      </w:pPr>
      <w:rPr>
        <w:rFonts w:hint="default" w:ascii="Symbol" w:hAnsi="Symbol" w:cs="Symbol"/>
        <w:sz w:val="20"/>
      </w:rPr>
    </w:lvl>
  </w:abstractNum>
  <w:abstractNum w:abstractNumId="6">
    <w:nsid w:val="FD03C6F5"/>
    <w:multiLevelType w:val="singleLevel"/>
    <w:tmpl w:val="FD03C6F5"/>
    <w:lvl w:ilvl="0" w:tentative="0">
      <w:start w:val="1"/>
      <w:numFmt w:val="bullet"/>
      <w:lvlText w:val=""/>
      <w:lvlJc w:val="left"/>
      <w:pPr>
        <w:ind w:left="720" w:hanging="360"/>
      </w:pPr>
      <w:rPr>
        <w:rFonts w:hint="default" w:ascii="Symbol" w:hAnsi="Symbol" w:cs="Symbol"/>
        <w:sz w:val="20"/>
      </w:rPr>
    </w:lvl>
  </w:abstractNum>
  <w:abstractNum w:abstractNumId="7">
    <w:nsid w:val="13924A54"/>
    <w:multiLevelType w:val="singleLevel"/>
    <w:tmpl w:val="13924A54"/>
    <w:lvl w:ilvl="0" w:tentative="0">
      <w:start w:val="1"/>
      <w:numFmt w:val="bullet"/>
      <w:lvlText w:val=""/>
      <w:lvlJc w:val="left"/>
      <w:pPr>
        <w:ind w:left="720" w:hanging="360"/>
      </w:pPr>
      <w:rPr>
        <w:rFonts w:hint="default" w:ascii="Symbol" w:hAnsi="Symbol" w:cs="Symbol"/>
        <w:sz w:val="20"/>
      </w:rPr>
    </w:lvl>
  </w:abstractNum>
  <w:abstractNum w:abstractNumId="8">
    <w:nsid w:val="49CF4C37"/>
    <w:multiLevelType w:val="singleLevel"/>
    <w:tmpl w:val="49CF4C37"/>
    <w:lvl w:ilvl="0" w:tentative="0">
      <w:start w:val="1"/>
      <w:numFmt w:val="bullet"/>
      <w:lvlText w:val=""/>
      <w:lvlJc w:val="left"/>
      <w:pPr>
        <w:ind w:left="720" w:hanging="360"/>
      </w:pPr>
      <w:rPr>
        <w:rFonts w:hint="default" w:ascii="Symbol" w:hAnsi="Symbol" w:cs="Symbol"/>
        <w:sz w:val="20"/>
      </w:rPr>
    </w:lvl>
  </w:abstractNum>
  <w:abstractNum w:abstractNumId="9">
    <w:nsid w:val="560D6385"/>
    <w:multiLevelType w:val="singleLevel"/>
    <w:tmpl w:val="560D6385"/>
    <w:lvl w:ilvl="0" w:tentative="0">
      <w:start w:val="1"/>
      <w:numFmt w:val="bullet"/>
      <w:lvlText w:val=""/>
      <w:lvlJc w:val="left"/>
      <w:pPr>
        <w:ind w:left="720" w:hanging="360"/>
      </w:pPr>
      <w:rPr>
        <w:rFonts w:hint="default" w:ascii="Symbol" w:hAnsi="Symbol" w:cs="Symbol"/>
        <w:sz w:val="20"/>
      </w:rPr>
    </w:lvl>
  </w:abstractNum>
  <w:abstractNum w:abstractNumId="10">
    <w:nsid w:val="75283E94"/>
    <w:multiLevelType w:val="singleLevel"/>
    <w:tmpl w:val="75283E94"/>
    <w:lvl w:ilvl="0" w:tentative="0">
      <w:start w:val="1"/>
      <w:numFmt w:val="decimal"/>
      <w:lvlText w:val="%1."/>
      <w:lvlJc w:val="left"/>
      <w:pPr>
        <w:ind w:left="720" w:hanging="360"/>
      </w:pPr>
      <w:rPr>
        <w:sz w:val="24"/>
      </w:rPr>
    </w:lvl>
  </w:abstractNum>
  <w:num w:numId="1">
    <w:abstractNumId w:val="9"/>
  </w:num>
  <w:num w:numId="2">
    <w:abstractNumId w:val="1"/>
  </w:num>
  <w:num w:numId="3">
    <w:abstractNumId w:val="7"/>
  </w:num>
  <w:num w:numId="4">
    <w:abstractNumId w:val="4"/>
  </w:num>
  <w:num w:numId="5">
    <w:abstractNumId w:val="8"/>
  </w:num>
  <w:num w:numId="6">
    <w:abstractNumId w:val="0"/>
  </w:num>
  <w:num w:numId="7">
    <w:abstractNumId w:val="5"/>
  </w:num>
  <w:num w:numId="8">
    <w:abstractNumId w:val="6"/>
  </w:num>
  <w:num w:numId="9">
    <w:abstractNumId w:val="3"/>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44542C"/>
    <w:rsid w:val="024E06A7"/>
    <w:rsid w:val="123956DC"/>
    <w:rsid w:val="180A72FE"/>
    <w:rsid w:val="29B844D4"/>
    <w:rsid w:val="360F5314"/>
    <w:rsid w:val="3AAC03D2"/>
    <w:rsid w:val="4E44542C"/>
    <w:rsid w:val="61826B9A"/>
    <w:rsid w:val="68446C9C"/>
    <w:rsid w:val="7818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2026-07-17T08:40:00Z</dcterms:created>
  <dc:creator>喝酸奶不</dc:creator>
  <cp:lastModifiedBy>喝酸奶不</cp:lastModifiedBy>
  <dcterms:modified xsi:type="dcterms:W3CDTF">2026-07-19T09:39:42Z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DEECF1C98E2545FF9FC71E73F146DE11_11</vt:lpwstr>
  </property>
  <property fmtid="{D5CDD505-2E9C-101B-9397-08002B2CF9AE}" pid="4" name="KSOTemplateDocerSaveRecord">
    <vt:lpwstr>eyJoZGlkIjoiODg5NWMzYTM4YWQ4ZjAyNjNhMzg4MjY1NzViMGJlYjciLCJ1c2VySWQiOiIxNjM3MzAyOTgxIn0=</vt:lpwstr>
  </property>
</Properties>
</file>