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4D3E" w:rsidRDefault="004B60FD" w14:paraId="4F955360" w14:textId="77777777">
      <w:pPr>
        <w:spacing w:after="80"/>
      </w:pPr>
      <w:r>
        <w:rPr>
          <w:b/>
          <w:bCs/>
          <w:color w:val="1F3864"/>
          <w:sz w:val="48"/>
          <w:szCs w:val="48"/>
        </w:rPr>
        <w:t>Supply Chain Compliance Report</w:t>
      </w:r>
    </w:p>
    <w:p w:rsidR="00004D3E" w:rsidRDefault="004B60FD" w14:paraId="02FFEE24" w14:textId="77777777">
      <w:pPr>
        <w:spacing w:after="60"/>
      </w:pPr>
      <w:r>
        <w:rPr>
          <w:color w:val="C00000"/>
          <w:sz w:val="26"/>
          <w:szCs w:val="26"/>
        </w:rPr>
        <w:t>Critical Issues &amp; Recommended Actions</w:t>
      </w:r>
    </w:p>
    <w:p w:rsidR="00004D3E" w:rsidP="73130763" w:rsidRDefault="73130763" w14:paraId="76D334BC" w14:textId="77777777">
      <w:pPr>
        <w:pBdr>
          <w:bottom w:val="single" w:color="1F3864" w:sz="8" w:space="1"/>
        </w:pBdr>
        <w:spacing w:after="280"/>
      </w:pPr>
      <w:r w:rsidRPr="73130763">
        <w:rPr>
          <w:color w:val="555555"/>
          <w:sz w:val="20"/>
          <w:szCs w:val="20"/>
        </w:rPr>
        <w:t>Prepared for: Sarah Nakamura  |  From: Maria Sanchez  |  Date: December 5, 2024</w:t>
      </w:r>
    </w:p>
    <w:p w:rsidR="00004D3E" w:rsidRDefault="004B60FD" w14:paraId="32A36C38" w14:textId="77777777">
      <w:pPr>
        <w:pStyle w:val="Heading1"/>
      </w:pPr>
      <w:r>
        <w:t>1. Introduction</w:t>
      </w:r>
    </w:p>
    <w:p w:rsidR="00004D3E" w:rsidRDefault="73130763" w14:paraId="30A4C5C6" w14:textId="77777777">
      <w:pPr>
        <w:spacing w:before="80" w:after="100"/>
      </w:pPr>
      <w:r w:rsidRPr="73130763">
        <w:t>This report has been prepared in response to an urgent internal communication from Maria Sanchez, Supply Chain Coordinator, addressed to Sarah Nakamura on December 5, 2024. The communication identifies multiple critical issues within the company's supply chain that are directly threatening FDA regulatory compliance and operational continuity.</w:t>
      </w:r>
    </w:p>
    <w:p w:rsidR="00004D3E" w:rsidRDefault="004B60FD" w14:paraId="3E2BB587" w14:textId="77777777">
      <w:pPr>
        <w:spacing w:before="80" w:after="100"/>
      </w:pPr>
      <w:r>
        <w:t>The purpose of this document is to provide a structured analysis of the issues raised, outline their business impact, and prescribe clear, prioritized action steps for immediate resolution. The findings are intended to support cross-functional decision-making across Procurement, Quality Assurance, Regulatory Affairs, and Supply Chain Management.</w:t>
      </w:r>
    </w:p>
    <w:p w:rsidR="00004D3E" w:rsidRDefault="73130763" w14:paraId="0BCA9378" w14:textId="77777777">
      <w:pPr>
        <w:spacing w:before="80" w:after="100"/>
      </w:pPr>
      <w:r w:rsidRPr="73130763">
        <w:t>The situation is time-sensitive. Failure to act swiftly risks production shutdowns, regulatory penalties, and significant reputational harm. An emergency cross-functional meeting is recommended as the first and most immediate response.</w:t>
      </w:r>
    </w:p>
    <w:p w:rsidR="00004D3E" w:rsidRDefault="00004D3E" w14:paraId="672A6659" w14:textId="77777777">
      <w:pPr>
        <w:spacing w:before="60" w:after="60"/>
      </w:pPr>
    </w:p>
    <w:p w:rsidR="00004D3E" w:rsidRDefault="004B60FD" w14:paraId="29FA6731" w14:textId="77777777">
      <w:pPr>
        <w:pStyle w:val="Heading1"/>
      </w:pPr>
      <w:r>
        <w:t>2. Outline of Business Problem</w:t>
      </w:r>
    </w:p>
    <w:p w:rsidR="00004D3E" w:rsidRDefault="004B60FD" w14:paraId="7FAF58EF" w14:textId="77777777">
      <w:pPr>
        <w:spacing w:before="80" w:after="100"/>
      </w:pPr>
      <w:r>
        <w:t>Three key supply chain components have been identified as posing critical risk to FDA compliance. The issues are interconnected and are producing a cascading effect across the entire production process.</w:t>
      </w:r>
    </w:p>
    <w:p w:rsidR="00004D3E" w:rsidRDefault="00004D3E" w14:paraId="0A37501D" w14:textId="77777777">
      <w:pPr>
        <w:spacing w:before="60" w:after="60"/>
      </w:pPr>
    </w:p>
    <w:p w:rsidR="00004D3E" w:rsidRDefault="004B60FD" w14:paraId="3813A4E5" w14:textId="77777777">
      <w:pPr>
        <w:pStyle w:val="Heading2"/>
      </w:pPr>
      <w:r>
        <w:t>Issue 1 — Component BIND567: Quality Control Failures &amp; Instability</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004D3E" w:rsidTr="73130763" w14:paraId="64DB8FDB"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60" w:type="dxa"/>
              <w:bottom w:w="80" w:type="dxa"/>
              <w:right w:w="160" w:type="dxa"/>
            </w:tcMar>
          </w:tcPr>
          <w:p w:rsidR="00004D3E" w:rsidRDefault="73130763" w14:paraId="18089E2F" w14:textId="77777777">
            <w:pPr>
              <w:keepNext/>
            </w:pPr>
            <w:r w:rsidRPr="73130763">
              <w:rPr>
                <w:b/>
                <w:bCs/>
                <w:color w:val="1F3864"/>
                <w:sz w:val="20"/>
                <w:szCs w:val="20"/>
              </w:rPr>
              <w:t>Component</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60" w:type="dxa"/>
              <w:bottom w:w="80" w:type="dxa"/>
              <w:right w:w="160" w:type="dxa"/>
            </w:tcMar>
          </w:tcPr>
          <w:p w:rsidR="00004D3E" w:rsidRDefault="004B60FD" w14:paraId="24ED8793" w14:textId="77777777">
            <w:pPr>
              <w:keepNext/>
            </w:pPr>
            <w:r>
              <w:rPr>
                <w:color w:val="000000"/>
                <w:sz w:val="20"/>
                <w:szCs w:val="20"/>
              </w:rPr>
              <w:t>BIND567</w:t>
            </w:r>
          </w:p>
        </w:tc>
      </w:tr>
      <w:tr w:rsidR="00004D3E" w:rsidTr="73130763" w14:paraId="62F6C47C"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60" w:type="dxa"/>
              <w:bottom w:w="80" w:type="dxa"/>
              <w:right w:w="160" w:type="dxa"/>
            </w:tcMar>
          </w:tcPr>
          <w:p w:rsidR="00004D3E" w:rsidRDefault="004B60FD" w14:paraId="3622BDEE" w14:textId="77777777">
            <w:pPr>
              <w:keepNext/>
            </w:pPr>
            <w:r>
              <w:rPr>
                <w:b/>
                <w:bCs/>
                <w:color w:val="1F3864"/>
                <w:sz w:val="20"/>
                <w:szCs w:val="20"/>
              </w:rPr>
              <w:t>Risk Level</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60" w:type="dxa"/>
              <w:bottom w:w="80" w:type="dxa"/>
              <w:right w:w="160" w:type="dxa"/>
            </w:tcMar>
          </w:tcPr>
          <w:p w:rsidR="00004D3E" w:rsidRDefault="004B60FD" w14:paraId="5FFB6BAB" w14:textId="77777777">
            <w:pPr>
              <w:keepNext/>
            </w:pPr>
            <w:r>
              <w:rPr>
                <w:color w:val="C00000"/>
                <w:sz w:val="20"/>
                <w:szCs w:val="20"/>
              </w:rPr>
              <w:t>CRITICAL — Immediate production halt risk</w:t>
            </w:r>
          </w:p>
        </w:tc>
      </w:tr>
      <w:tr w:rsidR="00004D3E" w:rsidTr="73130763" w14:paraId="5CED2F7B"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60" w:type="dxa"/>
              <w:bottom w:w="80" w:type="dxa"/>
              <w:right w:w="160" w:type="dxa"/>
            </w:tcMar>
          </w:tcPr>
          <w:p w:rsidR="00004D3E" w:rsidRDefault="004B60FD" w14:paraId="52F6B358" w14:textId="77777777">
            <w:pPr>
              <w:keepNext/>
            </w:pPr>
            <w:r>
              <w:rPr>
                <w:b/>
                <w:bCs/>
                <w:color w:val="1F3864"/>
                <w:sz w:val="20"/>
                <w:szCs w:val="20"/>
              </w:rPr>
              <w:t>Issue Type</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60" w:type="dxa"/>
              <w:bottom w:w="80" w:type="dxa"/>
              <w:right w:w="160" w:type="dxa"/>
            </w:tcMar>
          </w:tcPr>
          <w:p w:rsidR="00004D3E" w:rsidRDefault="004B60FD" w14:paraId="497B2C9B" w14:textId="77777777">
            <w:pPr>
              <w:keepNext/>
            </w:pPr>
            <w:r>
              <w:rPr>
                <w:color w:val="000000"/>
                <w:sz w:val="20"/>
                <w:szCs w:val="20"/>
              </w:rPr>
              <w:t>Quality / Regulatory</w:t>
            </w:r>
          </w:p>
        </w:tc>
      </w:tr>
      <w:tr w:rsidR="00004D3E" w:rsidTr="73130763" w14:paraId="25F7F46E"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60" w:type="dxa"/>
              <w:bottom w:w="80" w:type="dxa"/>
              <w:right w:w="160" w:type="dxa"/>
            </w:tcMar>
          </w:tcPr>
          <w:p w:rsidR="00004D3E" w:rsidRDefault="004B60FD" w14:paraId="73EEB8A0" w14:textId="77777777">
            <w:r>
              <w:rPr>
                <w:b/>
                <w:bCs/>
                <w:color w:val="1F3864"/>
                <w:sz w:val="20"/>
                <w:szCs w:val="20"/>
              </w:rPr>
              <w:t>Key Findings</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60" w:type="dxa"/>
              <w:bottom w:w="80" w:type="dxa"/>
              <w:right w:w="160" w:type="dxa"/>
            </w:tcMar>
          </w:tcPr>
          <w:p w:rsidR="00004D3E" w:rsidRDefault="004B60FD" w14:paraId="5DA78D53" w14:textId="77777777">
            <w:r>
              <w:rPr>
                <w:color w:val="000000"/>
                <w:sz w:val="20"/>
                <w:szCs w:val="20"/>
              </w:rPr>
              <w:t>Multiple QC failures; inconsistent molecular composition; stability defects affecting product efficacy</w:t>
            </w:r>
          </w:p>
        </w:tc>
      </w:tr>
    </w:tbl>
    <w:p w:rsidR="00004D3E" w:rsidRDefault="00004D3E" w14:paraId="5DAB6C7B" w14:textId="77777777">
      <w:pPr>
        <w:spacing w:before="60" w:after="60"/>
      </w:pPr>
    </w:p>
    <w:p w:rsidR="00004D3E" w:rsidRDefault="004B60FD" w14:paraId="1041DBAE" w14:textId="77777777">
      <w:pPr>
        <w:spacing w:before="80" w:after="100"/>
      </w:pPr>
      <w:r>
        <w:t>Recent batches of BIND567 have shown alarming molecular inconsistencies, causing unpredictable reactions during manufacturing and a high rate of defective products. These deviations threaten product efficacy and place the organization in direct violation of FDA standards. The instability of BIND567 is severe enough to halt the entire production line if not resolved promptly.</w:t>
      </w:r>
    </w:p>
    <w:p w:rsidR="00004D3E" w:rsidRDefault="00004D3E" w14:paraId="02EB378F" w14:textId="77777777">
      <w:pPr>
        <w:spacing w:before="60" w:after="60"/>
      </w:pPr>
    </w:p>
    <w:p w:rsidR="00004D3E" w:rsidRDefault="004B60FD" w14:paraId="376BA1AB" w14:textId="77777777">
      <w:pPr>
        <w:pStyle w:val="Heading2"/>
      </w:pPr>
      <w:r>
        <w:t>Issue 2 — Component COMP042: Traceability &amp; Documentation Breakdown</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004D3E" w:rsidTr="73130763" w14:paraId="6D208BEE"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60" w:type="dxa"/>
              <w:bottom w:w="80" w:type="dxa"/>
              <w:right w:w="160" w:type="dxa"/>
            </w:tcMar>
          </w:tcPr>
          <w:p w:rsidR="00004D3E" w:rsidRDefault="73130763" w14:paraId="668B3091" w14:textId="77777777">
            <w:pPr>
              <w:keepNext/>
            </w:pPr>
            <w:r w:rsidRPr="73130763">
              <w:rPr>
                <w:b/>
                <w:bCs/>
                <w:color w:val="1F3864"/>
                <w:sz w:val="20"/>
                <w:szCs w:val="20"/>
              </w:rPr>
              <w:t>Component</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60" w:type="dxa"/>
              <w:bottom w:w="80" w:type="dxa"/>
              <w:right w:w="160" w:type="dxa"/>
            </w:tcMar>
          </w:tcPr>
          <w:p w:rsidR="00004D3E" w:rsidRDefault="004B60FD" w14:paraId="3049AF48" w14:textId="77777777">
            <w:pPr>
              <w:keepNext/>
            </w:pPr>
            <w:r>
              <w:rPr>
                <w:color w:val="000000"/>
                <w:sz w:val="20"/>
                <w:szCs w:val="20"/>
              </w:rPr>
              <w:t>COMP042</w:t>
            </w:r>
          </w:p>
        </w:tc>
      </w:tr>
      <w:tr w:rsidR="00004D3E" w:rsidTr="73130763" w14:paraId="673D1D6B"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60" w:type="dxa"/>
              <w:bottom w:w="80" w:type="dxa"/>
              <w:right w:w="160" w:type="dxa"/>
            </w:tcMar>
          </w:tcPr>
          <w:p w:rsidR="00004D3E" w:rsidRDefault="004B60FD" w14:paraId="0151E935" w14:textId="77777777">
            <w:pPr>
              <w:keepNext/>
            </w:pPr>
            <w:r>
              <w:rPr>
                <w:b/>
                <w:bCs/>
                <w:color w:val="1F3864"/>
                <w:sz w:val="20"/>
                <w:szCs w:val="20"/>
              </w:rPr>
              <w:t>Risk Level</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60" w:type="dxa"/>
              <w:bottom w:w="80" w:type="dxa"/>
              <w:right w:w="160" w:type="dxa"/>
            </w:tcMar>
          </w:tcPr>
          <w:p w:rsidR="00004D3E" w:rsidRDefault="004B60FD" w14:paraId="6F3BBB3A" w14:textId="77777777">
            <w:pPr>
              <w:keepNext/>
            </w:pPr>
            <w:r>
              <w:rPr>
                <w:color w:val="C00000"/>
                <w:sz w:val="20"/>
                <w:szCs w:val="20"/>
              </w:rPr>
              <w:t>CRITICAL — Contamination &amp; compliance breach risk</w:t>
            </w:r>
          </w:p>
        </w:tc>
      </w:tr>
      <w:tr w:rsidR="00004D3E" w:rsidTr="73130763" w14:paraId="650C4263"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60" w:type="dxa"/>
              <w:bottom w:w="80" w:type="dxa"/>
              <w:right w:w="160" w:type="dxa"/>
            </w:tcMar>
          </w:tcPr>
          <w:p w:rsidR="00004D3E" w:rsidRDefault="004B60FD" w14:paraId="503662E0" w14:textId="77777777">
            <w:pPr>
              <w:keepNext/>
            </w:pPr>
            <w:r>
              <w:rPr>
                <w:b/>
                <w:bCs/>
                <w:color w:val="1F3864"/>
                <w:sz w:val="20"/>
                <w:szCs w:val="20"/>
              </w:rPr>
              <w:t>Issue Type</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60" w:type="dxa"/>
              <w:bottom w:w="80" w:type="dxa"/>
              <w:right w:w="160" w:type="dxa"/>
            </w:tcMar>
          </w:tcPr>
          <w:p w:rsidR="00004D3E" w:rsidRDefault="004B60FD" w14:paraId="7B7BA32C" w14:textId="77777777">
            <w:pPr>
              <w:keepNext/>
            </w:pPr>
            <w:r>
              <w:rPr>
                <w:color w:val="000000"/>
                <w:sz w:val="20"/>
                <w:szCs w:val="20"/>
              </w:rPr>
              <w:t>Logistical / Documentation / Regulatory</w:t>
            </w:r>
          </w:p>
        </w:tc>
      </w:tr>
      <w:tr w:rsidR="00004D3E" w:rsidTr="73130763" w14:paraId="1ECC18FF"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60" w:type="dxa"/>
              <w:bottom w:w="80" w:type="dxa"/>
              <w:right w:w="160" w:type="dxa"/>
            </w:tcMar>
          </w:tcPr>
          <w:p w:rsidR="00004D3E" w:rsidRDefault="004B60FD" w14:paraId="6C9A71B2" w14:textId="77777777">
            <w:r>
              <w:rPr>
                <w:b/>
                <w:bCs/>
                <w:color w:val="1F3864"/>
                <w:sz w:val="20"/>
                <w:szCs w:val="20"/>
              </w:rPr>
              <w:t>Key Findings</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60" w:type="dxa"/>
              <w:bottom w:w="80" w:type="dxa"/>
              <w:right w:w="160" w:type="dxa"/>
            </w:tcMar>
          </w:tcPr>
          <w:p w:rsidR="00004D3E" w:rsidRDefault="73130763" w14:paraId="0E8BD04C" w14:textId="77777777">
            <w:r w:rsidRPr="73130763">
              <w:rPr>
                <w:color w:val="000000"/>
                <w:sz w:val="20"/>
                <w:szCs w:val="20"/>
              </w:rPr>
              <w:t>Frequent delays; incorrect lot numbers; absence of traceability documentation; unverifiable component origin</w:t>
            </w:r>
          </w:p>
        </w:tc>
      </w:tr>
    </w:tbl>
    <w:p w:rsidR="00004D3E" w:rsidRDefault="00004D3E" w14:paraId="6A05A809" w14:textId="77777777">
      <w:pPr>
        <w:spacing w:before="60" w:after="60"/>
      </w:pPr>
    </w:p>
    <w:p w:rsidR="00004D3E" w:rsidRDefault="73130763" w14:paraId="26F3EFB8" w14:textId="77777777">
      <w:pPr>
        <w:spacing w:before="80" w:after="100"/>
      </w:pPr>
      <w:r w:rsidRPr="73130763">
        <w:t>The supply chain for COMP042 is in serious disarray. Persistent shipping delays, incorrect lot number assignments, and a complete lack of traceability documentation make it impossible to verify the origin or handling of this component. This constitutes a significant breach of FDA regulations, exposing the organization to potential contamination risk, production downtime, and substantial regulatory fines. The supplier's inconsistency is creating bottlenecks throughout the broader supply chain.</w:t>
      </w:r>
    </w:p>
    <w:p w:rsidR="00004D3E" w:rsidRDefault="00004D3E" w14:paraId="5A39BBE3" w14:textId="77777777">
      <w:pPr>
        <w:spacing w:before="60" w:after="60"/>
      </w:pPr>
    </w:p>
    <w:p w:rsidR="00004D3E" w:rsidRDefault="004B60FD" w14:paraId="14255BA7" w14:textId="77777777">
      <w:pPr>
        <w:pStyle w:val="Heading2"/>
      </w:pPr>
      <w:r>
        <w:t>Issue 3 — Component COMP043: GMP Non-Compliance &amp; Erratic Supply</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004D3E" w:rsidTr="73130763" w14:paraId="52E5F4AE"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60" w:type="dxa"/>
              <w:bottom w:w="80" w:type="dxa"/>
              <w:right w:w="160" w:type="dxa"/>
            </w:tcMar>
          </w:tcPr>
          <w:p w:rsidR="00004D3E" w:rsidRDefault="73130763" w14:paraId="221DC2D4" w14:textId="77777777">
            <w:pPr>
              <w:keepNext/>
            </w:pPr>
            <w:r w:rsidRPr="73130763">
              <w:rPr>
                <w:b/>
                <w:bCs/>
                <w:color w:val="1F3864"/>
                <w:sz w:val="20"/>
                <w:szCs w:val="20"/>
              </w:rPr>
              <w:t>Component</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60" w:type="dxa"/>
              <w:bottom w:w="80" w:type="dxa"/>
              <w:right w:w="160" w:type="dxa"/>
            </w:tcMar>
          </w:tcPr>
          <w:p w:rsidR="00004D3E" w:rsidRDefault="004B60FD" w14:paraId="38C32E7A" w14:textId="77777777">
            <w:pPr>
              <w:keepNext/>
            </w:pPr>
            <w:r>
              <w:rPr>
                <w:color w:val="000000"/>
                <w:sz w:val="20"/>
                <w:szCs w:val="20"/>
              </w:rPr>
              <w:t>COMP043</w:t>
            </w:r>
          </w:p>
        </w:tc>
      </w:tr>
      <w:tr w:rsidR="00004D3E" w:rsidTr="73130763" w14:paraId="5119FBC3"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60" w:type="dxa"/>
              <w:bottom w:w="80" w:type="dxa"/>
              <w:right w:w="160" w:type="dxa"/>
            </w:tcMar>
          </w:tcPr>
          <w:p w:rsidR="00004D3E" w:rsidRDefault="004B60FD" w14:paraId="6F4A1D89" w14:textId="77777777">
            <w:pPr>
              <w:keepNext/>
            </w:pPr>
            <w:r>
              <w:rPr>
                <w:b/>
                <w:bCs/>
                <w:color w:val="1F3864"/>
                <w:sz w:val="20"/>
                <w:szCs w:val="20"/>
              </w:rPr>
              <w:t>Risk Level</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60" w:type="dxa"/>
              <w:bottom w:w="80" w:type="dxa"/>
              <w:right w:w="160" w:type="dxa"/>
            </w:tcMar>
          </w:tcPr>
          <w:p w:rsidR="00004D3E" w:rsidRDefault="004B60FD" w14:paraId="4AEA3193" w14:textId="77777777">
            <w:pPr>
              <w:keepNext/>
            </w:pPr>
            <w:r>
              <w:rPr>
                <w:color w:val="C55A11"/>
                <w:sz w:val="20"/>
                <w:szCs w:val="20"/>
              </w:rPr>
              <w:t>HIGH — GMP breach; stockout &amp; shutdown risk</w:t>
            </w:r>
          </w:p>
        </w:tc>
      </w:tr>
      <w:tr w:rsidR="00004D3E" w:rsidTr="73130763" w14:paraId="628FE138"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60" w:type="dxa"/>
              <w:bottom w:w="80" w:type="dxa"/>
              <w:right w:w="160" w:type="dxa"/>
            </w:tcMar>
          </w:tcPr>
          <w:p w:rsidR="00004D3E" w:rsidRDefault="004B60FD" w14:paraId="1038F961" w14:textId="77777777">
            <w:pPr>
              <w:keepNext/>
            </w:pPr>
            <w:r>
              <w:rPr>
                <w:b/>
                <w:bCs/>
                <w:color w:val="1F3864"/>
                <w:sz w:val="20"/>
                <w:szCs w:val="20"/>
              </w:rPr>
              <w:t>Issue Type</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60" w:type="dxa"/>
              <w:bottom w:w="80" w:type="dxa"/>
              <w:right w:w="160" w:type="dxa"/>
            </w:tcMar>
          </w:tcPr>
          <w:p w:rsidR="00004D3E" w:rsidRDefault="004B60FD" w14:paraId="1DED122C" w14:textId="77777777">
            <w:pPr>
              <w:keepNext/>
            </w:pPr>
            <w:r>
              <w:rPr>
                <w:color w:val="000000"/>
                <w:sz w:val="20"/>
                <w:szCs w:val="20"/>
              </w:rPr>
              <w:t>Supplier Compliance / Inventory / Regulatory</w:t>
            </w:r>
          </w:p>
        </w:tc>
      </w:tr>
      <w:tr w:rsidR="00004D3E" w:rsidTr="73130763" w14:paraId="0192CC2C"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60" w:type="dxa"/>
              <w:bottom w:w="80" w:type="dxa"/>
              <w:right w:w="160" w:type="dxa"/>
            </w:tcMar>
          </w:tcPr>
          <w:p w:rsidR="00004D3E" w:rsidRDefault="004B60FD" w14:paraId="307908F4" w14:textId="77777777">
            <w:r>
              <w:rPr>
                <w:b/>
                <w:bCs/>
                <w:color w:val="1F3864"/>
                <w:sz w:val="20"/>
                <w:szCs w:val="20"/>
              </w:rPr>
              <w:t>Key Findings</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60" w:type="dxa"/>
              <w:bottom w:w="80" w:type="dxa"/>
              <w:right w:w="160" w:type="dxa"/>
            </w:tcMar>
          </w:tcPr>
          <w:p w:rsidR="00004D3E" w:rsidRDefault="004B60FD" w14:paraId="21D98E95" w14:textId="77777777">
            <w:r>
              <w:rPr>
                <w:color w:val="000000"/>
                <w:sz w:val="20"/>
                <w:szCs w:val="20"/>
              </w:rPr>
              <w:t>Supplier failing Good Manufacturing Practices (GMP); batches below purity standards; erratic delivery schedules; frequent stockouts</w:t>
            </w:r>
          </w:p>
        </w:tc>
      </w:tr>
    </w:tbl>
    <w:p w:rsidR="00004D3E" w:rsidRDefault="00004D3E" w14:paraId="41C8F396" w14:textId="77777777">
      <w:pPr>
        <w:spacing w:before="60" w:after="60"/>
      </w:pPr>
    </w:p>
    <w:p w:rsidR="00004D3E" w:rsidRDefault="73130763" w14:paraId="619F7683" w14:textId="77777777">
      <w:pPr>
        <w:spacing w:before="80" w:after="100"/>
      </w:pPr>
      <w:r w:rsidRPr="73130763">
        <w:t>The current supplier for COMP043 is failing to meet Good Manufacturing Practices (GMP), resulting in batches that fall below required purity standards — a direct threat to FDA compliance. Erratic delivery schedules have caused repeated stockouts, forcing the team to consider alternative sourcing arrangements, which introduces additional vendor risk. Without a stable, compliant supply of COMP043, the organization cannot consistently meet its regulatory obligations.</w:t>
      </w:r>
    </w:p>
    <w:p w:rsidR="00004D3E" w:rsidRDefault="00004D3E" w14:paraId="72A3D3EC" w14:textId="77777777">
      <w:pPr>
        <w:spacing w:before="60" w:after="60"/>
      </w:pPr>
    </w:p>
    <w:p w:rsidR="00004D3E" w:rsidRDefault="004B60FD" w14:paraId="19268A13" w14:textId="77777777">
      <w:pPr>
        <w:pStyle w:val="Heading2"/>
      </w:pPr>
      <w:r>
        <w:t>Cascading Business Impact</w:t>
      </w:r>
    </w:p>
    <w:p w:rsidR="00004D3E" w:rsidRDefault="004B60FD" w14:paraId="3D168058" w14:textId="77777777">
      <w:pPr>
        <w:spacing w:before="80" w:after="100"/>
      </w:pPr>
      <w:r>
        <w:t>The three issues above are not isolated; they are generating a compounding effect across operations:</w:t>
      </w:r>
    </w:p>
    <w:p w:rsidR="00004D3E" w:rsidRDefault="00004D3E" w14:paraId="0D0B940D" w14:textId="77777777">
      <w:pPr>
        <w:spacing w:before="60" w:after="60"/>
      </w:pPr>
    </w:p>
    <w:p w:rsidR="00004D3E" w:rsidRDefault="004B60FD" w14:paraId="4F02C4EE" w14:textId="77777777">
      <w:pPr>
        <w:pStyle w:val="ListParagraph"/>
        <w:numPr>
          <w:ilvl w:val="0"/>
          <w:numId w:val="2"/>
        </w:numPr>
        <w:spacing w:before="60" w:after="60"/>
      </w:pPr>
      <w:r>
        <w:t>Quality failures from BIND567 are increasing product rejection rates and straining production capacity.</w:t>
      </w:r>
    </w:p>
    <w:p w:rsidR="00004D3E" w:rsidRDefault="004B60FD" w14:paraId="01E3F095" w14:textId="77777777">
      <w:pPr>
        <w:pStyle w:val="ListParagraph"/>
        <w:numPr>
          <w:ilvl w:val="0"/>
          <w:numId w:val="2"/>
        </w:numPr>
        <w:spacing w:before="60" w:after="60"/>
      </w:pPr>
      <w:r>
        <w:t>Documentation failures with COMP042 create unacceptable contamination and compliance exposure.</w:t>
      </w:r>
    </w:p>
    <w:p w:rsidR="00004D3E" w:rsidRDefault="004B60FD" w14:paraId="481F6568" w14:textId="77777777">
      <w:pPr>
        <w:pStyle w:val="ListParagraph"/>
        <w:numPr>
          <w:ilvl w:val="0"/>
          <w:numId w:val="2"/>
        </w:numPr>
        <w:spacing w:before="60" w:after="60"/>
      </w:pPr>
      <w:r>
        <w:t>GMP violations and stockouts from COMP043 threaten inventory continuity and regulatory standing.</w:t>
      </w:r>
    </w:p>
    <w:p w:rsidR="00004D3E" w:rsidRDefault="004B60FD" w14:paraId="730D490D" w14:textId="77777777">
      <w:pPr>
        <w:pStyle w:val="ListParagraph"/>
        <w:numPr>
          <w:ilvl w:val="0"/>
          <w:numId w:val="2"/>
        </w:numPr>
        <w:spacing w:before="60" w:after="60"/>
      </w:pPr>
      <w:r>
        <w:t>Collectively, these issues risk production shutdown, FDA enforcement action, financial penalties, and reputational damage.</w:t>
      </w:r>
    </w:p>
    <w:p w:rsidR="00004D3E" w:rsidRDefault="00004D3E" w14:paraId="0E27B00A" w14:textId="77777777">
      <w:pPr>
        <w:spacing w:before="60" w:after="60"/>
      </w:pPr>
    </w:p>
    <w:p w:rsidR="00004D3E" w:rsidRDefault="004B60FD" w14:paraId="02751A54" w14:textId="77777777">
      <w:pPr>
        <w:pStyle w:val="Heading1"/>
      </w:pPr>
      <w:r>
        <w:t>3. Action Items</w:t>
      </w:r>
    </w:p>
    <w:p w:rsidR="00004D3E" w:rsidRDefault="004B60FD" w14:paraId="4AEDB335" w14:textId="77777777">
      <w:pPr>
        <w:spacing w:before="80" w:after="100"/>
      </w:pPr>
      <w:r>
        <w:t>The following five action items are prioritized for immediate implementation. Ownership and timelines should be confirmed at the emergency cross-functional meeting.</w:t>
      </w:r>
    </w:p>
    <w:p w:rsidR="00004D3E" w:rsidRDefault="00004D3E" w14:paraId="60061E4C" w14:textId="77777777">
      <w:pPr>
        <w:spacing w:before="60" w:after="60"/>
      </w:pP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3200"/>
        <w:gridCol w:w="2400"/>
        <w:gridCol w:w="1600"/>
        <w:gridCol w:w="1660"/>
      </w:tblGrid>
      <w:tr w:rsidR="00004D3E" w:rsidTr="73130763" w14:paraId="1BB666D0"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004D3E" w:rsidRDefault="004B60FD" w14:paraId="5AFC7B24" w14:textId="77777777">
            <w:pPr>
              <w:keepNext/>
            </w:pPr>
            <w:r>
              <w:rPr>
                <w:b/>
                <w:bCs/>
                <w:color w:val="FFFFFF"/>
                <w:sz w:val="20"/>
                <w:szCs w:val="20"/>
              </w:rPr>
              <w:t>#</w:t>
            </w:r>
          </w:p>
        </w:tc>
        <w:tc>
          <w:tcPr>
            <w:tcW w:w="320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004D3E" w:rsidRDefault="004B60FD" w14:paraId="3668DC4A" w14:textId="77777777">
            <w:r>
              <w:rPr>
                <w:b/>
                <w:bCs/>
                <w:color w:val="FFFFFF"/>
                <w:sz w:val="20"/>
                <w:szCs w:val="20"/>
              </w:rPr>
              <w:t>Action Item</w:t>
            </w:r>
          </w:p>
        </w:tc>
        <w:tc>
          <w:tcPr>
            <w:tcW w:w="240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004D3E" w:rsidRDefault="004B60FD" w14:paraId="468A569D" w14:textId="77777777">
            <w:r>
              <w:rPr>
                <w:b/>
                <w:bCs/>
                <w:color w:val="FFFFFF"/>
                <w:sz w:val="20"/>
                <w:szCs w:val="20"/>
              </w:rPr>
              <w:t>Owner</w:t>
            </w:r>
          </w:p>
        </w:tc>
        <w:tc>
          <w:tcPr>
            <w:tcW w:w="160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004D3E" w:rsidRDefault="004B60FD" w14:paraId="66CAD181" w14:textId="77777777">
            <w:r>
              <w:rPr>
                <w:b/>
                <w:bCs/>
                <w:color w:val="FFFFFF"/>
                <w:sz w:val="20"/>
                <w:szCs w:val="20"/>
              </w:rPr>
              <w:t>Priority</w:t>
            </w:r>
          </w:p>
        </w:tc>
        <w:tc>
          <w:tcPr>
            <w:tcW w:w="166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004D3E" w:rsidRDefault="004B60FD" w14:paraId="553F2FC8" w14:textId="77777777">
            <w:r>
              <w:rPr>
                <w:b/>
                <w:bCs/>
                <w:color w:val="FFFFFF"/>
                <w:sz w:val="20"/>
                <w:szCs w:val="20"/>
              </w:rPr>
              <w:t>Timeline</w:t>
            </w:r>
          </w:p>
        </w:tc>
      </w:tr>
      <w:tr w:rsidR="00004D3E" w:rsidTr="73130763" w14:paraId="1E2B55AB"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C00000"/>
            <w:tcMar>
              <w:top w:w="80" w:type="dxa"/>
              <w:left w:w="120" w:type="dxa"/>
              <w:bottom w:w="80" w:type="dxa"/>
              <w:right w:w="120" w:type="dxa"/>
            </w:tcMar>
          </w:tcPr>
          <w:p w:rsidR="00004D3E" w:rsidRDefault="004B60FD" w14:paraId="649841BE" w14:textId="77777777">
            <w:pPr>
              <w:keepNext/>
            </w:pPr>
            <w:r>
              <w:rPr>
                <w:b/>
                <w:bCs/>
                <w:color w:val="FFFFFF"/>
                <w:sz w:val="20"/>
                <w:szCs w:val="20"/>
              </w:rPr>
              <w:t>1</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004D3E" w:rsidRDefault="004B60FD" w14:paraId="72497E8C" w14:textId="77777777">
            <w:pPr>
              <w:keepNext/>
            </w:pPr>
            <w:r>
              <w:rPr>
                <w:color w:val="000000"/>
                <w:sz w:val="20"/>
                <w:szCs w:val="20"/>
              </w:rPr>
              <w:t>Convene an emergency cross-functional meeting with Procurement, QA, Regulatory Affairs, and Supply Chain leadership</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004D3E" w:rsidRDefault="004B60FD" w14:paraId="13E124F3" w14:textId="77777777">
            <w:pPr>
              <w:keepNext/>
            </w:pPr>
            <w:r>
              <w:rPr>
                <w:color w:val="000000"/>
                <w:sz w:val="20"/>
                <w:szCs w:val="20"/>
              </w:rPr>
              <w:t>Sarah Nakamura / Leadership</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004D3E" w:rsidRDefault="004B60FD" w14:paraId="1CE43649" w14:textId="77777777">
            <w:pPr>
              <w:keepNext/>
            </w:pPr>
            <w:r>
              <w:rPr>
                <w:b/>
                <w:bCs/>
                <w:color w:val="C00000"/>
                <w:sz w:val="20"/>
                <w:szCs w:val="20"/>
              </w:rPr>
              <w:t>Critical</w:t>
            </w:r>
          </w:p>
        </w:tc>
        <w:tc>
          <w:tcPr>
            <w:tcW w:w="16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004D3E" w:rsidRDefault="004B60FD" w14:paraId="30BAC03F" w14:textId="77777777">
            <w:pPr>
              <w:keepNext/>
            </w:pPr>
            <w:r>
              <w:rPr>
                <w:color w:val="000000"/>
                <w:sz w:val="20"/>
                <w:szCs w:val="20"/>
              </w:rPr>
              <w:t>Within 24 hours</w:t>
            </w:r>
          </w:p>
        </w:tc>
      </w:tr>
      <w:tr w:rsidR="00004D3E" w:rsidTr="73130763" w14:paraId="53C3629A"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C00000"/>
            <w:tcMar>
              <w:top w:w="80" w:type="dxa"/>
              <w:left w:w="120" w:type="dxa"/>
              <w:bottom w:w="80" w:type="dxa"/>
              <w:right w:w="120" w:type="dxa"/>
            </w:tcMar>
          </w:tcPr>
          <w:p w:rsidR="00004D3E" w:rsidRDefault="004B60FD" w14:paraId="18F999B5" w14:textId="77777777">
            <w:pPr>
              <w:keepNext/>
            </w:pPr>
            <w:r>
              <w:rPr>
                <w:b/>
                <w:bCs/>
                <w:color w:val="FFFFFF"/>
                <w:sz w:val="20"/>
                <w:szCs w:val="20"/>
              </w:rPr>
              <w:t>2</w:t>
            </w:r>
          </w:p>
        </w:tc>
        <w:tc>
          <w:tcPr>
            <w:tcW w:w="3200" w:type="dxa"/>
            <w:tcBorders>
              <w:top w:val="single" w:color="CCCCCC" w:sz="1" w:space="0"/>
              <w:left w:val="single" w:color="CCCCCC" w:sz="1" w:space="0"/>
              <w:bottom w:val="single" w:color="CCCCCC" w:sz="1" w:space="0"/>
              <w:right w:val="single" w:color="CCCCCC" w:sz="1" w:space="0"/>
            </w:tcBorders>
            <w:shd w:val="clear" w:color="auto" w:fill="F0F4FA"/>
            <w:tcMar>
              <w:top w:w="80" w:type="dxa"/>
              <w:left w:w="120" w:type="dxa"/>
              <w:bottom w:w="80" w:type="dxa"/>
              <w:right w:w="120" w:type="dxa"/>
            </w:tcMar>
          </w:tcPr>
          <w:p w:rsidR="00004D3E" w:rsidRDefault="73130763" w14:paraId="15DAD067" w14:textId="77777777">
            <w:pPr>
              <w:keepNext/>
            </w:pPr>
            <w:r w:rsidRPr="73130763">
              <w:rPr>
                <w:color w:val="000000"/>
                <w:sz w:val="20"/>
                <w:szCs w:val="20"/>
              </w:rPr>
              <w:t>Quarantine current BIND567 batches and initiate a full molecular stability re-evaluation with Quality Assurance</w:t>
            </w:r>
          </w:p>
        </w:tc>
        <w:tc>
          <w:tcPr>
            <w:tcW w:w="2400" w:type="dxa"/>
            <w:tcBorders>
              <w:top w:val="single" w:color="CCCCCC" w:sz="1" w:space="0"/>
              <w:left w:val="single" w:color="CCCCCC" w:sz="1" w:space="0"/>
              <w:bottom w:val="single" w:color="CCCCCC" w:sz="1" w:space="0"/>
              <w:right w:val="single" w:color="CCCCCC" w:sz="1" w:space="0"/>
            </w:tcBorders>
            <w:shd w:val="clear" w:color="auto" w:fill="F0F4FA"/>
            <w:tcMar>
              <w:top w:w="80" w:type="dxa"/>
              <w:left w:w="120" w:type="dxa"/>
              <w:bottom w:w="80" w:type="dxa"/>
              <w:right w:w="120" w:type="dxa"/>
            </w:tcMar>
          </w:tcPr>
          <w:p w:rsidR="00004D3E" w:rsidRDefault="004B60FD" w14:paraId="427683AF" w14:textId="77777777">
            <w:pPr>
              <w:keepNext/>
            </w:pPr>
            <w:r>
              <w:rPr>
                <w:color w:val="000000"/>
                <w:sz w:val="20"/>
                <w:szCs w:val="20"/>
              </w:rPr>
              <w:t>Quality Assurance</w:t>
            </w:r>
          </w:p>
        </w:tc>
        <w:tc>
          <w:tcPr>
            <w:tcW w:w="1600" w:type="dxa"/>
            <w:tcBorders>
              <w:top w:val="single" w:color="CCCCCC" w:sz="1" w:space="0"/>
              <w:left w:val="single" w:color="CCCCCC" w:sz="1" w:space="0"/>
              <w:bottom w:val="single" w:color="CCCCCC" w:sz="1" w:space="0"/>
              <w:right w:val="single" w:color="CCCCCC" w:sz="1" w:space="0"/>
            </w:tcBorders>
            <w:shd w:val="clear" w:color="auto" w:fill="F0F4FA"/>
            <w:tcMar>
              <w:top w:w="80" w:type="dxa"/>
              <w:left w:w="120" w:type="dxa"/>
              <w:bottom w:w="80" w:type="dxa"/>
              <w:right w:w="120" w:type="dxa"/>
            </w:tcMar>
          </w:tcPr>
          <w:p w:rsidR="00004D3E" w:rsidRDefault="004B60FD" w14:paraId="48E9AF7A" w14:textId="77777777">
            <w:pPr>
              <w:keepNext/>
            </w:pPr>
            <w:r>
              <w:rPr>
                <w:b/>
                <w:bCs/>
                <w:color w:val="C00000"/>
                <w:sz w:val="20"/>
                <w:szCs w:val="20"/>
              </w:rPr>
              <w:t>Critical</w:t>
            </w:r>
          </w:p>
        </w:tc>
        <w:tc>
          <w:tcPr>
            <w:tcW w:w="1660" w:type="dxa"/>
            <w:tcBorders>
              <w:top w:val="single" w:color="CCCCCC" w:sz="1" w:space="0"/>
              <w:left w:val="single" w:color="CCCCCC" w:sz="1" w:space="0"/>
              <w:bottom w:val="single" w:color="CCCCCC" w:sz="1" w:space="0"/>
              <w:right w:val="single" w:color="CCCCCC" w:sz="1" w:space="0"/>
            </w:tcBorders>
            <w:shd w:val="clear" w:color="auto" w:fill="F0F4FA"/>
            <w:tcMar>
              <w:top w:w="80" w:type="dxa"/>
              <w:left w:w="120" w:type="dxa"/>
              <w:bottom w:w="80" w:type="dxa"/>
              <w:right w:w="120" w:type="dxa"/>
            </w:tcMar>
          </w:tcPr>
          <w:p w:rsidR="00004D3E" w:rsidRDefault="004B60FD" w14:paraId="7C2B475F" w14:textId="77777777">
            <w:pPr>
              <w:keepNext/>
            </w:pPr>
            <w:r>
              <w:rPr>
                <w:color w:val="000000"/>
                <w:sz w:val="20"/>
                <w:szCs w:val="20"/>
              </w:rPr>
              <w:t>Immediately</w:t>
            </w:r>
          </w:p>
        </w:tc>
      </w:tr>
      <w:tr w:rsidR="00004D3E" w:rsidTr="73130763" w14:paraId="3F38D524"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C00000"/>
            <w:tcMar>
              <w:top w:w="80" w:type="dxa"/>
              <w:left w:w="120" w:type="dxa"/>
              <w:bottom w:w="80" w:type="dxa"/>
              <w:right w:w="120" w:type="dxa"/>
            </w:tcMar>
          </w:tcPr>
          <w:p w:rsidR="00004D3E" w:rsidRDefault="004B60FD" w14:paraId="5FCD5EC4" w14:textId="77777777">
            <w:pPr>
              <w:keepNext/>
            </w:pPr>
            <w:r>
              <w:rPr>
                <w:b/>
                <w:bCs/>
                <w:color w:val="FFFFFF"/>
                <w:sz w:val="20"/>
                <w:szCs w:val="20"/>
              </w:rPr>
              <w:t>3</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004D3E" w:rsidRDefault="73130763" w14:paraId="0CA00861" w14:textId="77777777">
            <w:pPr>
              <w:keepNext/>
            </w:pPr>
            <w:r w:rsidRPr="73130763">
              <w:rPr>
                <w:color w:val="000000"/>
                <w:sz w:val="20"/>
                <w:szCs w:val="20"/>
              </w:rPr>
              <w:t>Establish complete traceability for COMP042 — verify lot numbers, component origin, and handling records; audit supplier documentation</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004D3E" w:rsidRDefault="004B60FD" w14:paraId="798A4E3A" w14:textId="77777777">
            <w:pPr>
              <w:keepNext/>
            </w:pPr>
            <w:r>
              <w:rPr>
                <w:color w:val="000000"/>
                <w:sz w:val="20"/>
                <w:szCs w:val="20"/>
              </w:rPr>
              <w:t>Procurement / Regulatory Affairs</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004D3E" w:rsidRDefault="004B60FD" w14:paraId="0706D0A6" w14:textId="77777777">
            <w:pPr>
              <w:keepNext/>
            </w:pPr>
            <w:r>
              <w:rPr>
                <w:b/>
                <w:bCs/>
                <w:color w:val="C00000"/>
                <w:sz w:val="20"/>
                <w:szCs w:val="20"/>
              </w:rPr>
              <w:t>Critical</w:t>
            </w:r>
          </w:p>
        </w:tc>
        <w:tc>
          <w:tcPr>
            <w:tcW w:w="16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004D3E" w:rsidRDefault="73130763" w14:paraId="5713B95B" w14:textId="77777777">
            <w:pPr>
              <w:keepNext/>
            </w:pPr>
            <w:r w:rsidRPr="73130763">
              <w:rPr>
                <w:color w:val="000000"/>
                <w:sz w:val="20"/>
                <w:szCs w:val="20"/>
              </w:rPr>
              <w:t>Within 48 hours</w:t>
            </w:r>
          </w:p>
        </w:tc>
      </w:tr>
      <w:tr w:rsidR="00004D3E" w:rsidTr="73130763" w14:paraId="1701454E"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C00000"/>
            <w:tcMar>
              <w:top w:w="80" w:type="dxa"/>
              <w:left w:w="120" w:type="dxa"/>
              <w:bottom w:w="80" w:type="dxa"/>
              <w:right w:w="120" w:type="dxa"/>
            </w:tcMar>
          </w:tcPr>
          <w:p w:rsidR="00004D3E" w:rsidRDefault="004B60FD" w14:paraId="2598DEE6" w14:textId="77777777">
            <w:pPr>
              <w:keepNext/>
            </w:pPr>
            <w:r>
              <w:rPr>
                <w:b/>
                <w:bCs/>
                <w:color w:val="FFFFFF"/>
                <w:sz w:val="20"/>
                <w:szCs w:val="20"/>
              </w:rPr>
              <w:t>4</w:t>
            </w:r>
          </w:p>
        </w:tc>
        <w:tc>
          <w:tcPr>
            <w:tcW w:w="3200" w:type="dxa"/>
            <w:tcBorders>
              <w:top w:val="single" w:color="CCCCCC" w:sz="1" w:space="0"/>
              <w:left w:val="single" w:color="CCCCCC" w:sz="1" w:space="0"/>
              <w:bottom w:val="single" w:color="CCCCCC" w:sz="1" w:space="0"/>
              <w:right w:val="single" w:color="CCCCCC" w:sz="1" w:space="0"/>
            </w:tcBorders>
            <w:shd w:val="clear" w:color="auto" w:fill="F0F4FA"/>
            <w:tcMar>
              <w:top w:w="80" w:type="dxa"/>
              <w:left w:w="120" w:type="dxa"/>
              <w:bottom w:w="80" w:type="dxa"/>
              <w:right w:w="120" w:type="dxa"/>
            </w:tcMar>
          </w:tcPr>
          <w:p w:rsidR="00004D3E" w:rsidRDefault="73130763" w14:paraId="0B8BF5A0" w14:textId="77777777">
            <w:pPr>
              <w:keepNext/>
            </w:pPr>
            <w:r w:rsidRPr="73130763">
              <w:rPr>
                <w:color w:val="000000"/>
                <w:sz w:val="20"/>
                <w:szCs w:val="20"/>
              </w:rPr>
              <w:t>Conduct a GMP compliance audit of the COMP043 supplier and identify and qualify alternative suppliers</w:t>
            </w:r>
          </w:p>
        </w:tc>
        <w:tc>
          <w:tcPr>
            <w:tcW w:w="2400" w:type="dxa"/>
            <w:tcBorders>
              <w:top w:val="single" w:color="CCCCCC" w:sz="1" w:space="0"/>
              <w:left w:val="single" w:color="CCCCCC" w:sz="1" w:space="0"/>
              <w:bottom w:val="single" w:color="CCCCCC" w:sz="1" w:space="0"/>
              <w:right w:val="single" w:color="CCCCCC" w:sz="1" w:space="0"/>
            </w:tcBorders>
            <w:shd w:val="clear" w:color="auto" w:fill="F0F4FA"/>
            <w:tcMar>
              <w:top w:w="80" w:type="dxa"/>
              <w:left w:w="120" w:type="dxa"/>
              <w:bottom w:w="80" w:type="dxa"/>
              <w:right w:w="120" w:type="dxa"/>
            </w:tcMar>
          </w:tcPr>
          <w:p w:rsidR="00004D3E" w:rsidRDefault="004B60FD" w14:paraId="39625E65" w14:textId="77777777">
            <w:pPr>
              <w:keepNext/>
            </w:pPr>
            <w:r>
              <w:rPr>
                <w:color w:val="000000"/>
                <w:sz w:val="20"/>
                <w:szCs w:val="20"/>
              </w:rPr>
              <w:t>Procurement / Supply Chain</w:t>
            </w:r>
          </w:p>
        </w:tc>
        <w:tc>
          <w:tcPr>
            <w:tcW w:w="1600" w:type="dxa"/>
            <w:tcBorders>
              <w:top w:val="single" w:color="CCCCCC" w:sz="1" w:space="0"/>
              <w:left w:val="single" w:color="CCCCCC" w:sz="1" w:space="0"/>
              <w:bottom w:val="single" w:color="CCCCCC" w:sz="1" w:space="0"/>
              <w:right w:val="single" w:color="CCCCCC" w:sz="1" w:space="0"/>
            </w:tcBorders>
            <w:shd w:val="clear" w:color="auto" w:fill="F0F4FA"/>
            <w:tcMar>
              <w:top w:w="80" w:type="dxa"/>
              <w:left w:w="120" w:type="dxa"/>
              <w:bottom w:w="80" w:type="dxa"/>
              <w:right w:w="120" w:type="dxa"/>
            </w:tcMar>
          </w:tcPr>
          <w:p w:rsidR="00004D3E" w:rsidRDefault="004B60FD" w14:paraId="7E177962" w14:textId="77777777">
            <w:pPr>
              <w:keepNext/>
            </w:pPr>
            <w:r>
              <w:rPr>
                <w:b/>
                <w:bCs/>
                <w:color w:val="C55A11"/>
                <w:sz w:val="20"/>
                <w:szCs w:val="20"/>
              </w:rPr>
              <w:t>High</w:t>
            </w:r>
          </w:p>
        </w:tc>
        <w:tc>
          <w:tcPr>
            <w:tcW w:w="1660" w:type="dxa"/>
            <w:tcBorders>
              <w:top w:val="single" w:color="CCCCCC" w:sz="1" w:space="0"/>
              <w:left w:val="single" w:color="CCCCCC" w:sz="1" w:space="0"/>
              <w:bottom w:val="single" w:color="CCCCCC" w:sz="1" w:space="0"/>
              <w:right w:val="single" w:color="CCCCCC" w:sz="1" w:space="0"/>
            </w:tcBorders>
            <w:shd w:val="clear" w:color="auto" w:fill="F0F4FA"/>
            <w:tcMar>
              <w:top w:w="80" w:type="dxa"/>
              <w:left w:w="120" w:type="dxa"/>
              <w:bottom w:w="80" w:type="dxa"/>
              <w:right w:w="120" w:type="dxa"/>
            </w:tcMar>
          </w:tcPr>
          <w:p w:rsidR="00004D3E" w:rsidRDefault="004B60FD" w14:paraId="62BEFFC6" w14:textId="77777777">
            <w:pPr>
              <w:keepNext/>
            </w:pPr>
            <w:r>
              <w:rPr>
                <w:color w:val="000000"/>
                <w:sz w:val="20"/>
                <w:szCs w:val="20"/>
              </w:rPr>
              <w:t>Within 1 week</w:t>
            </w:r>
          </w:p>
        </w:tc>
      </w:tr>
      <w:tr w:rsidR="00004D3E" w:rsidTr="73130763" w14:paraId="0102CDBE"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C00000"/>
            <w:tcMar>
              <w:top w:w="80" w:type="dxa"/>
              <w:left w:w="120" w:type="dxa"/>
              <w:bottom w:w="80" w:type="dxa"/>
              <w:right w:w="120" w:type="dxa"/>
            </w:tcMar>
          </w:tcPr>
          <w:p w:rsidR="00004D3E" w:rsidRDefault="004B60FD" w14:paraId="78941E47" w14:textId="77777777">
            <w:r>
              <w:rPr>
                <w:b/>
                <w:bCs/>
                <w:color w:val="FFFFFF"/>
                <w:sz w:val="20"/>
                <w:szCs w:val="20"/>
              </w:rPr>
              <w:t>5</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004D3E" w:rsidRDefault="004B60FD" w14:paraId="13B85C15" w14:textId="77777777">
            <w:r>
              <w:rPr>
                <w:color w:val="000000"/>
                <w:sz w:val="20"/>
                <w:szCs w:val="20"/>
              </w:rPr>
              <w:t>Implement an interim safety stock and inventory buffer strategy to prevent further stockouts across all three components</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004D3E" w:rsidRDefault="004B60FD" w14:paraId="0C32CFA3" w14:textId="77777777">
            <w:r>
              <w:rPr>
                <w:color w:val="000000"/>
                <w:sz w:val="20"/>
                <w:szCs w:val="20"/>
              </w:rPr>
              <w:t>Supply Chain Management</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004D3E" w:rsidRDefault="004B60FD" w14:paraId="05FAD91F" w14:textId="77777777">
            <w:r>
              <w:rPr>
                <w:b/>
                <w:bCs/>
                <w:color w:val="C55A11"/>
                <w:sz w:val="20"/>
                <w:szCs w:val="20"/>
              </w:rPr>
              <w:t>High</w:t>
            </w:r>
          </w:p>
        </w:tc>
        <w:tc>
          <w:tcPr>
            <w:tcW w:w="16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004D3E" w:rsidRDefault="004B60FD" w14:paraId="38B0BCAB" w14:textId="77777777">
            <w:r>
              <w:rPr>
                <w:color w:val="000000"/>
                <w:sz w:val="20"/>
                <w:szCs w:val="20"/>
              </w:rPr>
              <w:t>Within 1 week</w:t>
            </w:r>
          </w:p>
        </w:tc>
      </w:tr>
    </w:tbl>
    <w:p w:rsidR="00004D3E" w:rsidRDefault="00004D3E" w14:paraId="44EAFD9C" w14:textId="77777777">
      <w:pPr>
        <w:spacing w:before="60" w:after="60"/>
      </w:pPr>
    </w:p>
    <w:p w:rsidR="00004D3E" w:rsidRDefault="73130763" w14:paraId="2D52F195" w14:textId="77777777">
      <w:pPr>
        <w:spacing w:before="80" w:after="100"/>
      </w:pPr>
      <w:r w:rsidRPr="73130763">
        <w:t>Follow-up checkpoints should be scheduled at 48 hours, 1 week, and 30 days to assess progress and adjust remediation plans as needed.</w:t>
      </w:r>
    </w:p>
    <w:p w:rsidR="00004D3E" w:rsidRDefault="00004D3E" w14:paraId="4B94D5A5" w14:textId="77777777">
      <w:pPr>
        <w:spacing w:before="60" w:after="60"/>
      </w:pPr>
    </w:p>
    <w:p w:rsidR="00004D3E" w:rsidRDefault="004B60FD" w14:paraId="584F9CB5" w14:textId="77777777">
      <w:pPr>
        <w:pStyle w:val="Heading1"/>
      </w:pPr>
      <w:r>
        <w:t>4. Conclusion</w:t>
      </w:r>
    </w:p>
    <w:p w:rsidR="00004D3E" w:rsidRDefault="004B60FD" w14:paraId="76A7DDE2" w14:textId="77777777">
      <w:pPr>
        <w:spacing w:before="80" w:after="100"/>
      </w:pPr>
      <w:r>
        <w:t>The supply chain issues affecting components BIND567, COMP042, and COMP043 represent a serious and interconnected threat to this organization's FDA compliance, production continuity, and financial stability. The concerns raised by Maria Sanchez require immediate, coordinated action from leadership across all relevant departments.</w:t>
      </w:r>
    </w:p>
    <w:p w:rsidR="00004D3E" w:rsidRDefault="73130763" w14:paraId="44842AED" w14:textId="77777777">
      <w:pPr>
        <w:spacing w:before="80" w:after="100"/>
      </w:pPr>
      <w:r w:rsidRPr="73130763">
        <w:t>The five action items outlined in this report provide a clear path forward. Convening an emergency cross-functional meeting within 24 hours is the single most critical first step — it will establish accountability, align stakeholders, and mobilize the resources needed for rapid remediation.</w:t>
      </w:r>
    </w:p>
    <w:p w:rsidR="00004D3E" w:rsidP="73130763" w:rsidRDefault="73130763" w14:paraId="32D6C3DE" w14:textId="77777777">
      <w:pPr>
        <w:pBdr>
          <w:left w:val="single" w:color="1F3864" w:sz="12" w:space="8"/>
        </w:pBdr>
        <w:spacing w:before="160" w:after="160"/>
        <w:ind w:left="360"/>
      </w:pPr>
      <w:r w:rsidRPr="73130763">
        <w:rPr>
          <w:color w:val="333333"/>
        </w:rPr>
        <w:t>Every day of inaction increases the risk of a production shutdown, FDA enforcement, and lasting reputational harm. Decisive leadership now will protect both the organization's compliance standing and its long-term operational success.</w:t>
      </w:r>
    </w:p>
    <w:p w:rsidR="00004D3E" w:rsidRDefault="73130763" w14:paraId="5EAED049" w14:textId="77777777">
      <w:pPr>
        <w:spacing w:before="80" w:after="100"/>
      </w:pPr>
      <w:r w:rsidRPr="73130763">
        <w:t>This document is intended for internal distribution only and should be treated with appropriate confidentiality.</w:t>
      </w:r>
    </w:p>
    <w:sectPr w:rsidR="00004D3E">
      <w:headerReference w:type="default" r:id="rId7"/>
      <w:footerReference w:type="default" r:id="rId8"/>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60FD" w:rsidRDefault="004B60FD" w14:paraId="2A712EF8" w14:textId="77777777">
      <w:r>
        <w:separator/>
      </w:r>
    </w:p>
  </w:endnote>
  <w:endnote w:type="continuationSeparator" w:id="0">
    <w:p w:rsidR="004B60FD" w:rsidRDefault="004B60FD" w14:paraId="1B8FC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4D3E" w:rsidP="26556598" w:rsidRDefault="73130763" w14:paraId="3C825274" w14:textId="77777777">
    <w:pPr>
      <w:pBdr>
        <w:top w:val="single" w:color="CCCCCC" w:sz="4" w:space="1"/>
      </w:pBdr>
      <w:jc w:val="center"/>
      <w:rPr>
        <w:lang w:val="en-US"/>
      </w:rPr>
    </w:pPr>
    <w:r w:rsidRPr="26556598" w:rsidR="26556598">
      <w:rPr>
        <w:color w:val="888888"/>
        <w:sz w:val="18"/>
        <w:szCs w:val="18"/>
        <w:lang w:val="en-US"/>
      </w:rPr>
      <w:t xml:space="preserve">Supply Chain Compliance Report  |  Page </w:t>
    </w:r>
    <w:r w:rsidRPr="26556598">
      <w:rPr>
        <w:color w:val="888888"/>
        <w:sz w:val="18"/>
        <w:szCs w:val="18"/>
        <w:lang w:val="en-US"/>
      </w:rPr>
      <w:fldChar w:fldCharType="begin"/>
    </w:r>
    <w:r w:rsidRPr="26556598">
      <w:rPr>
        <w:color w:val="888888"/>
        <w:sz w:val="18"/>
        <w:szCs w:val="18"/>
      </w:rPr>
      <w:instrText xml:space="preserve">PAGE</w:instrText>
    </w:r>
    <w:r w:rsidRPr="26556598">
      <w:rPr>
        <w:color w:val="888888"/>
        <w:sz w:val="18"/>
        <w:szCs w:val="18"/>
      </w:rPr>
      <w:fldChar w:fldCharType="separate"/>
    </w:r>
    <w:r w:rsidRPr="26556598">
      <w:rPr>
        <w:color w:val="888888"/>
        <w:sz w:val="18"/>
        <w:szCs w:val="18"/>
        <w:lang w:val="en-US"/>
      </w:rPr>
      <w:fldChar w:fldCharType="end"/>
    </w:r>
    <w:r w:rsidRPr="26556598" w:rsidR="26556598">
      <w:rPr>
        <w:color w:val="888888"/>
        <w:sz w:val="18"/>
        <w:szCs w:val="18"/>
        <w:lang w:val="en-US"/>
      </w:rPr>
      <w:t xml:space="preserve"> of </w:t>
    </w:r>
    <w:r w:rsidRPr="26556598">
      <w:rPr>
        <w:color w:val="888888"/>
        <w:sz w:val="18"/>
        <w:szCs w:val="18"/>
        <w:lang w:val="en-US"/>
      </w:rPr>
      <w:fldChar w:fldCharType="begin"/>
    </w:r>
    <w:r w:rsidRPr="26556598">
      <w:rPr>
        <w:color w:val="888888"/>
        <w:sz w:val="18"/>
        <w:szCs w:val="18"/>
      </w:rPr>
      <w:instrText xml:space="preserve">NUMPAGES</w:instrText>
    </w:r>
    <w:r w:rsidRPr="26556598">
      <w:rPr>
        <w:color w:val="888888"/>
        <w:sz w:val="18"/>
        <w:szCs w:val="18"/>
      </w:rPr>
      <w:fldChar w:fldCharType="separate"/>
    </w:r>
    <w:r w:rsidRPr="26556598">
      <w:rPr>
        <w:color w:val="888888"/>
        <w:sz w:val="18"/>
        <w:szCs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60FD" w:rsidRDefault="004B60FD" w14:paraId="1D79577B" w14:textId="77777777">
      <w:r>
        <w:separator/>
      </w:r>
    </w:p>
  </w:footnote>
  <w:footnote w:type="continuationSeparator" w:id="0">
    <w:p w:rsidR="004B60FD" w:rsidRDefault="004B60FD" w14:paraId="393BE50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4D3E" w:rsidRDefault="004B60FD" w14:paraId="63B96DAB" w14:textId="77777777">
    <w:pPr>
      <w:pBdr>
        <w:bottom w:val="single" w:color="1F3864" w:sz="6" w:space="1"/>
      </w:pBdr>
    </w:pPr>
    <w:r>
      <w:rPr>
        <w:b/>
        <w:bCs/>
        <w:color w:val="1F3864"/>
        <w:sz w:val="18"/>
        <w:szCs w:val="18"/>
      </w:rPr>
      <w:t>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22DB5"/>
    <w:multiLevelType w:val="hybridMultilevel"/>
    <w:tmpl w:val="FFFFFFFF"/>
    <w:lvl w:ilvl="0" w:tplc="A54CC2D8">
      <w:start w:val="1"/>
      <w:numFmt w:val="bullet"/>
      <w:lvlText w:val="●"/>
      <w:lvlJc w:val="left"/>
      <w:pPr>
        <w:ind w:left="720" w:hanging="360"/>
      </w:pPr>
    </w:lvl>
    <w:lvl w:ilvl="1" w:tplc="73F61846">
      <w:start w:val="1"/>
      <w:numFmt w:val="bullet"/>
      <w:lvlText w:val="○"/>
      <w:lvlJc w:val="left"/>
      <w:pPr>
        <w:ind w:left="1440" w:hanging="360"/>
      </w:pPr>
    </w:lvl>
    <w:lvl w:ilvl="2" w:tplc="9BE29712">
      <w:start w:val="1"/>
      <w:numFmt w:val="bullet"/>
      <w:lvlText w:val="■"/>
      <w:lvlJc w:val="left"/>
      <w:pPr>
        <w:ind w:left="2160" w:hanging="360"/>
      </w:pPr>
    </w:lvl>
    <w:lvl w:ilvl="3" w:tplc="2DF8E64C">
      <w:start w:val="1"/>
      <w:numFmt w:val="bullet"/>
      <w:lvlText w:val="●"/>
      <w:lvlJc w:val="left"/>
      <w:pPr>
        <w:ind w:left="2880" w:hanging="360"/>
      </w:pPr>
    </w:lvl>
    <w:lvl w:ilvl="4" w:tplc="A85A318E">
      <w:start w:val="1"/>
      <w:numFmt w:val="bullet"/>
      <w:lvlText w:val="○"/>
      <w:lvlJc w:val="left"/>
      <w:pPr>
        <w:ind w:left="3600" w:hanging="360"/>
      </w:pPr>
    </w:lvl>
    <w:lvl w:ilvl="5" w:tplc="63DA0D62">
      <w:start w:val="1"/>
      <w:numFmt w:val="bullet"/>
      <w:lvlText w:val="■"/>
      <w:lvlJc w:val="left"/>
      <w:pPr>
        <w:ind w:left="4320" w:hanging="360"/>
      </w:pPr>
    </w:lvl>
    <w:lvl w:ilvl="6" w:tplc="A7588676">
      <w:start w:val="1"/>
      <w:numFmt w:val="bullet"/>
      <w:lvlText w:val="●"/>
      <w:lvlJc w:val="left"/>
      <w:pPr>
        <w:ind w:left="5040" w:hanging="360"/>
      </w:pPr>
    </w:lvl>
    <w:lvl w:ilvl="7" w:tplc="D7B844A8">
      <w:start w:val="1"/>
      <w:numFmt w:val="bullet"/>
      <w:lvlText w:val="●"/>
      <w:lvlJc w:val="left"/>
      <w:pPr>
        <w:ind w:left="5760" w:hanging="360"/>
      </w:pPr>
    </w:lvl>
    <w:lvl w:ilvl="8" w:tplc="2E6A07A4">
      <w:start w:val="1"/>
      <w:numFmt w:val="bullet"/>
      <w:lvlText w:val="●"/>
      <w:lvlJc w:val="left"/>
      <w:pPr>
        <w:ind w:left="6480" w:hanging="360"/>
      </w:pPr>
    </w:lvl>
  </w:abstractNum>
  <w:abstractNum w:abstractNumId="1" w15:restartNumberingAfterBreak="0">
    <w:nsid w:val="2C6F50DD"/>
    <w:multiLevelType w:val="hybridMultilevel"/>
    <w:tmpl w:val="FFFFFFFF"/>
    <w:lvl w:ilvl="0" w:tplc="F8D0E576">
      <w:start w:val="1"/>
      <w:numFmt w:val="decimal"/>
      <w:lvlText w:val="%1."/>
      <w:lvlJc w:val="left"/>
      <w:pPr>
        <w:ind w:left="720" w:hanging="360"/>
      </w:pPr>
    </w:lvl>
    <w:lvl w:ilvl="1" w:tplc="948E79DA">
      <w:numFmt w:val="decimal"/>
      <w:lvlText w:val=""/>
      <w:lvlJc w:val="left"/>
    </w:lvl>
    <w:lvl w:ilvl="2" w:tplc="137CC9A0">
      <w:numFmt w:val="decimal"/>
      <w:lvlText w:val=""/>
      <w:lvlJc w:val="left"/>
    </w:lvl>
    <w:lvl w:ilvl="3" w:tplc="7F348A3A">
      <w:numFmt w:val="decimal"/>
      <w:lvlText w:val=""/>
      <w:lvlJc w:val="left"/>
    </w:lvl>
    <w:lvl w:ilvl="4" w:tplc="7B5881FC">
      <w:numFmt w:val="decimal"/>
      <w:lvlText w:val=""/>
      <w:lvlJc w:val="left"/>
    </w:lvl>
    <w:lvl w:ilvl="5" w:tplc="17429FF0">
      <w:numFmt w:val="decimal"/>
      <w:lvlText w:val=""/>
      <w:lvlJc w:val="left"/>
    </w:lvl>
    <w:lvl w:ilvl="6" w:tplc="2D14C2EA">
      <w:numFmt w:val="decimal"/>
      <w:lvlText w:val=""/>
      <w:lvlJc w:val="left"/>
    </w:lvl>
    <w:lvl w:ilvl="7" w:tplc="279E22A0">
      <w:numFmt w:val="decimal"/>
      <w:lvlText w:val=""/>
      <w:lvlJc w:val="left"/>
    </w:lvl>
    <w:lvl w:ilvl="8" w:tplc="D6FADBDE">
      <w:numFmt w:val="decimal"/>
      <w:lvlText w:val=""/>
      <w:lvlJc w:val="left"/>
    </w:lvl>
  </w:abstractNum>
  <w:abstractNum w:abstractNumId="2" w15:restartNumberingAfterBreak="0">
    <w:nsid w:val="4A5470A6"/>
    <w:multiLevelType w:val="hybridMultilevel"/>
    <w:tmpl w:val="FFFFFFFF"/>
    <w:lvl w:ilvl="0" w:tplc="28DE19E4">
      <w:start w:val="1"/>
      <w:numFmt w:val="bullet"/>
      <w:lvlText w:val="•"/>
      <w:lvlJc w:val="left"/>
      <w:pPr>
        <w:ind w:left="720" w:hanging="360"/>
      </w:pPr>
    </w:lvl>
    <w:lvl w:ilvl="1" w:tplc="AF2CC4F6">
      <w:numFmt w:val="decimal"/>
      <w:lvlText w:val=""/>
      <w:lvlJc w:val="left"/>
    </w:lvl>
    <w:lvl w:ilvl="2" w:tplc="BA6AF976">
      <w:numFmt w:val="decimal"/>
      <w:lvlText w:val=""/>
      <w:lvlJc w:val="left"/>
    </w:lvl>
    <w:lvl w:ilvl="3" w:tplc="CE900B60">
      <w:numFmt w:val="decimal"/>
      <w:lvlText w:val=""/>
      <w:lvlJc w:val="left"/>
    </w:lvl>
    <w:lvl w:ilvl="4" w:tplc="BAB692E6">
      <w:numFmt w:val="decimal"/>
      <w:lvlText w:val=""/>
      <w:lvlJc w:val="left"/>
    </w:lvl>
    <w:lvl w:ilvl="5" w:tplc="02AE3116">
      <w:numFmt w:val="decimal"/>
      <w:lvlText w:val=""/>
      <w:lvlJc w:val="left"/>
    </w:lvl>
    <w:lvl w:ilvl="6" w:tplc="86B8B0DC">
      <w:numFmt w:val="decimal"/>
      <w:lvlText w:val=""/>
      <w:lvlJc w:val="left"/>
    </w:lvl>
    <w:lvl w:ilvl="7" w:tplc="628C310C">
      <w:numFmt w:val="decimal"/>
      <w:lvlText w:val=""/>
      <w:lvlJc w:val="left"/>
    </w:lvl>
    <w:lvl w:ilvl="8" w:tplc="F4C6E184">
      <w:numFmt w:val="decimal"/>
      <w:lvlText w:val=""/>
      <w:lvlJc w:val="left"/>
    </w:lvl>
  </w:abstractNum>
  <w:num w:numId="1" w16cid:durableId="1881160933">
    <w:abstractNumId w:val="0"/>
    <w:lvlOverride w:ilvl="0">
      <w:startOverride w:val="1"/>
    </w:lvlOverride>
  </w:num>
  <w:num w:numId="2" w16cid:durableId="17030193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130763"/>
    <w:rsid w:val="00004D3E"/>
    <w:rsid w:val="004B60FD"/>
    <w:rsid w:val="007B63B3"/>
    <w:rsid w:val="26556598"/>
    <w:rsid w:val="731307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5FDFBE4"/>
  <w15:docId w15:val="{20F5D4C5-8C4C-4AF7-A526-AA2D8ED89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unhideWhenUsed/>
    <w:qFormat/>
    <w:pPr>
      <w:spacing w:before="240" w:after="120"/>
      <w:outlineLvl w:val="1"/>
    </w:pPr>
    <w:rPr>
      <w:b/>
      <w:bCs/>
      <w:color w:val="C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Quinones, Justin [GTSUS]</lastModifiedBy>
  <revision>3</revision>
  <dcterms:created xsi:type="dcterms:W3CDTF">2026-08-19T19:44:00.0000000Z</dcterms:created>
  <dcterms:modified xsi:type="dcterms:W3CDTF">2026-08-19T19:45:13.9440287Z</dcterms:modified>
</coreProperties>
</file>