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A9E1BEA" w:rsidP="0A9E1BEA" w:rsidRDefault="0A9E1BEA" w14:paraId="63A30234" w14:textId="0AB103B1">
      <w:pPr>
        <w:pStyle w:val="Heading1"/>
      </w:pPr>
      <w:r w:rsidR="0A9E1BEA">
        <w:rPr/>
        <w:t>Supply Chain Issues Analysis Report</w:t>
      </w:r>
    </w:p>
    <w:p w:rsidR="0A9E1BEA" w:rsidP="0A9E1BEA" w:rsidRDefault="0A9E1BEA" w14:paraId="6E7F490C" w14:textId="15F56417">
      <w:pPr>
        <w:pStyle w:val="Normal"/>
      </w:pPr>
      <w:r w:rsidRPr="0A9E1BEA" w:rsidR="0A9E1BEA">
        <w:rPr>
          <w:b w:val="1"/>
          <w:bCs w:val="1"/>
        </w:rPr>
        <w:t>Scope:</w:t>
      </w:r>
      <w:r w:rsidR="0A9E1BEA">
        <w:rPr/>
        <w:t xml:space="preserve"> This report analyzes delayed supply chain components CARB123, BIND567, and COAT890 using the Expanded Supply Chain Metrics dataset. It focuses on delivery performance, supplier reliability, compliance implications, root causes, and targeted mitigation strategies.</w:t>
      </w:r>
    </w:p>
    <w:p w:rsidR="0A9E1BEA" w:rsidP="0A9E1BEA" w:rsidRDefault="0A9E1BEA" w14:paraId="324655DA" w14:textId="264458FB">
      <w:pPr>
        <w:pStyle w:val="Heading2"/>
      </w:pPr>
      <w:r w:rsidR="0A9E1BEA">
        <w:rPr/>
        <w:t>Executive Summary</w:t>
      </w:r>
    </w:p>
    <w:p w:rsidR="0A9E1BEA" w:rsidP="0A9E1BEA" w:rsidRDefault="0A9E1BEA" w14:paraId="7AA4C0BC" w14:textId="37F54C3A">
      <w:pPr>
        <w:pStyle w:val="Normal"/>
      </w:pPr>
      <w:r w:rsidR="0A9E1BEA">
        <w:rPr/>
        <w:t xml:space="preserve">The delayed component population shows a combined average on-time delivery rate of </w:t>
      </w:r>
      <w:r w:rsidRPr="0A9E1BEA" w:rsidR="0A9E1BEA">
        <w:rPr>
          <w:b w:val="1"/>
          <w:bCs w:val="1"/>
        </w:rPr>
        <w:t>88.1%</w:t>
      </w:r>
      <w:r w:rsidR="0A9E1BEA">
        <w:rPr/>
        <w:t xml:space="preserve"> across 10 records, indicating a material service-level gap against a typical 95% delivery-performance target. The most significant delivery concern is </w:t>
      </w:r>
      <w:r w:rsidRPr="0A9E1BEA" w:rsidR="0A9E1BEA">
        <w:rPr>
          <w:b w:val="1"/>
          <w:bCs w:val="1"/>
        </w:rPr>
        <w:t>COAT890</w:t>
      </w:r>
      <w:r w:rsidR="0A9E1BEA">
        <w:rPr/>
        <w:t xml:space="preserve">, which has the lowest average on-time delivery rate at </w:t>
      </w:r>
      <w:r w:rsidRPr="0A9E1BEA" w:rsidR="0A9E1BEA">
        <w:rPr>
          <w:b w:val="1"/>
          <w:bCs w:val="1"/>
        </w:rPr>
        <w:t>84.2%</w:t>
      </w:r>
      <w:r w:rsidR="0A9E1BEA">
        <w:rPr/>
        <w:t xml:space="preserve"> across five records. </w:t>
      </w:r>
      <w:r w:rsidRPr="0A9E1BEA" w:rsidR="0A9E1BEA">
        <w:rPr>
          <w:b w:val="1"/>
          <w:bCs w:val="1"/>
        </w:rPr>
        <w:t>CARB123</w:t>
      </w:r>
      <w:r w:rsidR="0A9E1BEA">
        <w:rPr/>
        <w:t xml:space="preserve"> averages </w:t>
      </w:r>
      <w:r w:rsidRPr="0A9E1BEA" w:rsidR="0A9E1BEA">
        <w:rPr>
          <w:b w:val="1"/>
          <w:bCs w:val="1"/>
        </w:rPr>
        <w:t>90.25%</w:t>
      </w:r>
      <w:r w:rsidR="0A9E1BEA">
        <w:rPr/>
        <w:t xml:space="preserve"> across four records, while </w:t>
      </w:r>
      <w:r w:rsidRPr="0A9E1BEA" w:rsidR="0A9E1BEA">
        <w:rPr>
          <w:b w:val="1"/>
          <w:bCs w:val="1"/>
        </w:rPr>
        <w:t>BIND567</w:t>
      </w:r>
      <w:r w:rsidR="0A9E1BEA">
        <w:rPr/>
        <w:t xml:space="preserve"> performs strongest at </w:t>
      </w:r>
      <w:r w:rsidRPr="0A9E1BEA" w:rsidR="0A9E1BEA">
        <w:rPr>
          <w:b w:val="1"/>
          <w:bCs w:val="1"/>
        </w:rPr>
        <w:t>99%</w:t>
      </w:r>
      <w:r w:rsidR="0A9E1BEA">
        <w:rPr/>
        <w:t xml:space="preserve"> but has a long 64-day delivery timeline and high lead-time variance.</w:t>
      </w:r>
    </w:p>
    <w:p w:rsidR="0A9E1BEA" w:rsidP="0A9E1BEA" w:rsidRDefault="0A9E1BEA" w14:paraId="0ED0A2E0" w14:textId="4AFC386D">
      <w:pPr>
        <w:pStyle w:val="Normal"/>
      </w:pPr>
      <w:r w:rsidR="0A9E1BEA">
        <w:rPr/>
        <w:t>Overall, the data suggests that supplier variability, long delivery timelines, lead-time variance, and inconsistent mitigation approaches are contributing to supply chain exposure. These issues may affect production planning, inventory adequacy, compliance documentation, and operational resilience if not addressed through structured supplier management and proactive risk controls.</w:t>
      </w:r>
    </w:p>
    <w:p w:rsidR="0A9E1BEA" w:rsidP="0A9E1BEA" w:rsidRDefault="0A9E1BEA" w14:paraId="3F6F512B" w14:textId="1D0BE27E">
      <w:pPr>
        <w:pStyle w:val="Heading2"/>
      </w:pPr>
      <w:r w:rsidR="0A9E1BEA">
        <w:rPr/>
        <w:t>Component Overview</w:t>
      </w:r>
    </w:p>
    <w:tbl>
      <w:tblPr>
        <w:tblStyle w:val="TableGrid"/>
        <w:tblW w:w="0" w:type="auto"/>
      </w:tblPr>
      <w:tblGrid>
        <w:gridCol w:w="1337"/>
        <w:gridCol w:w="1337"/>
        <w:gridCol w:w="1337"/>
        <w:gridCol w:w="1337"/>
        <w:gridCol w:w="1337"/>
        <w:gridCol w:w="1337"/>
        <w:gridCol w:w="1337"/>
      </w:tblGrid>
      <w:tr w:rsidR="0A9E1BEA" w:rsidTr="0A9E1BEA" w14:paraId="7E871C10">
        <w:tc>
          <w:tcPr>
            <w:tcW w:w="1337" w:type="dxa"/>
            <w:tcMar/>
          </w:tcPr>
          <w:p w:rsidR="0A9E1BEA" w:rsidP="0A9E1BEA" w:rsidRDefault="0A9E1BEA" w14:paraId="38BE675A" w14:textId="46105E5E">
            <w:pPr>
              <w:pStyle w:val="Normal"/>
            </w:pPr>
            <w:r w:rsidRPr="0A9E1BEA" w:rsidR="0A9E1BEA">
              <w:rPr>
                <w:b w:val="1"/>
                <w:bCs w:val="1"/>
              </w:rPr>
              <w:t>Component</w:t>
            </w:r>
          </w:p>
        </w:tc>
        <w:tc>
          <w:tcPr>
            <w:tcW w:w="1337" w:type="dxa"/>
            <w:tcMar/>
          </w:tcPr>
          <w:p w:rsidR="0A9E1BEA" w:rsidP="0A9E1BEA" w:rsidRDefault="0A9E1BEA" w14:paraId="3C226EDF" w14:textId="46C76BEB">
            <w:pPr>
              <w:pStyle w:val="Normal"/>
            </w:pPr>
            <w:r w:rsidRPr="0A9E1BEA" w:rsidR="0A9E1BEA">
              <w:rPr>
                <w:b w:val="1"/>
                <w:bCs w:val="1"/>
              </w:rPr>
              <w:t>Primary Supplier(s)</w:t>
            </w:r>
          </w:p>
        </w:tc>
        <w:tc>
          <w:tcPr>
            <w:tcW w:w="1337" w:type="dxa"/>
            <w:tcMar/>
          </w:tcPr>
          <w:p w:rsidR="0A9E1BEA" w:rsidP="0A9E1BEA" w:rsidRDefault="0A9E1BEA" w14:paraId="1A87081C" w14:textId="494CEC4B">
            <w:pPr>
              <w:pStyle w:val="Normal"/>
            </w:pPr>
            <w:r w:rsidRPr="0A9E1BEA" w:rsidR="0A9E1BEA">
              <w:rPr>
                <w:b w:val="1"/>
                <w:bCs w:val="1"/>
              </w:rPr>
              <w:t>Records</w:t>
            </w:r>
          </w:p>
        </w:tc>
        <w:tc>
          <w:tcPr>
            <w:tcW w:w="1337" w:type="dxa"/>
            <w:tcMar/>
          </w:tcPr>
          <w:p w:rsidR="0A9E1BEA" w:rsidP="0A9E1BEA" w:rsidRDefault="0A9E1BEA" w14:paraId="1C874D88" w14:textId="28AFFE50">
            <w:pPr>
              <w:pStyle w:val="Normal"/>
            </w:pPr>
            <w:r w:rsidRPr="0A9E1BEA" w:rsidR="0A9E1BEA">
              <w:rPr>
                <w:b w:val="1"/>
                <w:bCs w:val="1"/>
              </w:rPr>
              <w:t>Average On-Time Delivery Rate</w:t>
            </w:r>
          </w:p>
        </w:tc>
        <w:tc>
          <w:tcPr>
            <w:tcW w:w="1337" w:type="dxa"/>
            <w:tcMar/>
          </w:tcPr>
          <w:p w:rsidR="0A9E1BEA" w:rsidP="0A9E1BEA" w:rsidRDefault="0A9E1BEA" w14:paraId="500FE6EC" w14:textId="7F69FF9D">
            <w:pPr>
              <w:pStyle w:val="Normal"/>
            </w:pPr>
            <w:r w:rsidRPr="0A9E1BEA" w:rsidR="0A9E1BEA">
              <w:rPr>
                <w:b w:val="1"/>
                <w:bCs w:val="1"/>
              </w:rPr>
              <w:t>Average Delivery Timeline</w:t>
            </w:r>
          </w:p>
        </w:tc>
        <w:tc>
          <w:tcPr>
            <w:tcW w:w="1337" w:type="dxa"/>
            <w:tcMar/>
          </w:tcPr>
          <w:p w:rsidR="0A9E1BEA" w:rsidP="0A9E1BEA" w:rsidRDefault="0A9E1BEA" w14:paraId="4560F782" w14:textId="7878C056">
            <w:pPr>
              <w:pStyle w:val="Normal"/>
            </w:pPr>
            <w:r w:rsidRPr="0A9E1BEA" w:rsidR="0A9E1BEA">
              <w:rPr>
                <w:b w:val="1"/>
                <w:bCs w:val="1"/>
              </w:rPr>
              <w:t>Average Lead-Time Variance</w:t>
            </w:r>
          </w:p>
        </w:tc>
        <w:tc>
          <w:tcPr>
            <w:tcW w:w="1337" w:type="dxa"/>
            <w:tcMar/>
          </w:tcPr>
          <w:p w:rsidR="0A9E1BEA" w:rsidP="0A9E1BEA" w:rsidRDefault="0A9E1BEA" w14:paraId="01FE8932" w14:textId="5E5C0124">
            <w:pPr>
              <w:pStyle w:val="Normal"/>
            </w:pPr>
            <w:r w:rsidRPr="0A9E1BEA" w:rsidR="0A9E1BEA">
              <w:rPr>
                <w:b w:val="1"/>
                <w:bCs w:val="1"/>
              </w:rPr>
              <w:t>Risk Observations</w:t>
            </w:r>
          </w:p>
        </w:tc>
      </w:tr>
      <w:tr w:rsidR="0A9E1BEA" w:rsidTr="0A9E1BEA" w14:paraId="77B53B1F">
        <w:tc>
          <w:tcPr>
            <w:tcW w:w="1337" w:type="dxa"/>
            <w:tcMar/>
          </w:tcPr>
          <w:p w:rsidR="0A9E1BEA" w:rsidP="0A9E1BEA" w:rsidRDefault="0A9E1BEA" w14:paraId="1577C1E8" w14:textId="0B75BC93">
            <w:pPr>
              <w:pStyle w:val="Normal"/>
            </w:pPr>
            <w:r w:rsidR="0A9E1BEA">
              <w:rPr/>
              <w:t>CARB123</w:t>
            </w:r>
          </w:p>
        </w:tc>
        <w:tc>
          <w:tcPr>
            <w:tcW w:w="1337" w:type="dxa"/>
            <w:tcMar/>
          </w:tcPr>
          <w:p w:rsidR="0A9E1BEA" w:rsidP="0A9E1BEA" w:rsidRDefault="0A9E1BEA" w14:paraId="09961707" w14:textId="4534EC30">
            <w:pPr>
              <w:pStyle w:val="Normal"/>
            </w:pPr>
            <w:r w:rsidR="0A9E1BEA">
              <w:rPr/>
              <w:t>RawMatPlus</w:t>
            </w:r>
          </w:p>
        </w:tc>
        <w:tc>
          <w:tcPr>
            <w:tcW w:w="1337" w:type="dxa"/>
            <w:tcMar/>
          </w:tcPr>
          <w:p w:rsidR="0A9E1BEA" w:rsidP="0A9E1BEA" w:rsidRDefault="0A9E1BEA" w14:paraId="46B73486" w14:textId="784CFF59">
            <w:pPr>
              <w:pStyle w:val="Normal"/>
            </w:pPr>
            <w:r w:rsidR="0A9E1BEA">
              <w:rPr/>
              <w:t>4</w:t>
            </w:r>
          </w:p>
        </w:tc>
        <w:tc>
          <w:tcPr>
            <w:tcW w:w="1337" w:type="dxa"/>
            <w:tcMar/>
          </w:tcPr>
          <w:p w:rsidR="0A9E1BEA" w:rsidP="0A9E1BEA" w:rsidRDefault="0A9E1BEA" w14:paraId="6DE03704" w14:textId="250BAE83">
            <w:pPr>
              <w:pStyle w:val="Normal"/>
            </w:pPr>
            <w:r w:rsidR="0A9E1BEA">
              <w:rPr/>
              <w:t>90.25%</w:t>
            </w:r>
          </w:p>
        </w:tc>
        <w:tc>
          <w:tcPr>
            <w:tcW w:w="1337" w:type="dxa"/>
            <w:tcMar/>
          </w:tcPr>
          <w:p w:rsidR="0A9E1BEA" w:rsidP="0A9E1BEA" w:rsidRDefault="0A9E1BEA" w14:paraId="3CA6F019" w14:textId="59084F8D">
            <w:pPr>
              <w:pStyle w:val="Normal"/>
            </w:pPr>
            <w:r w:rsidR="0A9E1BEA">
              <w:rPr/>
              <w:t>23.25 days</w:t>
            </w:r>
          </w:p>
        </w:tc>
        <w:tc>
          <w:tcPr>
            <w:tcW w:w="1337" w:type="dxa"/>
            <w:tcMar/>
          </w:tcPr>
          <w:p w:rsidR="0A9E1BEA" w:rsidP="0A9E1BEA" w:rsidRDefault="0A9E1BEA" w14:paraId="201C553B" w14:textId="00755BD7">
            <w:pPr>
              <w:pStyle w:val="Normal"/>
            </w:pPr>
            <w:r w:rsidR="0A9E1BEA">
              <w:rPr/>
              <w:t>10.5 days</w:t>
            </w:r>
          </w:p>
        </w:tc>
        <w:tc>
          <w:tcPr>
            <w:tcW w:w="1337" w:type="dxa"/>
            <w:tcMar/>
          </w:tcPr>
          <w:p w:rsidR="0A9E1BEA" w:rsidP="0A9E1BEA" w:rsidRDefault="0A9E1BEA" w14:paraId="46153286" w14:textId="5E371743">
            <w:pPr>
              <w:pStyle w:val="Normal"/>
            </w:pPr>
            <w:r w:rsidR="0A9E1BEA">
              <w:rPr/>
              <w:t>Mixed risk profile with High, Medium, and Low records; mitigation approaches include expedited shipping, inventory increase, contract review, and negotiated terms.</w:t>
            </w:r>
          </w:p>
        </w:tc>
      </w:tr>
      <w:tr w:rsidR="0A9E1BEA" w:rsidTr="0A9E1BEA" w14:paraId="14147E27">
        <w:tc>
          <w:tcPr>
            <w:tcW w:w="1337" w:type="dxa"/>
            <w:tcMar/>
          </w:tcPr>
          <w:p w:rsidR="0A9E1BEA" w:rsidP="0A9E1BEA" w:rsidRDefault="0A9E1BEA" w14:paraId="586F1945" w14:textId="1B9E2CEF">
            <w:pPr>
              <w:pStyle w:val="Normal"/>
            </w:pPr>
            <w:r w:rsidR="0A9E1BEA">
              <w:rPr/>
              <w:t>BIND567</w:t>
            </w:r>
          </w:p>
        </w:tc>
        <w:tc>
          <w:tcPr>
            <w:tcW w:w="1337" w:type="dxa"/>
            <w:tcMar/>
          </w:tcPr>
          <w:p w:rsidR="0A9E1BEA" w:rsidP="0A9E1BEA" w:rsidRDefault="0A9E1BEA" w14:paraId="68DEA259" w14:textId="43D0447B">
            <w:pPr>
              <w:pStyle w:val="Normal"/>
            </w:pPr>
            <w:r w:rsidR="0A9E1BEA">
              <w:rPr/>
              <w:t>EcoSupply</w:t>
            </w:r>
          </w:p>
        </w:tc>
        <w:tc>
          <w:tcPr>
            <w:tcW w:w="1337" w:type="dxa"/>
            <w:tcMar/>
          </w:tcPr>
          <w:p w:rsidR="0A9E1BEA" w:rsidP="0A9E1BEA" w:rsidRDefault="0A9E1BEA" w14:paraId="2595B933" w14:textId="273EC430">
            <w:pPr>
              <w:pStyle w:val="Normal"/>
            </w:pPr>
            <w:r w:rsidR="0A9E1BEA">
              <w:rPr/>
              <w:t>1</w:t>
            </w:r>
          </w:p>
        </w:tc>
        <w:tc>
          <w:tcPr>
            <w:tcW w:w="1337" w:type="dxa"/>
            <w:tcMar/>
          </w:tcPr>
          <w:p w:rsidR="0A9E1BEA" w:rsidP="0A9E1BEA" w:rsidRDefault="0A9E1BEA" w14:paraId="58D85EA1" w14:textId="48123E54">
            <w:pPr>
              <w:pStyle w:val="Normal"/>
            </w:pPr>
            <w:r w:rsidR="0A9E1BEA">
              <w:rPr/>
              <w:t>99%</w:t>
            </w:r>
          </w:p>
        </w:tc>
        <w:tc>
          <w:tcPr>
            <w:tcW w:w="1337" w:type="dxa"/>
            <w:tcMar/>
          </w:tcPr>
          <w:p w:rsidR="0A9E1BEA" w:rsidP="0A9E1BEA" w:rsidRDefault="0A9E1BEA" w14:paraId="7ECD987C" w14:textId="10CFAA12">
            <w:pPr>
              <w:pStyle w:val="Normal"/>
            </w:pPr>
            <w:r w:rsidR="0A9E1BEA">
              <w:rPr/>
              <w:t>64 days</w:t>
            </w:r>
          </w:p>
        </w:tc>
        <w:tc>
          <w:tcPr>
            <w:tcW w:w="1337" w:type="dxa"/>
            <w:tcMar/>
          </w:tcPr>
          <w:p w:rsidR="0A9E1BEA" w:rsidP="0A9E1BEA" w:rsidRDefault="0A9E1BEA" w14:paraId="542FCAF4" w14:textId="5B50C0F7">
            <w:pPr>
              <w:pStyle w:val="Normal"/>
            </w:pPr>
            <w:r w:rsidR="0A9E1BEA">
              <w:rPr/>
              <w:t>26 days</w:t>
            </w:r>
          </w:p>
        </w:tc>
        <w:tc>
          <w:tcPr>
            <w:tcW w:w="1337" w:type="dxa"/>
            <w:tcMar/>
          </w:tcPr>
          <w:p w:rsidR="0A9E1BEA" w:rsidP="0A9E1BEA" w:rsidRDefault="0A9E1BEA" w14:paraId="04FCD96C" w14:textId="3607C28D">
            <w:pPr>
              <w:pStyle w:val="Normal"/>
            </w:pPr>
            <w:r w:rsidR="0A9E1BEA">
              <w:rPr/>
              <w:t>Strong on-time rate but extended delivery timeline and high variance create planning exposure.</w:t>
            </w:r>
          </w:p>
        </w:tc>
      </w:tr>
      <w:tr w:rsidR="0A9E1BEA" w:rsidTr="0A9E1BEA" w14:paraId="6E26D8C1">
        <w:tc>
          <w:tcPr>
            <w:tcW w:w="1337" w:type="dxa"/>
            <w:tcMar/>
          </w:tcPr>
          <w:p w:rsidR="0A9E1BEA" w:rsidP="0A9E1BEA" w:rsidRDefault="0A9E1BEA" w14:paraId="67070C7C" w14:textId="76B1720A">
            <w:pPr>
              <w:pStyle w:val="Normal"/>
            </w:pPr>
            <w:r w:rsidR="0A9E1BEA">
              <w:rPr/>
              <w:t>COAT890</w:t>
            </w:r>
          </w:p>
        </w:tc>
        <w:tc>
          <w:tcPr>
            <w:tcW w:w="1337" w:type="dxa"/>
            <w:tcMar/>
          </w:tcPr>
          <w:p w:rsidR="0A9E1BEA" w:rsidP="0A9E1BEA" w:rsidRDefault="0A9E1BEA" w14:paraId="5DA2D80E" w14:textId="6CDDCAD8">
            <w:pPr>
              <w:pStyle w:val="Normal"/>
            </w:pPr>
            <w:r w:rsidR="0A9E1BEA">
              <w:rPr/>
              <w:t>GlobalChem, RawMatPlus, NextGen Pharma</w:t>
            </w:r>
          </w:p>
        </w:tc>
        <w:tc>
          <w:tcPr>
            <w:tcW w:w="1337" w:type="dxa"/>
            <w:tcMar/>
          </w:tcPr>
          <w:p w:rsidR="0A9E1BEA" w:rsidP="0A9E1BEA" w:rsidRDefault="0A9E1BEA" w14:paraId="168CBBE5" w14:textId="1A5BF343">
            <w:pPr>
              <w:pStyle w:val="Normal"/>
            </w:pPr>
            <w:r w:rsidR="0A9E1BEA">
              <w:rPr/>
              <w:t>5</w:t>
            </w:r>
          </w:p>
        </w:tc>
        <w:tc>
          <w:tcPr>
            <w:tcW w:w="1337" w:type="dxa"/>
            <w:tcMar/>
          </w:tcPr>
          <w:p w:rsidR="0A9E1BEA" w:rsidP="0A9E1BEA" w:rsidRDefault="0A9E1BEA" w14:paraId="1A34E0E6" w14:textId="1E885933">
            <w:pPr>
              <w:pStyle w:val="Normal"/>
            </w:pPr>
            <w:r w:rsidR="0A9E1BEA">
              <w:rPr/>
              <w:t>84.2%</w:t>
            </w:r>
          </w:p>
        </w:tc>
        <w:tc>
          <w:tcPr>
            <w:tcW w:w="1337" w:type="dxa"/>
            <w:tcMar/>
          </w:tcPr>
          <w:p w:rsidR="0A9E1BEA" w:rsidP="0A9E1BEA" w:rsidRDefault="0A9E1BEA" w14:paraId="55546271" w14:textId="4067A6ED">
            <w:pPr>
              <w:pStyle w:val="Normal"/>
            </w:pPr>
            <w:r w:rsidR="0A9E1BEA">
              <w:rPr/>
              <w:t>21.2 days</w:t>
            </w:r>
          </w:p>
        </w:tc>
        <w:tc>
          <w:tcPr>
            <w:tcW w:w="1337" w:type="dxa"/>
            <w:tcMar/>
          </w:tcPr>
          <w:p w:rsidR="0A9E1BEA" w:rsidP="0A9E1BEA" w:rsidRDefault="0A9E1BEA" w14:paraId="334C619C" w14:textId="09334475">
            <w:pPr>
              <w:pStyle w:val="Normal"/>
            </w:pPr>
            <w:r w:rsidR="0A9E1BEA">
              <w:rPr/>
              <w:t>8.2 days</w:t>
            </w:r>
          </w:p>
        </w:tc>
        <w:tc>
          <w:tcPr>
            <w:tcW w:w="1337" w:type="dxa"/>
            <w:tcMar/>
          </w:tcPr>
          <w:p w:rsidR="0A9E1BEA" w:rsidP="0A9E1BEA" w:rsidRDefault="0A9E1BEA" w14:paraId="183C684E" w14:textId="459A9008">
            <w:pPr>
              <w:pStyle w:val="Normal"/>
            </w:pPr>
            <w:r w:rsidR="0A9E1BEA">
              <w:rPr/>
              <w:t>Lowest delivery performance among the delayed components; multiple suppliers and recurring mitigation needs suggest systemic coordination and forecasting challenges.</w:t>
            </w:r>
          </w:p>
        </w:tc>
      </w:tr>
    </w:tbl>
    <w:p w:rsidR="0A9E1BEA" w:rsidP="0A9E1BEA" w:rsidRDefault="0A9E1BEA" w14:paraId="30162F4D" w14:textId="0ED21ABB">
      <w:pPr>
        <w:pStyle w:val="Normal"/>
      </w:pPr>
    </w:p>
    <w:p w:rsidR="0A9E1BEA" w:rsidP="0A9E1BEA" w:rsidRDefault="0A9E1BEA" w14:paraId="7C549331" w14:textId="2DBC63C0">
      <w:pPr>
        <w:pStyle w:val="Heading2"/>
      </w:pPr>
      <w:r w:rsidR="0A9E1BEA">
        <w:rPr/>
        <w:t>Compliance Implications</w:t>
      </w:r>
    </w:p>
    <w:p w:rsidR="0A9E1BEA" w:rsidP="0A9E1BEA" w:rsidRDefault="0A9E1BEA" w14:paraId="054805B1" w14:textId="78F455C0">
      <w:pPr>
        <w:pStyle w:val="Normal"/>
      </w:pPr>
      <w:r w:rsidR="0A9E1BEA">
        <w:rPr/>
        <w:t>Delayed or variable component delivery can create compliance exposure when production schedules, quality release activities, or customer commitments depend on timely receipt of materials. The primary implication is not only the operational delay itself, but the need to demonstrate appropriate control, documentation, escalation, and risk-based decision-making.</w:t>
      </w:r>
    </w:p>
    <w:p w:rsidR="0A9E1BEA" w:rsidP="0A9E1BEA" w:rsidRDefault="0A9E1BEA" w14:paraId="4F2B53C5" w14:textId="1A585214">
      <w:pPr>
        <w:pStyle w:val="ListParagraph"/>
        <w:numPr>
          <w:ilvl w:val="0"/>
          <w:numId w:val="15"/>
        </w:numPr>
        <w:rPr/>
      </w:pPr>
      <w:r w:rsidRPr="0A9E1BEA" w:rsidR="0A9E1BEA">
        <w:rPr>
          <w:b w:val="1"/>
          <w:bCs w:val="1"/>
        </w:rPr>
        <w:t>Continuity of supply:</w:t>
      </w:r>
      <w:r w:rsidR="0A9E1BEA">
        <w:rPr/>
        <w:t xml:space="preserve"> COAT890’s 84.2% average on-time delivery rate and multi-supplier dependency may increase the likelihood of production disruption if inventory buffers are insufficient.</w:t>
      </w:r>
    </w:p>
    <w:p w:rsidR="0A9E1BEA" w:rsidP="0A9E1BEA" w:rsidRDefault="0A9E1BEA" w14:paraId="25E7D517" w14:textId="25176F0D">
      <w:pPr>
        <w:pStyle w:val="ListParagraph"/>
        <w:numPr>
          <w:ilvl w:val="0"/>
          <w:numId w:val="15"/>
        </w:numPr>
        <w:rPr/>
      </w:pPr>
      <w:r w:rsidRPr="0A9E1BEA" w:rsidR="0A9E1BEA">
        <w:rPr>
          <w:b w:val="1"/>
          <w:bCs w:val="1"/>
        </w:rPr>
        <w:t>Traceability and documentation:</w:t>
      </w:r>
      <w:r w:rsidR="0A9E1BEA">
        <w:rPr/>
        <w:t xml:space="preserve"> CARB123 has inconsistent risk levels and mitigation actions across records, which should be documented clearly to support auditability and management review.</w:t>
      </w:r>
    </w:p>
    <w:p w:rsidR="0A9E1BEA" w:rsidP="0A9E1BEA" w:rsidRDefault="0A9E1BEA" w14:paraId="307B65DF" w14:textId="2106169C">
      <w:pPr>
        <w:pStyle w:val="ListParagraph"/>
        <w:numPr>
          <w:ilvl w:val="0"/>
          <w:numId w:val="15"/>
        </w:numPr>
        <w:rPr/>
      </w:pPr>
      <w:r w:rsidRPr="0A9E1BEA" w:rsidR="0A9E1BEA">
        <w:rPr>
          <w:b w:val="1"/>
          <w:bCs w:val="1"/>
        </w:rPr>
        <w:t>Supplier oversight:</w:t>
      </w:r>
      <w:r w:rsidR="0A9E1BEA">
        <w:rPr/>
        <w:t xml:space="preserve"> BIND567’s 64-day delivery timeline and 26-day variance require formal monitoring despite its high reported on-time rate.</w:t>
      </w:r>
    </w:p>
    <w:p w:rsidR="0A9E1BEA" w:rsidP="0A9E1BEA" w:rsidRDefault="0A9E1BEA" w14:paraId="7EEFCE01" w14:textId="0FFE17EE">
      <w:pPr>
        <w:pStyle w:val="ListParagraph"/>
        <w:numPr>
          <w:ilvl w:val="0"/>
          <w:numId w:val="15"/>
        </w:numPr>
        <w:rPr/>
      </w:pPr>
      <w:r w:rsidRPr="0A9E1BEA" w:rsidR="0A9E1BEA">
        <w:rPr>
          <w:b w:val="1"/>
          <w:bCs w:val="1"/>
        </w:rPr>
        <w:t>Quality and release risk:</w:t>
      </w:r>
      <w:r w:rsidR="0A9E1BEA">
        <w:rPr/>
        <w:t xml:space="preserve"> Defect rates and quality inspection pass rates should be reviewed alongside delivery delays to ensure expedited actions do not compromise quality controls.</w:t>
      </w:r>
    </w:p>
    <w:p w:rsidR="0A9E1BEA" w:rsidP="0A9E1BEA" w:rsidRDefault="0A9E1BEA" w14:paraId="3BCEB700" w14:textId="3AC4D031">
      <w:pPr>
        <w:pStyle w:val="Heading2"/>
      </w:pPr>
      <w:r w:rsidR="0A9E1BEA">
        <w:rPr/>
        <w:t>Root Cause Analysis</w:t>
      </w:r>
    </w:p>
    <w:p w:rsidR="0A9E1BEA" w:rsidP="0A9E1BEA" w:rsidRDefault="0A9E1BEA" w14:paraId="54DD6EF4" w14:textId="6A8905B6">
      <w:pPr>
        <w:pStyle w:val="Normal"/>
      </w:pPr>
      <w:r w:rsidR="0A9E1BEA">
        <w:rPr/>
        <w:t>The dataset indicates that the likely root causes are concentrated in four areas: supplier reliability variability, lead-time variance, demand and forecast alignment, and inconsistent mitigation execution.</w:t>
      </w:r>
    </w:p>
    <w:p w:rsidR="0A9E1BEA" w:rsidP="0A9E1BEA" w:rsidRDefault="0A9E1BEA" w14:paraId="7A6B08B9" w14:textId="1453226E">
      <w:pPr>
        <w:pStyle w:val="Heading3"/>
      </w:pPr>
      <w:r w:rsidR="0A9E1BEA">
        <w:rPr/>
        <w:t>CARB123 — RawMatPlus</w:t>
      </w:r>
    </w:p>
    <w:p w:rsidR="0A9E1BEA" w:rsidP="0A9E1BEA" w:rsidRDefault="0A9E1BEA" w14:paraId="61691BD2" w14:textId="132EF3A4">
      <w:pPr>
        <w:pStyle w:val="Normal"/>
      </w:pPr>
      <w:r w:rsidR="0A9E1BEA">
        <w:rPr/>
        <w:t>CARB123 shows a 90.25% average on-time delivery rate with an average 23.25-day delivery timeline and 10.5-day lead-time variance. The records show varying risk ratings and mitigation plans, suggesting that the component may be affected by inconsistent planning assumptions, reactive mitigation, and fluctuating supplier performance. The presence of both high-risk and lower-risk records indicates a need to normalize the assessment criteria used for this component.</w:t>
      </w:r>
    </w:p>
    <w:p w:rsidR="0A9E1BEA" w:rsidP="0A9E1BEA" w:rsidRDefault="0A9E1BEA" w14:paraId="33E995E6" w14:textId="0D0FCEE8">
      <w:pPr>
        <w:pStyle w:val="Heading3"/>
      </w:pPr>
      <w:r w:rsidR="0A9E1BEA">
        <w:rPr/>
        <w:t>BIND567 — EcoSupply</w:t>
      </w:r>
    </w:p>
    <w:p w:rsidR="0A9E1BEA" w:rsidP="0A9E1BEA" w:rsidRDefault="0A9E1BEA" w14:paraId="36D9CD18" w14:textId="56BC412F">
      <w:pPr>
        <w:pStyle w:val="Normal"/>
      </w:pPr>
      <w:r w:rsidR="0A9E1BEA">
        <w:rPr/>
        <w:t>BIND567 has the highest average on-time delivery rate at 99%, but its 64-day delivery timeline and 26-day lead-time variance create a planning concern. The most likely root cause is not recurring missed delivery commitments, but long-cycle dependency and limited schedule flexibility. This creates exposure if production needs change or if buffer inventory is not aligned to the actual replenishment cycle.</w:t>
      </w:r>
    </w:p>
    <w:p w:rsidR="0A9E1BEA" w:rsidP="0A9E1BEA" w:rsidRDefault="0A9E1BEA" w14:paraId="6FD96FE6" w14:textId="39D85BDC">
      <w:pPr>
        <w:pStyle w:val="Heading3"/>
      </w:pPr>
      <w:r w:rsidR="0A9E1BEA">
        <w:rPr/>
        <w:t>COAT890 — GlobalChem, RawMatPlus, and NextGen Pharma</w:t>
      </w:r>
    </w:p>
    <w:p w:rsidR="0A9E1BEA" w:rsidP="0A9E1BEA" w:rsidRDefault="0A9E1BEA" w14:paraId="34661844" w14:textId="318C0EE3">
      <w:pPr>
        <w:pStyle w:val="Normal"/>
      </w:pPr>
      <w:r w:rsidR="0A9E1BEA">
        <w:rPr/>
        <w:t>COAT890 is the most concerning delayed component due to its 84.2% average on-time delivery rate across five records. Because the component is associated with multiple suppliers, the issue may stem from fragmented supplier coordination, forecast misalignment, inconsistent replenishment models, or differing supplier execution capabilities. The repeated use of mitigation plans such as sourcing alternatives, negotiated terms, expedited shipping, and contract review points to a recurring need for stronger governance over this component’s supply base.</w:t>
      </w:r>
    </w:p>
    <w:p w:rsidR="0A9E1BEA" w:rsidP="0A9E1BEA" w:rsidRDefault="0A9E1BEA" w14:paraId="22D5C419" w14:textId="46BBF1FB">
      <w:pPr>
        <w:pStyle w:val="Heading2"/>
      </w:pPr>
      <w:r w:rsidR="0A9E1BEA">
        <w:rPr/>
        <w:t>Mitigation Strategies</w:t>
      </w:r>
    </w:p>
    <w:p w:rsidR="0A9E1BEA" w:rsidP="0A9E1BEA" w:rsidRDefault="0A9E1BEA" w14:paraId="2BF6AF04" w14:textId="47A35042">
      <w:pPr>
        <w:pStyle w:val="ListParagraph"/>
        <w:numPr>
          <w:ilvl w:val="0"/>
          <w:numId w:val="16"/>
        </w:numPr>
        <w:rPr/>
      </w:pPr>
      <w:r w:rsidRPr="0A9E1BEA" w:rsidR="0A9E1BEA">
        <w:rPr>
          <w:b w:val="1"/>
          <w:bCs w:val="1"/>
        </w:rPr>
        <w:t>Prioritize COAT890 for immediate remediation:</w:t>
      </w:r>
      <w:r w:rsidR="0A9E1BEA">
        <w:rPr/>
        <w:t xml:space="preserve"> Establish a component-level recovery plan focused on improving the 84.2% on-time delivery rate, aligning supplier commitments, and confirming near-term inventory coverage.</w:t>
      </w:r>
    </w:p>
    <w:p w:rsidR="0A9E1BEA" w:rsidP="0A9E1BEA" w:rsidRDefault="0A9E1BEA" w14:paraId="0D38963D" w14:textId="2651DA0E">
      <w:pPr>
        <w:pStyle w:val="ListParagraph"/>
        <w:numPr>
          <w:ilvl w:val="0"/>
          <w:numId w:val="16"/>
        </w:numPr>
        <w:rPr/>
      </w:pPr>
      <w:r w:rsidRPr="0A9E1BEA" w:rsidR="0A9E1BEA">
        <w:rPr>
          <w:b w:val="1"/>
          <w:bCs w:val="1"/>
        </w:rPr>
        <w:t>Formalize CARB123 risk treatment:</w:t>
      </w:r>
      <w:r w:rsidR="0A9E1BEA">
        <w:rPr/>
        <w:t xml:space="preserve"> Standardize the decision criteria that determine when to use expedited shipping, inventory increase, contract review, or negotiated terms. This will reduce inconsistent mitigation and improve auditability.</w:t>
      </w:r>
    </w:p>
    <w:p w:rsidR="0A9E1BEA" w:rsidP="0A9E1BEA" w:rsidRDefault="0A9E1BEA" w14:paraId="3E86D08C" w14:textId="13336838">
      <w:pPr>
        <w:pStyle w:val="ListParagraph"/>
        <w:numPr>
          <w:ilvl w:val="0"/>
          <w:numId w:val="16"/>
        </w:numPr>
        <w:rPr/>
      </w:pPr>
      <w:r w:rsidRPr="0A9E1BEA" w:rsidR="0A9E1BEA">
        <w:rPr>
          <w:b w:val="1"/>
          <w:bCs w:val="1"/>
        </w:rPr>
        <w:t>Address BIND567 long-cycle exposure:</w:t>
      </w:r>
      <w:r w:rsidR="0A9E1BEA">
        <w:rPr/>
        <w:t xml:space="preserve"> Maintain higher safety stock or planned reorder timing for BIND567 due to the 64-day timeline and 26-day variance, even though current on-time performance is strong.</w:t>
      </w:r>
    </w:p>
    <w:p w:rsidR="0A9E1BEA" w:rsidP="0A9E1BEA" w:rsidRDefault="0A9E1BEA" w14:paraId="671B8545" w14:textId="761841E7">
      <w:pPr>
        <w:pStyle w:val="ListParagraph"/>
        <w:numPr>
          <w:ilvl w:val="0"/>
          <w:numId w:val="16"/>
        </w:numPr>
        <w:rPr/>
      </w:pPr>
      <w:r w:rsidRPr="0A9E1BEA" w:rsidR="0A9E1BEA">
        <w:rPr>
          <w:b w:val="1"/>
          <w:bCs w:val="1"/>
        </w:rPr>
        <w:t>Strengthen supplier performance reviews:</w:t>
      </w:r>
      <w:r w:rsidR="0A9E1BEA">
        <w:rPr/>
        <w:t xml:space="preserve"> Track on-time delivery, reliability, defect rate, lead-time variance, quality pass rate, and forecast accuracy in a recurring supplier scorecard.</w:t>
      </w:r>
    </w:p>
    <w:p w:rsidR="0A9E1BEA" w:rsidP="0A9E1BEA" w:rsidRDefault="0A9E1BEA" w14:paraId="7893CF1E" w14:textId="7624E6B7">
      <w:pPr>
        <w:pStyle w:val="ListParagraph"/>
        <w:numPr>
          <w:ilvl w:val="0"/>
          <w:numId w:val="16"/>
        </w:numPr>
        <w:rPr/>
      </w:pPr>
      <w:r w:rsidRPr="0A9E1BEA" w:rsidR="0A9E1BEA">
        <w:rPr>
          <w:b w:val="1"/>
          <w:bCs w:val="1"/>
        </w:rPr>
        <w:t>Improve demand planning:</w:t>
      </w:r>
      <w:r w:rsidR="0A9E1BEA">
        <w:rPr/>
        <w:t xml:space="preserve"> Use forecast accuracy and production usage rates to recalibrate reorder points, order sizes, and safety stock levels for delayed components.</w:t>
      </w:r>
    </w:p>
    <w:p w:rsidR="0A9E1BEA" w:rsidP="0A9E1BEA" w:rsidRDefault="0A9E1BEA" w14:paraId="4A979A2A" w14:textId="3FEF3020">
      <w:pPr>
        <w:pStyle w:val="ListParagraph"/>
        <w:numPr>
          <w:ilvl w:val="0"/>
          <w:numId w:val="16"/>
        </w:numPr>
        <w:rPr/>
      </w:pPr>
      <w:r w:rsidRPr="0A9E1BEA" w:rsidR="0A9E1BEA">
        <w:rPr>
          <w:b w:val="1"/>
          <w:bCs w:val="1"/>
        </w:rPr>
        <w:t>Document exception handling:</w:t>
      </w:r>
      <w:r w:rsidR="0A9E1BEA">
        <w:rPr/>
        <w:t xml:space="preserve"> For any expedited shipment or alternate supplier decision, document the business rationale, quality considerations, cost impact, and approval path.</w:t>
      </w:r>
    </w:p>
    <w:sectPr w:rsidR="00AB5C8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29d39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df32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DA46CC"/>
    <w:multiLevelType w:val="multilevel"/>
    <w:tmpl w:val="9C2E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C6C17"/>
    <w:multiLevelType w:val="multilevel"/>
    <w:tmpl w:val="04EE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56273"/>
    <w:multiLevelType w:val="multilevel"/>
    <w:tmpl w:val="356E0A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CC6EC5"/>
    <w:multiLevelType w:val="multilevel"/>
    <w:tmpl w:val="B732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465206"/>
    <w:multiLevelType w:val="multilevel"/>
    <w:tmpl w:val="DD268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98F4A1E"/>
    <w:multiLevelType w:val="multilevel"/>
    <w:tmpl w:val="65500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B594DEE"/>
    <w:multiLevelType w:val="multilevel"/>
    <w:tmpl w:val="E5E084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E45A03"/>
    <w:multiLevelType w:val="multilevel"/>
    <w:tmpl w:val="FBD0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A074F1"/>
    <w:multiLevelType w:val="multilevel"/>
    <w:tmpl w:val="3B766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A152E72"/>
    <w:multiLevelType w:val="multilevel"/>
    <w:tmpl w:val="2FF2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2F1E41"/>
    <w:multiLevelType w:val="multilevel"/>
    <w:tmpl w:val="B4581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452750A"/>
    <w:multiLevelType w:val="multilevel"/>
    <w:tmpl w:val="AA32D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7112089"/>
    <w:multiLevelType w:val="multilevel"/>
    <w:tmpl w:val="AFE8F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C1915CB"/>
    <w:multiLevelType w:val="multilevel"/>
    <w:tmpl w:val="8B18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6">
    <w:abstractNumId w:val="15"/>
  </w:num>
  <w:num w:numId="15">
    <w:abstractNumId w:val="14"/>
  </w:num>
  <w:num w:numId="1" w16cid:durableId="1508518172">
    <w:abstractNumId w:val="11"/>
  </w:num>
  <w:num w:numId="2" w16cid:durableId="1014265696">
    <w:abstractNumId w:val="8"/>
  </w:num>
  <w:num w:numId="3" w16cid:durableId="1484851844">
    <w:abstractNumId w:val="12"/>
  </w:num>
  <w:num w:numId="4" w16cid:durableId="701976873">
    <w:abstractNumId w:val="1"/>
  </w:num>
  <w:num w:numId="5" w16cid:durableId="1318724798">
    <w:abstractNumId w:val="10"/>
  </w:num>
  <w:num w:numId="6" w16cid:durableId="361975290">
    <w:abstractNumId w:val="5"/>
  </w:num>
  <w:num w:numId="7" w16cid:durableId="177935950">
    <w:abstractNumId w:val="4"/>
  </w:num>
  <w:num w:numId="8" w16cid:durableId="1124156450">
    <w:abstractNumId w:val="7"/>
  </w:num>
  <w:num w:numId="9" w16cid:durableId="866523777">
    <w:abstractNumId w:val="2"/>
  </w:num>
  <w:num w:numId="10" w16cid:durableId="1608928975">
    <w:abstractNumId w:val="0"/>
  </w:num>
  <w:num w:numId="11" w16cid:durableId="236593473">
    <w:abstractNumId w:val="3"/>
  </w:num>
  <w:num w:numId="12" w16cid:durableId="1209101164">
    <w:abstractNumId w:val="13"/>
  </w:num>
  <w:num w:numId="13" w16cid:durableId="73168608">
    <w:abstractNumId w:val="9"/>
  </w:num>
  <w:num w:numId="14" w16cid:durableId="85114800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00"/>
    <w:rsid w:val="00132535"/>
    <w:rsid w:val="0015199A"/>
    <w:rsid w:val="00240124"/>
    <w:rsid w:val="00255CB6"/>
    <w:rsid w:val="00262BDD"/>
    <w:rsid w:val="002B4B2F"/>
    <w:rsid w:val="00341D66"/>
    <w:rsid w:val="003B54E5"/>
    <w:rsid w:val="00421B00"/>
    <w:rsid w:val="004A5A1F"/>
    <w:rsid w:val="00631D2B"/>
    <w:rsid w:val="00696EFC"/>
    <w:rsid w:val="008C2E7A"/>
    <w:rsid w:val="008E6011"/>
    <w:rsid w:val="008F6E17"/>
    <w:rsid w:val="009A4DAE"/>
    <w:rsid w:val="00A35136"/>
    <w:rsid w:val="00AB5C85"/>
    <w:rsid w:val="00B7174E"/>
    <w:rsid w:val="00BB0C56"/>
    <w:rsid w:val="00BD3A7B"/>
    <w:rsid w:val="00DE6EB7"/>
    <w:rsid w:val="00E24E9F"/>
    <w:rsid w:val="00E330DF"/>
    <w:rsid w:val="00F756A3"/>
    <w:rsid w:val="0A9E1BEA"/>
    <w:rsid w:val="1334977E"/>
    <w:rsid w:val="363EBFA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76BF"/>
  <w15:chartTrackingRefBased/>
  <w15:docId w15:val="{3E39E55D-7B42-45AF-8FCA-2BD2571119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1B0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B0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0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1B0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21B0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1B0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1B0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1B0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1B0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1B0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1B0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1B00"/>
    <w:rPr>
      <w:rFonts w:eastAsiaTheme="majorEastAsia" w:cstheme="majorBidi"/>
      <w:color w:val="272727" w:themeColor="text1" w:themeTint="D8"/>
    </w:rPr>
  </w:style>
  <w:style w:type="paragraph" w:styleId="Title">
    <w:name w:val="Title"/>
    <w:basedOn w:val="Normal"/>
    <w:next w:val="Normal"/>
    <w:link w:val="TitleChar"/>
    <w:uiPriority w:val="10"/>
    <w:qFormat/>
    <w:rsid w:val="00421B0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1B0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1B0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1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00"/>
    <w:pPr>
      <w:spacing w:before="160"/>
      <w:jc w:val="center"/>
    </w:pPr>
    <w:rPr>
      <w:i/>
      <w:iCs/>
      <w:color w:val="404040" w:themeColor="text1" w:themeTint="BF"/>
    </w:rPr>
  </w:style>
  <w:style w:type="character" w:styleId="QuoteChar" w:customStyle="1">
    <w:name w:val="Quote Char"/>
    <w:basedOn w:val="DefaultParagraphFont"/>
    <w:link w:val="Quote"/>
    <w:uiPriority w:val="29"/>
    <w:rsid w:val="00421B00"/>
    <w:rPr>
      <w:i/>
      <w:iCs/>
      <w:color w:val="404040" w:themeColor="text1" w:themeTint="BF"/>
    </w:rPr>
  </w:style>
  <w:style w:type="paragraph" w:styleId="ListParagraph">
    <w:name w:val="List Paragraph"/>
    <w:basedOn w:val="Normal"/>
    <w:uiPriority w:val="34"/>
    <w:qFormat/>
    <w:rsid w:val="00421B00"/>
    <w:pPr>
      <w:ind w:left="720"/>
      <w:contextualSpacing/>
    </w:pPr>
  </w:style>
  <w:style w:type="character" w:styleId="IntenseEmphasis">
    <w:name w:val="Intense Emphasis"/>
    <w:basedOn w:val="DefaultParagraphFont"/>
    <w:uiPriority w:val="21"/>
    <w:qFormat/>
    <w:rsid w:val="00421B00"/>
    <w:rPr>
      <w:i/>
      <w:iCs/>
      <w:color w:val="0F4761" w:themeColor="accent1" w:themeShade="BF"/>
    </w:rPr>
  </w:style>
  <w:style w:type="paragraph" w:styleId="IntenseQuote">
    <w:name w:val="Intense Quote"/>
    <w:basedOn w:val="Normal"/>
    <w:next w:val="Normal"/>
    <w:link w:val="IntenseQuoteChar"/>
    <w:uiPriority w:val="30"/>
    <w:qFormat/>
    <w:rsid w:val="00421B0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1B00"/>
    <w:rPr>
      <w:i/>
      <w:iCs/>
      <w:color w:val="0F4761" w:themeColor="accent1" w:themeShade="BF"/>
    </w:rPr>
  </w:style>
  <w:style w:type="character" w:styleId="IntenseReference">
    <w:name w:val="Intense Reference"/>
    <w:basedOn w:val="DefaultParagraphFont"/>
    <w:uiPriority w:val="32"/>
    <w:qFormat/>
    <w:rsid w:val="00421B00"/>
    <w:rPr>
      <w:b/>
      <w:bCs/>
      <w:smallCaps/>
      <w:color w:val="0F4761" w:themeColor="accent1" w:themeShade="BF"/>
      <w:spacing w:val="5"/>
    </w:rPr>
  </w:style>
  <w:style w:type="paragraph" w:styleId="pf0" w:customStyle="1">
    <w:name w:val="pf0"/>
    <w:basedOn w:val="Normal"/>
    <w:rsid w:val="00341D66"/>
    <w:pPr>
      <w:spacing w:before="100" w:beforeAutospacing="1" w:after="100" w:afterAutospacing="1" w:line="240" w:lineRule="auto"/>
    </w:pPr>
    <w:rPr>
      <w:rFonts w:ascii="Times New Roman" w:hAnsi="Times New Roman" w:eastAsia="Times New Roman" w:cs="Times New Roman"/>
      <w:kern w:val="0"/>
      <w:lang w:bidi="he-IL"/>
      <w14:ligatures w14:val="none"/>
    </w:rPr>
  </w:style>
  <w:style w:type="character" w:styleId="cf01" w:customStyle="1">
    <w:name w:val="cf01"/>
    <w:basedOn w:val="DefaultParagraphFont"/>
    <w:rsid w:val="00341D66"/>
    <w:rPr>
      <w:rFonts w:hint="default" w:ascii="Segoe UI" w:hAnsi="Segoe UI" w:cs="Segoe UI"/>
      <w:sz w:val="21"/>
      <w:szCs w:val="21"/>
    </w:rPr>
  </w:style>
  <w:style w:type="character" w:styleId="cf11" w:customStyle="1">
    <w:name w:val="cf11"/>
    <w:basedOn w:val="DefaultParagraphFont"/>
    <w:rsid w:val="00341D66"/>
    <w:rPr>
      <w:rFonts w:hint="default" w:ascii="Segoe UI" w:hAnsi="Segoe UI" w:cs="Segoe UI"/>
      <w:color w:val="185ABD"/>
      <w:sz w:val="21"/>
      <w:szCs w:val="2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3449">
      <w:bodyDiv w:val="1"/>
      <w:marLeft w:val="0"/>
      <w:marRight w:val="0"/>
      <w:marTop w:val="0"/>
      <w:marBottom w:val="0"/>
      <w:divBdr>
        <w:top w:val="none" w:sz="0" w:space="0" w:color="auto"/>
        <w:left w:val="none" w:sz="0" w:space="0" w:color="auto"/>
        <w:bottom w:val="none" w:sz="0" w:space="0" w:color="auto"/>
        <w:right w:val="none" w:sz="0" w:space="0" w:color="auto"/>
      </w:divBdr>
    </w:div>
    <w:div w:id="399140791">
      <w:bodyDiv w:val="1"/>
      <w:marLeft w:val="0"/>
      <w:marRight w:val="0"/>
      <w:marTop w:val="0"/>
      <w:marBottom w:val="0"/>
      <w:divBdr>
        <w:top w:val="none" w:sz="0" w:space="0" w:color="auto"/>
        <w:left w:val="none" w:sz="0" w:space="0" w:color="auto"/>
        <w:bottom w:val="none" w:sz="0" w:space="0" w:color="auto"/>
        <w:right w:val="none" w:sz="0" w:space="0" w:color="auto"/>
      </w:divBdr>
    </w:div>
    <w:div w:id="461267120">
      <w:bodyDiv w:val="1"/>
      <w:marLeft w:val="0"/>
      <w:marRight w:val="0"/>
      <w:marTop w:val="0"/>
      <w:marBottom w:val="0"/>
      <w:divBdr>
        <w:top w:val="none" w:sz="0" w:space="0" w:color="auto"/>
        <w:left w:val="none" w:sz="0" w:space="0" w:color="auto"/>
        <w:bottom w:val="none" w:sz="0" w:space="0" w:color="auto"/>
        <w:right w:val="none" w:sz="0" w:space="0" w:color="auto"/>
      </w:divBdr>
    </w:div>
    <w:div w:id="818033658">
      <w:bodyDiv w:val="1"/>
      <w:marLeft w:val="0"/>
      <w:marRight w:val="0"/>
      <w:marTop w:val="0"/>
      <w:marBottom w:val="0"/>
      <w:divBdr>
        <w:top w:val="none" w:sz="0" w:space="0" w:color="auto"/>
        <w:left w:val="none" w:sz="0" w:space="0" w:color="auto"/>
        <w:bottom w:val="none" w:sz="0" w:space="0" w:color="auto"/>
        <w:right w:val="none" w:sz="0" w:space="0" w:color="auto"/>
      </w:divBdr>
    </w:div>
    <w:div w:id="868370621">
      <w:bodyDiv w:val="1"/>
      <w:marLeft w:val="0"/>
      <w:marRight w:val="0"/>
      <w:marTop w:val="0"/>
      <w:marBottom w:val="0"/>
      <w:divBdr>
        <w:top w:val="none" w:sz="0" w:space="0" w:color="auto"/>
        <w:left w:val="none" w:sz="0" w:space="0" w:color="auto"/>
        <w:bottom w:val="none" w:sz="0" w:space="0" w:color="auto"/>
        <w:right w:val="none" w:sz="0" w:space="0" w:color="auto"/>
      </w:divBdr>
    </w:div>
    <w:div w:id="1272472790">
      <w:bodyDiv w:val="1"/>
      <w:marLeft w:val="0"/>
      <w:marRight w:val="0"/>
      <w:marTop w:val="0"/>
      <w:marBottom w:val="0"/>
      <w:divBdr>
        <w:top w:val="none" w:sz="0" w:space="0" w:color="auto"/>
        <w:left w:val="none" w:sz="0" w:space="0" w:color="auto"/>
        <w:bottom w:val="none" w:sz="0" w:space="0" w:color="auto"/>
        <w:right w:val="none" w:sz="0" w:space="0" w:color="auto"/>
      </w:divBdr>
    </w:div>
    <w:div w:id="1459833671">
      <w:bodyDiv w:val="1"/>
      <w:marLeft w:val="0"/>
      <w:marRight w:val="0"/>
      <w:marTop w:val="0"/>
      <w:marBottom w:val="0"/>
      <w:divBdr>
        <w:top w:val="none" w:sz="0" w:space="0" w:color="auto"/>
        <w:left w:val="none" w:sz="0" w:space="0" w:color="auto"/>
        <w:bottom w:val="none" w:sz="0" w:space="0" w:color="auto"/>
        <w:right w:val="none" w:sz="0" w:space="0" w:color="auto"/>
      </w:divBdr>
    </w:div>
    <w:div w:id="177743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Quinones, Justin [GTSUS]</lastModifiedBy>
  <revision>21</revision>
  <dcterms:created xsi:type="dcterms:W3CDTF">2026-08-19T20:34:00.0000000Z</dcterms:created>
  <dcterms:modified xsi:type="dcterms:W3CDTF">2026-08-19T20:40:28.5876871Z</dcterms:modified>
  <category/>
</coreProperties>
</file>