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Georgia" w:hAnsi="Georgia"/>
          <w:b/>
          <w:color w:val="7A5E1F"/>
          <w:sz w:val="20"/>
        </w:rPr>
        <w:t>R E S T A U R A N T E   E L   P A T I O</w:t>
      </w:r>
    </w:p>
    <w:p>
      <w:pPr>
        <w:spacing w:after="0"/>
      </w:pPr>
      <w:r>
        <w:rPr>
          <w:color w:val="6B6352"/>
          <w:sz w:val="18"/>
        </w:rPr>
        <w:t>Turbaco, Bolívar  ·  restauranteelpatio.com</w:t>
      </w:r>
    </w:p>
    <w:p>
      <w:pPr>
        <w:spacing w:before="520" w:after="40"/>
      </w:pPr>
      <w:r>
        <w:rPr>
          <w:b/>
          <w:color w:val="6B6352"/>
          <w:sz w:val="19"/>
        </w:rPr>
        <w:t>MANUAL DE USO</w:t>
      </w:r>
    </w:p>
    <w:p>
      <w:pPr>
        <w:spacing w:after="200"/>
      </w:pPr>
      <w:r>
        <w:rPr>
          <w:rFonts w:ascii="Georgia" w:hAnsi="Georgia"/>
          <w:b/>
          <w:color w:val="171512"/>
          <w:sz w:val="52"/>
        </w:rPr>
        <w:t>Administrador</w:t>
      </w:r>
    </w:p>
    <w:tbl>
      <w:tblPr>
        <w:tblW w:type="auto" w:w="0"/>
        <w:tblLook w:firstColumn="1" w:firstRow="1" w:lastColumn="0" w:lastRow="0" w:noHBand="0" w:noVBand="1" w:val="04A0"/>
      </w:tblPr>
      <w:tblGrid>
        <w:gridCol w:w="9406"/>
      </w:tblGrid>
      <w:tr>
        <w:tc>
          <w:tcPr>
            <w:tcW w:type="dxa" w:w="9406"/>
            <w:shd w:val="clear" w:color="auto" w:fill="F3EAD8"/>
          </w:tcPr>
          <w:p>
            <w:r/>
            <w:r>
              <w:rPr>
                <w:sz w:val="20"/>
              </w:rPr>
              <w:t>El panel completo, en /admin. Entra además a todas las pantallas de los demás puestos.</w:t>
            </w:r>
          </w:p>
        </w:tc>
      </w:tr>
    </w:tbl>
    <w:p>
      <w:pPr>
        <w:spacing w:after="80"/>
      </w:pPr>
    </w:p>
    <w:p>
      <w:pPr>
        <w:spacing w:before="400" w:after="120"/>
      </w:pPr>
      <w:r>
        <w:rPr>
          <w:rFonts w:ascii="Georgia" w:hAnsi="Georgia"/>
          <w:b/>
          <w:color w:val="7A5E1F"/>
          <w:sz w:val="29"/>
        </w:rPr>
        <w:t>1.  La carta y los precios</w:t>
      </w:r>
    </w:p>
    <w:p>
      <w:pPr>
        <w:pStyle w:val="ListBullet"/>
        <w:spacing w:after="80"/>
      </w:pPr>
      <w:r>
        <w:rPr>
          <w:b/>
          <w:sz w:val="21"/>
        </w:rPr>
        <w:t>Agotar un plato es un solo interruptor.</w:t>
      </w:r>
      <w:r>
        <w:rPr>
          <w:sz w:val="21"/>
        </w:rPr>
        <w:t xml:space="preserve"> Desaparece del sitio público y de la comandera al instante, sin recargar nada.</w:t>
      </w:r>
    </w:p>
    <w:p>
      <w:pPr>
        <w:pStyle w:val="ListBullet"/>
        <w:spacing w:after="80"/>
      </w:pPr>
      <w:r>
        <w:rPr>
          <w:b/>
          <w:sz w:val="21"/>
        </w:rPr>
        <w:t>El precio de promoción es un precio, no un descuento.</w:t>
      </w:r>
      <w:r>
        <w:rPr>
          <w:sz w:val="21"/>
        </w:rPr>
        <w:t xml:space="preserve"> Esa diferencia mantiene simple todo lo demás: la venta ocurre a ese valor y el impuesto y la propina se calculan sobre él, sin reglas aparte. Puede ponerle fecha de inicio y de fin.</w:t>
      </w:r>
    </w:p>
    <w:p>
      <w:pPr>
        <w:pStyle w:val="ListBullet"/>
        <w:spacing w:after="80"/>
      </w:pPr>
      <w:r>
        <w:rPr>
          <w:b/>
          <w:sz w:val="21"/>
        </w:rPr>
        <w:t>El precio queda copiado en la comanda.</w:t>
      </w:r>
      <w:r>
        <w:rPr>
          <w:sz w:val="21"/>
        </w:rPr>
        <w:t xml:space="preserve"> Si mañana termina la promoción, la cuenta de anoche sigue valiendo lo que se le dijo al cliente.</w:t>
      </w:r>
    </w:p>
    <w:p>
      <w:pPr>
        <w:pStyle w:val="ListBullet"/>
        <w:spacing w:after="80"/>
      </w:pPr>
      <w:r>
        <w:rPr>
          <w:b/>
          <w:sz w:val="21"/>
        </w:rPr>
        <w:t>El destino decide la pantalla.</w:t>
      </w:r>
      <w:r>
        <w:rPr>
          <w:sz w:val="21"/>
        </w:rPr>
        <w:t xml:space="preserve"> Cada producto va a plancha o a barra. Un producto con el destino equivocado no le llega a quien tiene que prepararlo.</w:t>
      </w:r>
    </w:p>
    <w:p>
      <w:pPr>
        <w:pStyle w:val="ListBullet"/>
        <w:spacing w:after="80"/>
      </w:pPr>
      <w:r>
        <w:rPr>
          <w:b/>
          <w:sz w:val="21"/>
        </w:rPr>
        <w:t>El tiempo estimado de cada plato.</w:t>
      </w:r>
      <w:r>
        <w:rPr>
          <w:sz w:val="21"/>
        </w:rPr>
        <w:t xml:space="preserve"> Sale en la carta del panel como una etiqueta dorada con reloj junto al precio, y se cambia al editar el plato, en «Tiempo estimado de preparación». Es contra lo que cocina y el mesero miden si un plato va tarde, así que conviene ponerle a cada uno su tiempo real: una bebida con 1 minuto se pone en rojo casi apenas llega a la barra. El cocinero también lo ajusta desde su pantalla, y el cambio se ve aquí.</w:t>
      </w:r>
    </w:p>
    <w:p>
      <w:pPr>
        <w:pStyle w:val="ListBullet"/>
        <w:spacing w:after="80"/>
      </w:pPr>
      <w:r>
        <w:rPr>
          <w:b/>
          <w:sz w:val="21"/>
        </w:rPr>
        <w:t>Recomendados de la casa.</w:t>
      </w:r>
      <w:r>
        <w:rPr>
          <w:sz w:val="21"/>
        </w:rPr>
        <w:t xml:space="preserve"> Al editar el plato, el interruptor «Recomendado de la casa» lo pone en la sección de recomendados de la carta del sitio.</w:t>
      </w:r>
    </w:p>
    <w:p>
      <w:pPr>
        <w:pStyle w:val="ListBullet"/>
        <w:spacing w:after="80"/>
      </w:pPr>
      <w:r>
        <w:rPr>
          <w:b/>
          <w:sz w:val="21"/>
        </w:rPr>
        <w:t>Los más pedidos.</w:t>
      </w:r>
      <w:r>
        <w:rPr>
          <w:sz w:val="21"/>
        </w:rPr>
        <w:t xml:space="preserve"> La carta del sitio muestra sola los platos más vendidos del último mes. La sección aparece cuando hay ventas de al menos tres platos distintos.</w:t>
      </w:r>
    </w:p>
    <w:p>
      <w:pPr>
        <w:pStyle w:val="ListBullet"/>
        <w:spacing w:after="80"/>
      </w:pPr>
      <w:r>
        <w:rPr>
          <w:b/>
          <w:sz w:val="21"/>
        </w:rPr>
        <w:t>Las fotos de cada plato.</w:t>
      </w:r>
      <w:r>
        <w:rPr>
          <w:sz w:val="21"/>
        </w:rPr>
        <w:t xml:space="preserve"> Se suben entrando al plato en /admin/carta. La primera es la portada, la que sale en el listado de la carta; las demás las ve el cliente al tocar el plato. Cada foto tiene un botón para volverla portada.</w:t>
      </w:r>
    </w:p>
    <w:p>
      <w:pPr>
        <w:pStyle w:val="ListBullet"/>
        <w:spacing w:after="80"/>
      </w:pPr>
      <w:r>
        <w:rPr>
          <w:b/>
          <w:sz w:val="21"/>
        </w:rPr>
        <w:t>Las fotos se muestran enteras.</w:t>
      </w:r>
      <w:r>
        <w:rPr>
          <w:sz w:val="21"/>
        </w:rPr>
        <w:t xml:space="preserve"> El sitio no las recorta, así que conviene subirlas ya encuadradas. Entran hasta de 25 MB; las muy pesadas el sistema las reduce sola, sin que se note en pantalla.</w:t>
      </w:r>
    </w:p>
    <w:p>
      <w:pPr>
        <w:pStyle w:val="ListBullet"/>
        <w:spacing w:after="80"/>
      </w:pPr>
      <w:r>
        <w:rPr>
          <w:b/>
          <w:sz w:val="21"/>
        </w:rPr>
        <w:t>Los cambios de fotos se guardan con el plato.</w:t>
      </w:r>
      <w:r>
        <w:rPr>
          <w:sz w:val="21"/>
        </w:rPr>
        <w:t xml:space="preserve"> Una foto que se quita desaparece del almacén solo al guardar el plato. Si se sale sin guardar, el plato sigue como estaba.</w:t>
      </w:r>
    </w:p>
    <w:p>
      <w:pPr>
        <w:spacing w:before="400" w:after="120"/>
      </w:pPr>
      <w:r>
        <w:rPr>
          <w:rFonts w:ascii="Georgia" w:hAnsi="Georgia"/>
          <w:b/>
          <w:color w:val="7A5E1F"/>
          <w:sz w:val="29"/>
        </w:rPr>
        <w:t>2.  Publicaciones</w:t>
      </w:r>
    </w:p>
    <w:p>
      <w:r>
        <w:rPr>
          <w:i w:val="0"/>
          <w:sz w:val="21"/>
        </w:rPr>
        <w:t>Promociones, eventos y fotos del local, que salen en la portada del sitio. Si algo no se ve, hay dos causas distintas y conviene no confundirlas: puede estar sin publicar, o publicada pero fuera de fecha. La pantalla se lo dice. Las fotos del local van con tipo «galería»: el título se lee encima de cada foto en la portada, así que conviene escribirlo como un pie de foto («La terraza de los arcos») y no como un nombre de archivo.</w:t>
      </w:r>
    </w:p>
    <w:p>
      <w:pPr>
        <w:spacing w:before="400" w:after="120"/>
      </w:pPr>
      <w:r>
        <w:rPr>
          <w:rFonts w:ascii="Georgia" w:hAnsi="Georgia"/>
          <w:b/>
          <w:color w:val="7A5E1F"/>
          <w:sz w:val="29"/>
        </w:rPr>
        <w:t>3.  Personal y accesos</w:t>
      </w:r>
    </w:p>
    <w:p>
      <w:pPr>
        <w:pStyle w:val="ListBullet"/>
        <w:spacing w:after="80"/>
      </w:pPr>
      <w:r>
        <w:rPr>
          <w:sz w:val="21"/>
        </w:rPr>
        <w:t>Una cuenta por persona, con su rol. No se comparten: el sistema anota quién abrió cada mesa, quién aceptó cada pedido y quién anuló qué.</w:t>
      </w:r>
    </w:p>
    <w:p>
      <w:pPr>
        <w:pStyle w:val="ListBullet"/>
        <w:spacing w:after="80"/>
      </w:pPr>
      <w:r>
        <w:rPr>
          <w:sz w:val="21"/>
        </w:rPr>
        <w:t>Las cuentas se desactivan, no se borran. Un mesero que se fue deja sus ventas en el histórico.</w:t>
      </w:r>
    </w:p>
    <w:p>
      <w:pPr>
        <w:pStyle w:val="ListBullet"/>
        <w:spacing w:after="80"/>
      </w:pPr>
      <w:r>
        <w:rPr>
          <w:sz w:val="21"/>
        </w:rPr>
        <w:t>Los seis roles son: mesero, cocina, recepción, repartidor, cajero y administrador.</w:t>
      </w:r>
    </w:p>
    <w:p>
      <w:pPr>
        <w:pStyle w:val="ListBullet"/>
        <w:spacing w:after="80"/>
      </w:pPr>
      <w:r>
        <w:rPr>
          <w:b/>
          <w:sz w:val="21"/>
        </w:rPr>
        <w:t>Cambiar una clave.</w:t>
      </w:r>
      <w:r>
        <w:rPr>
          <w:sz w:val="21"/>
        </w:rPr>
        <w:t xml:space="preserve"> En /admin/configuracion, sección Personal, toque el nombre de la persona, escriba la clave nueva —mínimo 4 caracteres— y guarde. La clave nunca se muestra: si alguien la olvida, se le pone una nueva.</w:t>
      </w:r>
    </w:p>
    <w:p>
      <w:pPr>
        <w:pStyle w:val="ListBullet"/>
        <w:spacing w:after="80"/>
      </w:pPr>
      <w:r>
        <w:rPr>
          <w:b/>
          <w:sz w:val="21"/>
        </w:rPr>
        <w:t>La cuenta del dueño es la misma en los dos restaurantes.</w:t>
      </w:r>
      <w:r>
        <w:rPr>
          <w:sz w:val="21"/>
        </w:rPr>
        <w:t xml:space="preserve"> Cambiar su clave en El Patio la cambia también en La Carreta. Con el selector de arriba del panel se pasa al panel del otro restaurante sin volver a escribirla.</w:t>
      </w:r>
    </w:p>
    <w:p>
      <w:pPr>
        <w:spacing w:before="400" w:after="120"/>
      </w:pPr>
      <w:r>
        <w:rPr>
          <w:rFonts w:ascii="Georgia" w:hAnsi="Georgia"/>
          <w:b/>
          <w:color w:val="7A5E1F"/>
          <w:sz w:val="29"/>
        </w:rPr>
        <w:t>4.  Las cifras</w:t>
      </w:r>
    </w:p>
    <w:p>
      <w:pPr>
        <w:pStyle w:val="ListBullet"/>
        <w:spacing w:after="80"/>
      </w:pPr>
      <w:r>
        <w:rPr>
          <w:b/>
          <w:sz w:val="21"/>
        </w:rPr>
        <w:t>Ventas.</w:t>
      </w:r>
      <w:r>
        <w:rPr>
          <w:sz w:val="21"/>
        </w:rPr>
        <w:t xml:space="preserve"> El histórico completo, con el comprobante de cada una para reimprimir.</w:t>
      </w:r>
    </w:p>
    <w:p>
      <w:pPr>
        <w:pStyle w:val="ListBullet"/>
        <w:spacing w:after="80"/>
      </w:pPr>
      <w:r>
        <w:rPr>
          <w:b/>
          <w:sz w:val="21"/>
        </w:rPr>
        <w:t>Cierre de caja.</w:t>
      </w:r>
      <w:r>
        <w:rPr>
          <w:sz w:val="21"/>
        </w:rPr>
        <w:t xml:space="preserve"> Los cierres de cada turno, con las cifras fiscales.</w:t>
      </w:r>
    </w:p>
    <w:p>
      <w:pPr>
        <w:pStyle w:val="ListBullet"/>
        <w:spacing w:after="80"/>
      </w:pPr>
      <w:r>
        <w:rPr>
          <w:b/>
          <w:sz w:val="21"/>
        </w:rPr>
        <w:t>Reportes.</w:t>
      </w:r>
      <w:r>
        <w:rPr>
          <w:sz w:val="21"/>
        </w:rPr>
        <w:t xml:space="preserve"> Exportables a Excel y PDF por rango de fechas.</w:t>
      </w:r>
    </w:p>
    <w:p>
      <w:pPr>
        <w:spacing w:before="400" w:after="120"/>
      </w:pPr>
      <w:r>
        <w:rPr>
          <w:rFonts w:ascii="Georgia" w:hAnsi="Georgia"/>
          <w:b/>
          <w:color w:val="7A5E1F"/>
          <w:sz w:val="29"/>
        </w:rPr>
        <w:t>5.  Tres decisiones que le van a preguntar</w:t>
      </w:r>
    </w:p>
    <w:p>
      <w:pPr>
        <w:spacing w:before="260" w:after="60"/>
      </w:pPr>
      <w:r>
        <w:rPr>
          <w:b/>
          <w:sz w:val="22"/>
        </w:rPr>
        <w:t>¿Por qué no puedo editar el consecutivo?</w:t>
      </w:r>
    </w:p>
    <w:p>
      <w:r>
        <w:rPr>
          <w:i w:val="0"/>
          <w:sz w:val="21"/>
        </w:rPr>
        <w:t>Porque es el respaldo de que la numeración de comprobantes no tiene saltos ni repetidos. Dejar que una pantalla lo reescriba destruiría justo esa garantía. Se entrega bajo bloqueo, y si una venta se revierte el número vuelve a quedar libre.</w:t>
      </w:r>
    </w:p>
    <w:p>
      <w:pPr>
        <w:spacing w:before="260" w:after="60"/>
      </w:pPr>
      <w:r>
        <w:rPr>
          <w:b/>
          <w:sz w:val="22"/>
        </w:rPr>
        <w:t>¿Por qué el domicilio no paga impuesto al consumo?</w:t>
      </w:r>
    </w:p>
    <w:p>
      <w:r>
        <w:rPr>
          <w:i w:val="0"/>
          <w:sz w:val="21"/>
        </w:rPr>
        <w:t>Porque el envío es un servicio de transporte, no consumo de comida. Va como línea aparte después del impuesto, y tampoco entra en la base sobre la que se calcula la propina.</w:t>
      </w:r>
    </w:p>
    <w:p>
      <w:pPr>
        <w:spacing w:before="260" w:after="60"/>
      </w:pPr>
      <w:r>
        <w:rPr>
          <w:b/>
          <w:sz w:val="22"/>
        </w:rPr>
        <w:t>¿Por qué recepción entra a los ajustes del sitio?</w:t>
      </w:r>
    </w:p>
    <w:p>
      <w:r>
        <w:rPr>
          <w:i w:val="0"/>
          <w:sz w:val="21"/>
        </w:rPr>
        <w:t>Porque es quien contesta «¿hasta qué hora abren?» y quien primero se entera de que el horario publicado quedó viejo. Obligarla a pedirle el cambio a usted es lo que hace que el sitio muestre un horario equivocado durante una semana. Lo que sigue siendo solo suyo: el impuesto al consumo, las cuentas del personal y las mesas.</w:t>
      </w:r>
    </w:p>
    <w:p>
      <w:pPr>
        <w:spacing w:before="400" w:after="120"/>
      </w:pPr>
      <w:r>
        <w:rPr>
          <w:rFonts w:ascii="Georgia" w:hAnsi="Georgia"/>
          <w:b/>
          <w:color w:val="7A5E1F"/>
          <w:sz w:val="29"/>
        </w:rPr>
        <w:t>6.  PQR y postulaciones</w:t>
      </w:r>
    </w:p>
    <w:p>
      <w:r>
        <w:rPr>
          <w:i w:val="0"/>
          <w:sz w:val="21"/>
        </w:rPr>
        <w:t>Las quejas y las hojas de vida que llegan por el sitio caen en su panel. La PQR tiene un radicado y un plazo en días hábiles, configurable. La consulta pública exige radicado y correo a la vez, que es lo que impide recorrer los números en orden y leer las quejas de todo el mundo.</w:t>
      </w:r>
    </w:p>
    <w:p>
      <w:r>
        <w:rPr>
          <w:i w:val="0"/>
          <w:sz w:val="21"/>
        </w:rPr>
        <w:t>Cada hoja de vida llega además al correo de recursos humanos (rrhh@restauranteelpatio.com), con los datos de la persona, la hoja de vida en PDF adjunta y enlaces para responder por correo o por WhatsApp. Si alguien la envía dos veces con el mismo documento en menos de 30 días, la segunda no entra, para que la bandeja no se llene de repetidas. La política de tratamiento de datos que lee quien se postula se edita en el panel, en Institucional.</w:t>
      </w:r>
    </w:p>
    <w:sectPr w:rsidR="00FC693F" w:rsidRPr="0006063C" w:rsidSect="00034616">
      <w:footerReference w:type="default" r:id="rId9"/>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pPr>
    <w:r>
      <w:rPr>
        <w:color w:val="6B6352"/>
        <w:sz w:val="16"/>
      </w:rPr>
      <w:t>Restaurante El Patio · Manual de uso</w:t>
      <w:tab/>
    </w:r>
    <w:r>
      <w:rPr>
        <w:color w:val="6B6352"/>
        <w:sz w:val="16"/>
      </w:rPr>
      <w:t xml:space="preserve">Página </w:t>
    </w:r>
    <w:r>
      <w:rPr>
        <w:color w:val="6B6352"/>
        <w:sz w:val="16"/>
      </w:rPr>
      <w:fldChar w:fldCharType="begin"/>
    </w:r>
    <w:r>
      <w:rPr>
        <w:color w:val="6B6352"/>
        <w:sz w:val="16"/>
      </w:rPr>
      <w:instrText xml:space="preserve">PAGE</w:instrText>
    </w:r>
    <w:r>
      <w:rPr>
        <w:color w:val="6B6352"/>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color w:val="1715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