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MANUAL DE USO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Cajero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Cobra desde la cuenta de cada mesa y cierra el turno en /admin/cierre. Entra también a las pantallas de recepción.</w:t>
            </w:r>
          </w:p>
        </w:tc>
      </w:tr>
    </w:tbl>
    <w:p>
      <w:pPr>
        <w:spacing w:after="8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Su primer turno en tres pasos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1.  </w:t>
      </w:r>
      <w:r>
        <w:rPr>
          <w:b/>
          <w:sz w:val="21"/>
        </w:rPr>
        <w:t>Abra la cuenta de la mesa.</w:t>
      </w:r>
    </w:p>
    <w:p>
      <w:pPr>
        <w:spacing w:after="80"/>
        <w:ind w:left="454"/>
      </w:pPr>
      <w:r>
        <w:rPr>
          <w:sz w:val="21"/>
        </w:rPr>
        <w:t>Desde la comandera, en la mesa que pidió la cuenta. Verá el consumo, el impuesto al consumo, los cargos adicionales y el envío si lo hay.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2.  </w:t>
      </w:r>
      <w:r>
        <w:rPr>
          <w:b/>
          <w:sz w:val="21"/>
        </w:rPr>
        <w:t>Consulte la propina.</w:t>
      </w:r>
    </w:p>
    <w:p>
      <w:pPr>
        <w:spacing w:after="80"/>
        <w:ind w:left="454"/>
      </w:pPr>
      <w:r>
        <w:rPr>
          <w:sz w:val="21"/>
        </w:rPr>
        <w:t>Arranca en cero y ninguna opción viene marcada. Pregúntele al cliente y registre lo que él diga.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3.  </w:t>
      </w:r>
      <w:r>
        <w:rPr>
          <w:b/>
          <w:sz w:val="21"/>
        </w:rPr>
        <w:t>Cobre.</w:t>
      </w:r>
    </w:p>
    <w:p>
      <w:pPr>
        <w:spacing w:after="80"/>
        <w:ind w:left="454"/>
      </w:pPr>
      <w:r>
        <w:rPr>
          <w:sz w:val="21"/>
        </w:rPr>
        <w:t>Escoja el medio de pago y confirme. Si paga en efectivo, el sistema calcula las vueltas al escribir con cuánto paga.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Los casos de todas las noches</w:t>
      </w:r>
    </w:p>
    <w:p>
      <w:pPr>
        <w:spacing w:before="260" w:after="60"/>
      </w:pPr>
      <w:r>
        <w:rPr>
          <w:b/>
          <w:sz w:val="22"/>
        </w:rPr>
        <w:t>Pago mixto</w:t>
      </w:r>
    </w:p>
    <w:p>
      <w:r>
        <w:rPr>
          <w:i w:val="0"/>
          <w:sz w:val="21"/>
        </w:rPr>
        <w:t>Una parte en efectivo y el resto con tarjeta. Se registran los dos medios en el mismo cobro; no hay que dividir la cuenta para eso.</w:t>
      </w:r>
    </w:p>
    <w:p>
      <w:pPr>
        <w:spacing w:before="260" w:after="60"/>
      </w:pPr>
      <w:r>
        <w:rPr>
          <w:b/>
          <w:sz w:val="22"/>
        </w:rPr>
        <w:t>Dividir la cuenta</w:t>
      </w:r>
    </w:p>
    <w:p>
      <w:r>
        <w:rPr>
          <w:i w:val="0"/>
          <w:sz w:val="21"/>
        </w:rPr>
        <w:t>Hay dos formas, y las dos suman exactamente el total: nadie paga de más ni de menos.</w:t>
      </w:r>
    </w:p>
    <w:p>
      <w:pPr>
        <w:pStyle w:val="ListBullet"/>
        <w:spacing w:after="80"/>
      </w:pPr>
      <w:r>
        <w:rPr>
          <w:b/>
          <w:sz w:val="21"/>
        </w:rPr>
        <w:t>En partes iguales.</w:t>
      </w:r>
      <w:r>
        <w:rPr>
          <w:sz w:val="21"/>
        </w:rPr>
        <w:t xml:space="preserve"> Los pesos que sobran de la división se cargan a la primera parte.</w:t>
      </w:r>
    </w:p>
    <w:p>
      <w:pPr>
        <w:pStyle w:val="ListBullet"/>
        <w:spacing w:after="80"/>
      </w:pPr>
      <w:r>
        <w:rPr>
          <w:b/>
          <w:sz w:val="21"/>
        </w:rPr>
        <w:t>Por productos.</w:t>
      </w:r>
      <w:r>
        <w:rPr>
          <w:sz w:val="21"/>
        </w:rPr>
        <w:t xml:space="preserve"> Cada quien paga lo suyo, y cada selección arrastra su porción de impuesto, cargos y propina.</w:t>
      </w:r>
    </w:p>
    <w:p>
      <w:r>
        <w:rPr>
          <w:i w:val="0"/>
          <w:sz w:val="21"/>
        </w:rPr>
        <w:t>Sale un tiquete por parte, para que cada comensal se lleve el suyo y pueda justificar su gasto.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El comprobante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FEE"/>
            <w:tcBorders>
              <w:left w:val="single" w:sz="18" w:color="B4231C"/>
            </w:tcBorders>
          </w:tcPr>
          <w:p>
            <w:r/>
            <w:r>
              <w:rPr>
                <w:b/>
                <w:color w:val="B4231C"/>
                <w:sz w:val="16"/>
              </w:rPr>
              <w:t>NO ES UN DOCUMENTO FISCAL</w:t>
            </w:r>
          </w:p>
          <w:p>
            <w:r>
              <w:rPr>
                <w:sz w:val="20"/>
              </w:rPr>
              <w:t>Lo que sale de la impresora térmica es el comprobante interno del restaurante, y lo dice en el pie. El documento con validez ante la DIAN lo emite el software contable a partir de esta misma venta. Si el cliente pide factura, se atiende por ahí: nunca reimprimiendo este papel con otro nombre.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El cierre de caja</w:t>
      </w:r>
    </w:p>
    <w:p>
      <w:r>
        <w:rPr>
          <w:i w:val="0"/>
          <w:sz w:val="21"/>
        </w:rPr>
        <w:t>Al final del turno. El sistema muestra lo que quedó registrado: total vendido, cuánto en efectivo, cuánto en tarjeta, cuánto en transferencia, las propinas y el impuesto. Usted cuenta la caja y confirma.</w:t>
      </w:r>
    </w:p>
    <w:p>
      <w:r>
        <w:rPr>
          <w:i w:val="0"/>
          <w:sz w:val="21"/>
        </w:rPr>
        <w:t>Si lo contado no coincide con lo registrado, la diferencia queda anotada en el cierre. Es el lugar donde se corrige el domicilio que se cobró distinto a lo previsto.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5.  Cuando algo sale mal</w:t>
      </w:r>
    </w:p>
    <w:p>
      <w:pPr>
        <w:pStyle w:val="ListBullet"/>
        <w:spacing w:after="80"/>
      </w:pPr>
      <w:r>
        <w:rPr>
          <w:b/>
          <w:sz w:val="21"/>
        </w:rPr>
        <w:t>Cobró de menos o de más.</w:t>
      </w:r>
      <w:r>
        <w:rPr>
          <w:sz w:val="21"/>
        </w:rPr>
        <w:t xml:space="preserve"> Se corrige con una anulación, que pide motivo y queda a su nombre. No borre nada por otro camino.</w:t>
      </w:r>
    </w:p>
    <w:p>
      <w:pPr>
        <w:pStyle w:val="ListBullet"/>
        <w:spacing w:after="80"/>
      </w:pPr>
      <w:r>
        <w:rPr>
          <w:b/>
          <w:sz w:val="21"/>
        </w:rPr>
        <w:t>El cliente pagó distinto a lo que dijo.</w:t>
      </w:r>
      <w:r>
        <w:rPr>
          <w:sz w:val="21"/>
        </w:rPr>
        <w:t xml:space="preserve"> Registre el medio real. Lo previsto era solo una expectativa.</w:t>
      </w:r>
    </w:p>
    <w:p>
      <w:pPr>
        <w:pStyle w:val="ListBullet"/>
        <w:spacing w:after="80"/>
      </w:pPr>
      <w:r>
        <w:rPr>
          <w:b/>
          <w:sz w:val="21"/>
        </w:rPr>
        <w:t>La impresora no sacó el comprobante.</w:t>
      </w:r>
      <w:r>
        <w:rPr>
          <w:sz w:val="21"/>
        </w:rPr>
        <w:t xml:space="preserve"> El cobro quedó registrado igual. Puede reimprimirlo desde el histórico de ventas.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