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Georgia" w:hAnsi="Georgia"/>
          <w:b/>
          <w:color w:val="7A5E1F"/>
          <w:sz w:val="20"/>
        </w:rPr>
        <w:t>R E S T A U R A N T E   E L   P A T I O</w:t>
      </w:r>
    </w:p>
    <w:p>
      <w:pPr>
        <w:spacing w:after="0"/>
      </w:pPr>
      <w:r>
        <w:rPr>
          <w:color w:val="6B6352"/>
          <w:sz w:val="18"/>
        </w:rPr>
        <w:t>Turbaco, Bolívar  ·  restauranteelpatio.com</w:t>
      </w:r>
    </w:p>
    <w:p>
      <w:pPr>
        <w:spacing w:before="520" w:after="40"/>
      </w:pPr>
      <w:r>
        <w:rPr>
          <w:b/>
          <w:color w:val="6B6352"/>
          <w:sz w:val="19"/>
        </w:rPr>
        <w:t>ENTREGA DEL SISTEMA</w:t>
      </w:r>
    </w:p>
    <w:p>
      <w:pPr>
        <w:spacing w:after="200"/>
      </w:pPr>
      <w:r>
        <w:rPr>
          <w:rFonts w:ascii="Georgia" w:hAnsi="Georgia"/>
          <w:b/>
          <w:color w:val="171512"/>
          <w:sz w:val="52"/>
        </w:rPr>
        <w:t>Documento técnico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3EAD8"/>
          </w:tcPr>
          <w:p>
            <w:r/>
            <w:r>
              <w:rPr>
                <w:sz w:val="20"/>
              </w:rPr>
              <w:t>Para quien mantenga el sistema en el futuro. No hace falta leerlo para operar el restaurante.</w:t>
            </w:r>
          </w:p>
        </w:tc>
      </w:tr>
    </w:tbl>
    <w:p>
      <w:pPr>
        <w:spacing w:after="8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1.  Cómo está armado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color="auto" w:fill="F3EAD8"/>
          </w:tcPr>
          <w:p>
            <w:r/>
            <w:r>
              <w:rPr>
                <w:b/>
                <w:sz w:val="18"/>
              </w:rPr>
              <w:t>Pieza</w:t>
            </w:r>
          </w:p>
        </w:tc>
        <w:tc>
          <w:tcPr>
            <w:tcW w:type="dxa" w:w="7143"/>
            <w:shd w:val="clear" w:color="auto" w:fill="F3EAD8"/>
          </w:tcPr>
          <w:p>
            <w:r/>
            <w:r>
              <w:rPr>
                <w:b/>
                <w:sz w:val="18"/>
              </w:rPr>
              <w:t>Qué 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React con TypeScript, Vite y Tailwind. Una sola aplicación: el sitio público y todas las pantallas operativas.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Spring Boot 3.3.5 sobre Java 21, en arquitectura hexagonal: el dominio no conoce ni la base de datos ni la web.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Base de datos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PostgreSQL. El esquema lo maneja Flyway con migraciones numeradas y versionadas.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Tiempo real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WebSocket. Es lo que hace que las pantallas no haya que recargarlas: al escribir algo, el servidor avisa y cada pantalla vuelve a consultar lo suyo.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Imágenes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Cloudinary. Las fotos de los platos no viven en el servidor de la aplicación.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Despliegue</w:t>
            </w:r>
          </w:p>
        </w:tc>
        <w:tc>
          <w:tcPr>
            <w:tcW w:type="dxa" w:w="7143"/>
          </w:tcPr>
          <w:p>
            <w:r/>
            <w:r>
              <w:rPr>
                <w:sz w:val="19"/>
              </w:rPr>
              <w:t>Railway, con tres servicios: frontend, backend y Postgres.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F8F2"/>
            <w:tcBorders>
              <w:left w:val="single" w:sz="18" w:color="C09A33"/>
            </w:tcBorders>
          </w:tcPr>
          <w:p>
            <w:r/>
            <w:r>
              <w:rPr>
                <w:b/>
                <w:color w:val="7A5E1F"/>
                <w:sz w:val="16"/>
              </w:rPr>
              <w:t>DÓNDE ESTÁ LA REFERENCIA LARGA</w:t>
            </w:r>
          </w:p>
          <w:p>
            <w:r>
              <w:rPr>
                <w:sz w:val="20"/>
              </w:rPr>
              <w:t>El archivo README.md del repositorio documenta el despliegue paso a paso en Railway, todas las variables de entorno con su valor por defecto, la creación de usuarios, los respaldos, la impresión en caja y el desarrollo local. Este documento lo resume, no lo reemplaza.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2.  Respaldos</w:t>
      </w:r>
    </w:p>
    <w:p>
      <w:pPr>
        <w:pStyle w:val="ListBullet"/>
        <w:spacing w:after="80"/>
      </w:pPr>
      <w:r>
        <w:rPr>
          <w:sz w:val="21"/>
        </w:rPr>
        <w:t>Los guiones están en backend/scripts/: respaldar.sh saca la copia y restaurar.sh la devuelve.</w:t>
      </w:r>
    </w:p>
    <w:p>
      <w:pPr>
        <w:pStyle w:val="ListBullet"/>
        <w:spacing w:after="80"/>
      </w:pPr>
      <w:r>
        <w:rPr>
          <w:sz w:val="21"/>
        </w:rPr>
        <w:t>probar-respaldo.sh comprueba que la copia sirve de verdad. Ese tercero es el que importa: un respaldo que nunca se restauró no es un respaldo.</w:t>
      </w:r>
    </w:p>
    <w:p>
      <w:pPr>
        <w:pStyle w:val="ListBullet"/>
        <w:spacing w:after="80"/>
      </w:pPr>
      <w:r>
        <w:rPr>
          <w:sz w:val="21"/>
        </w:rPr>
        <w:t>El procedimiento completo, con los comandos, está en el README.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EFEE"/>
            <w:tcBorders>
              <w:left w:val="single" w:sz="18" w:color="B4231C"/>
            </w:tcBorders>
          </w:tcPr>
          <w:p>
            <w:r/>
            <w:r>
              <w:rPr>
                <w:b/>
                <w:color w:val="B4231C"/>
                <w:sz w:val="16"/>
              </w:rPr>
              <w:t>CONFIRMAR ANTES DE DAR POR CERRADA LA ENTREGA</w:t>
            </w:r>
          </w:p>
          <w:p>
            <w:r>
              <w:rPr>
                <w:sz w:val="20"/>
              </w:rPr>
              <w:t>El respaldo automático diario depende de que la tarea programada esté configurada en Railway. Verifíquelo y déjelo anotado en el acta de entrega.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3.  Facturación electrónica</w:t>
      </w:r>
    </w:p>
    <w:p>
      <w:r>
        <w:rPr>
          <w:i w:val="0"/>
          <w:sz w:val="21"/>
        </w:rPr>
        <w:t>El sistema no emite documentos ante la DIAN: eso lo hace el software contable del restaurante, y el sistema le entrega la venta. La bandeja de salida reintenta los envíos fallidos y la pantalla de conciliación muestra qué quedó sin documento.</w:t>
      </w:r>
    </w:p>
    <w:p>
      <w:r>
        <w:rPr>
          <w:i w:val="0"/>
          <w:sz w:val="21"/>
        </w:rPr>
        <w:t>El análisis completo de lo que exige la DIAN, y de qué haría falta para emitir directamente, está en el archivo FACTURACION-DIAN.md del repositorio.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4.  Si el sistema no arranca</w:t>
      </w:r>
    </w:p>
    <w:p>
      <w:pPr>
        <w:pStyle w:val="ListBullet"/>
        <w:spacing w:after="80"/>
      </w:pPr>
      <w:r>
        <w:rPr>
          <w:sz w:val="21"/>
        </w:rPr>
        <w:t>Mire los registros del servicio backend en Railway. Ahí sale la causa.</w:t>
      </w:r>
    </w:p>
    <w:p>
      <w:pPr>
        <w:pStyle w:val="ListBullet"/>
        <w:spacing w:after="80"/>
      </w:pPr>
      <w:r>
        <w:rPr>
          <w:sz w:val="21"/>
        </w:rPr>
        <w:t>Si Flyway falla, la base quedó a medio migrar: el mensaje dice en qué migración se detuvo.</w:t>
      </w:r>
    </w:p>
    <w:p>
      <w:pPr>
        <w:pStyle w:val="ListBullet"/>
        <w:spacing w:after="80"/>
      </w:pPr>
      <w:r>
        <w:rPr>
          <w:sz w:val="21"/>
        </w:rPr>
        <w:t>Si el arranque se queja del esquema, hay un desajuste entre el código y las tablas. El sistema valida el esquema al arrancar a propósito, para que un desajuste salte ahí y no en medio del servicio.</w:t>
      </w:r>
    </w:p>
    <w:p>
      <w:pPr>
        <w:pStyle w:val="ListBullet"/>
        <w:spacing w:after="80"/>
      </w:pPr>
      <w:r>
        <w:rPr>
          <w:sz w:val="21"/>
        </w:rPr>
        <w:t>Las variables de entorno vacías no impiden arrancar: la función que dependa de ellas queda inactiva y el resto funciona.</w:t>
      </w: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5.  Cuentas y accesos</w:t>
      </w:r>
    </w:p>
    <w:p>
      <w:r>
        <w:rPr>
          <w:i w:val="0"/>
          <w:sz w:val="21"/>
        </w:rPr>
        <w:t>Todas estas cuentas las contrata y las paga el restaurante. Se configuran y se dejan funcionando, pero el titular es el restaurante.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381"/>
            <w:shd w:val="clear" w:color="auto" w:fill="F3EAD8"/>
          </w:tcPr>
          <w:p>
            <w:r/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2721"/>
            <w:shd w:val="clear" w:color="auto" w:fill="F3EAD8"/>
          </w:tcPr>
          <w:p>
            <w:r/>
            <w:r>
              <w:rPr>
                <w:b/>
                <w:sz w:val="18"/>
              </w:rPr>
              <w:t>Para qué</w:t>
            </w:r>
          </w:p>
        </w:tc>
        <w:tc>
          <w:tcPr>
            <w:tcW w:type="dxa" w:w="3969"/>
            <w:shd w:val="clear" w:color="auto" w:fill="F3EAD8"/>
          </w:tcPr>
          <w:p>
            <w:r/>
            <w:r>
              <w:rPr>
                <w:b/>
                <w:sz w:val="18"/>
              </w:rPr>
              <w:t>Si se pierde el acceso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Dominio restauranteelpatio.com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La dirección del sitio.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El sitio deja de responder en esa dirección. Se recupera renovándolo con el registrador.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Railway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Donde viven el sitio, el servidor y la base de datos.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Es lo más grave: sin acceso no se puede desplegar ni restaurar. Guarde estas credenciales aparte.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Cloudinary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Las fotos de los platos.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La carta se sigue viendo, sin fotos.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Software contable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Emite los documentos ante la DIAN.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Las ventas se registran igual, pero quedan sin conciliar hasta recuperarlo.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9"/>
              </w:rPr>
              <w:t>Correo del restaurante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Avisos del sistema.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Se dejan de recibir notificaciones. No afecta la operación.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BEFEE"/>
            <w:tcBorders>
              <w:left w:val="single" w:sz="18" w:color="B4231C"/>
            </w:tcBorders>
          </w:tcPr>
          <w:p>
            <w:r/>
            <w:r>
              <w:rPr>
                <w:b/>
                <w:color w:val="B4231C"/>
                <w:sz w:val="16"/>
              </w:rPr>
              <w:t>UNA RECOMENDACIÓN</w:t>
            </w:r>
          </w:p>
          <w:p>
            <w:r>
              <w:rPr>
                <w:sz w:val="20"/>
              </w:rPr>
              <w:t>Guarde las claves de Railway y del dominio en un lugar que no dependa de una sola persona. El día que haga falta restaurar un respaldo va a ser un día malo, y no es cuando uno quiere descubrir que nadie tiene el acceso.</w:t>
            </w:r>
          </w:p>
        </w:tc>
      </w:tr>
    </w:tbl>
    <w:p>
      <w:pPr>
        <w:spacing w:after="40"/>
      </w:pPr>
    </w:p>
    <w:p>
      <w:pPr>
        <w:spacing w:before="400" w:after="120"/>
      </w:pPr>
      <w:r>
        <w:rPr>
          <w:rFonts w:ascii="Georgia" w:hAnsi="Georgia"/>
          <w:b/>
          <w:color w:val="7A5E1F"/>
          <w:sz w:val="29"/>
        </w:rPr>
        <w:t>6.  Pendientes a cargo del restaurante</w:t>
      </w:r>
    </w:p>
    <w:p>
      <w:r>
        <w:rPr>
          <w:i w:val="0"/>
          <w:sz w:val="21"/>
        </w:rPr>
        <w:t>Nada de esto impide operar. Todo depende del restaurante y conviene resolverlo pronto. Quedan además anotados en el acta de entrega.</w:t>
      </w:r>
    </w:p>
    <w:p>
      <w:pPr>
        <w:spacing w:before="260" w:after="60"/>
      </w:pPr>
      <w:r>
        <w:rPr>
          <w:b/>
          <w:sz w:val="22"/>
        </w:rPr>
        <w:t>1. Los datos fiscales son de ejemplo</w:t>
      </w:r>
    </w:p>
    <w:p>
      <w:r>
        <w:rPr>
          <w:i w:val="0"/>
          <w:sz w:val="21"/>
        </w:rPr>
        <w:t>El sistema lleva hoy una razón social y un NIT de muestra. Hay que reemplazarlos por los del RUT —razón social, NIT con dígito de verificación y las responsabilidades de la casilla 53— antes de emitir cualquier documento, incluso de prueba. Escribir ahí algo que el RUT no dice es declarar algo falso.</w:t>
      </w:r>
    </w:p>
    <w:p>
      <w:pPr>
        <w:spacing w:before="260" w:after="60"/>
      </w:pPr>
      <w:r>
        <w:rPr>
          <w:b/>
          <w:sz w:val="22"/>
        </w:rPr>
        <w:t>2. La política de datos es un borrador</w:t>
      </w:r>
    </w:p>
    <w:p>
      <w:r>
        <w:rPr>
          <w:i w:val="0"/>
          <w:sz w:val="21"/>
        </w:rPr>
        <w:t>La publicada lo advierte en la propia página: no la redactó un abogado. El restaurante debe reemplazarla por la suya. No es un trámite: el formulario de «Trabaja con nosotros» recoge hojas de vida, y la Ley 1581 de 2012 exige que quien autoriza pueda leer a qué está autorizando.</w:t>
      </w:r>
    </w:p>
    <w:p>
      <w:pPr>
        <w:spacing w:before="260" w:after="60"/>
      </w:pPr>
      <w:r>
        <w:rPr>
          <w:b/>
          <w:sz w:val="22"/>
        </w:rPr>
        <w:t>3. Los textos del sitio, revisados por el dueño</w:t>
      </w:r>
    </w:p>
    <w:p>
      <w:r>
        <w:rPr>
          <w:i w:val="0"/>
          <w:sz w:val="21"/>
        </w:rPr>
        <w:t>«Quiénes somos» y «Nuestra misión» quedaron redactados y publicados a partir de la carta y del carácter del restaurante. Son correctos, pero no cuentan la historia real: cuándo abrió, quién está detrás, qué se propuso. «Nuestros valores» quedó escrito pero apagado; se enciende con un interruptor desde Ajustes.</w:t>
      </w:r>
    </w:p>
    <w:p>
      <w:pPr>
        <w:spacing w:before="260" w:after="60"/>
      </w:pPr>
      <w:r>
        <w:rPr>
          <w:b/>
          <w:sz w:val="22"/>
        </w:rPr>
        <w:t>4. Un solo contacto</w:t>
      </w:r>
    </w:p>
    <w:p>
      <w:r>
        <w:rPr>
          <w:i w:val="0"/>
          <w:sz w:val="21"/>
        </w:rPr>
        <w:t>Designar una persona del restaurante para reportar y priorizar solicitudes. Con dos o tres canales abiertos se pierden cosas, y ninguna de las partes sabe qué quedó pendiente.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EF7F0"/>
            <w:tcBorders>
              <w:left w:val="single" w:sz="18" w:color="15803D"/>
            </w:tcBorders>
          </w:tcPr>
          <w:p>
            <w:r/>
            <w:r>
              <w:rPr>
                <w:b/>
                <w:color w:val="15803D"/>
                <w:sz w:val="16"/>
              </w:rPr>
              <w:t>LO QUE YA ESTÁ RESUELTO</w:t>
            </w:r>
          </w:p>
          <w:p>
            <w:r>
              <w:rPr>
                <w:sz w:val="20"/>
              </w:rPr>
              <w:t>El sistema está en producción con dominio propio y certificado de seguridad, la carta 2026 cargada con sus precios y categorías, y las cuentas del personal creadas con su rol.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</w:pPr>
    <w:r>
      <w:rPr>
        <w:color w:val="6B6352"/>
        <w:sz w:val="16"/>
      </w:rPr>
      <w:t>Restaurante El Patio · Documento técnico de entrega</w:t>
      <w:tab/>
    </w:r>
    <w:r>
      <w:rPr>
        <w:color w:val="6B6352"/>
        <w:sz w:val="16"/>
      </w:rPr>
      <w:t xml:space="preserve">Página </w:t>
    </w:r>
    <w:r>
      <w:rPr>
        <w:color w:val="6B6352"/>
        <w:sz w:val="16"/>
      </w:rPr>
      <w:fldChar w:fldCharType="begin"/>
    </w:r>
    <w:r>
      <w:rPr>
        <w:color w:val="6B6352"/>
        <w:sz w:val="16"/>
      </w:rPr>
      <w:instrText xml:space="preserve">PAGE</w:instrText>
    </w:r>
    <w:r>
      <w:rPr>
        <w:color w:val="6B6352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/>
      <w:color w:val="1715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