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36FB8">
      <w:pPr>
        <w:jc w:val="center"/>
        <w:rPr>
          <w:rFonts w:hint="eastAsia" w:ascii="微软雅黑" w:hAnsi="微软雅黑" w:eastAsia="微软雅黑" w:cs="微软雅黑"/>
          <w:b/>
          <w:sz w:val="44"/>
          <w:lang w:eastAsia="zh-CN"/>
        </w:rPr>
      </w:pPr>
      <w:r>
        <w:rPr>
          <w:rFonts w:hint="eastAsia" w:ascii="微软雅黑" w:hAnsi="微软雅黑" w:eastAsia="微软雅黑" w:cs="微软雅黑"/>
          <w:b/>
          <w:sz w:val="44"/>
          <w:lang w:eastAsia="zh-CN"/>
        </w:rPr>
        <w:t>软件工程大作业  项目立项会议纪要</w:t>
      </w:r>
    </w:p>
    <w:p w14:paraId="03D7A245">
      <w:pPr>
        <w:jc w:val="center"/>
        <w:rPr>
          <w:rFonts w:hint="eastAsia" w:ascii="微软雅黑" w:hAnsi="微软雅黑" w:eastAsia="微软雅黑" w:cs="微软雅黑"/>
          <w:b/>
          <w:sz w:val="44"/>
          <w:lang w:eastAsia="zh-CN"/>
        </w:rPr>
      </w:pPr>
    </w:p>
    <w:p w14:paraId="14DE0013">
      <w:pPr>
        <w:jc w:val="center"/>
        <w:rPr>
          <w:rFonts w:hint="eastAsia" w:ascii="微软雅黑" w:hAnsi="微软雅黑" w:eastAsia="微软雅黑" w:cs="微软雅黑"/>
          <w:b w:val="0"/>
          <w:sz w:val="28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8"/>
          <w:lang w:eastAsia="zh-CN"/>
        </w:rPr>
        <w:t>——《三国杀×肉鸽改版游戏》选题与需求分析讨论</w:t>
      </w:r>
    </w:p>
    <w:p w14:paraId="6E8EC413">
      <w:pPr>
        <w:jc w:val="center"/>
        <w:rPr>
          <w:rFonts w:hint="eastAsia" w:ascii="微软雅黑" w:hAnsi="微软雅黑" w:eastAsia="微软雅黑" w:cs="微软雅黑"/>
          <w:b w:val="0"/>
          <w:sz w:val="28"/>
          <w:lang w:eastAsia="zh-CN"/>
        </w:rPr>
      </w:pPr>
    </w:p>
    <w:p w14:paraId="3170FFCD">
      <w:pPr>
        <w:jc w:val="left"/>
        <w:rPr>
          <w:rFonts w:hint="eastAsia" w:ascii="微软雅黑" w:hAnsi="微软雅黑" w:eastAsia="微软雅黑" w:cs="微软雅黑"/>
          <w:b w:val="0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eastAsia="zh-CN"/>
        </w:rPr>
        <w:t>一、会议基本信息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F1F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46BD21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会议时间</w:t>
            </w:r>
          </w:p>
        </w:tc>
        <w:tc>
          <w:tcPr>
            <w:tcW w:w="4261" w:type="dxa"/>
          </w:tcPr>
          <w:p w14:paraId="6D2A1A39">
            <w:pPr>
              <w:jc w:val="left"/>
              <w:rPr>
                <w:rFonts w:hint="default" w:ascii="微软雅黑" w:hAnsi="微软雅黑" w:eastAsia="微软雅黑" w:cs="微软雅黑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 xml:space="preserve">2026年10月20日 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val="en-US" w:eastAsia="zh-CN"/>
              </w:rPr>
              <w:t>1-4课时</w:t>
            </w:r>
          </w:p>
        </w:tc>
      </w:tr>
      <w:tr w14:paraId="72A1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0D65B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会议地点</w:t>
            </w:r>
          </w:p>
        </w:tc>
        <w:tc>
          <w:tcPr>
            <w:tcW w:w="4261" w:type="dxa"/>
          </w:tcPr>
          <w:p w14:paraId="2FE7661A">
            <w:pPr>
              <w:jc w:val="left"/>
              <w:rPr>
                <w:rFonts w:hint="default" w:ascii="微软雅黑" w:hAnsi="微软雅黑" w:eastAsia="微软雅黑" w:cs="微软雅黑"/>
                <w:b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val="en-US" w:eastAsia="zh-CN"/>
              </w:rPr>
              <w:t>理4-520</w:t>
            </w:r>
          </w:p>
        </w:tc>
      </w:tr>
      <w:tr w14:paraId="0E9C2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C1C15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参会人员</w:t>
            </w:r>
          </w:p>
        </w:tc>
        <w:tc>
          <w:tcPr>
            <w:tcW w:w="4261" w:type="dxa"/>
          </w:tcPr>
          <w:p w14:paraId="4F0E330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项目组全体成员（4人）</w:t>
            </w:r>
          </w:p>
        </w:tc>
      </w:tr>
      <w:tr w14:paraId="6EF2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A4694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会议主题</w:t>
            </w:r>
          </w:p>
        </w:tc>
        <w:tc>
          <w:tcPr>
            <w:tcW w:w="4261" w:type="dxa"/>
          </w:tcPr>
          <w:p w14:paraId="32EDDAD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确定大作业选题，讨论项目背景意义、可行性与功能需求</w:t>
            </w:r>
          </w:p>
        </w:tc>
      </w:tr>
    </w:tbl>
    <w:p w14:paraId="3BF3874D">
      <w:pPr>
        <w:jc w:val="left"/>
        <w:rPr>
          <w:rFonts w:hint="eastAsia" w:ascii="微软雅黑" w:hAnsi="微软雅黑" w:eastAsia="微软雅黑" w:cs="微软雅黑"/>
          <w:b w:val="0"/>
          <w:sz w:val="22"/>
          <w:lang w:eastAsia="zh-CN"/>
        </w:rPr>
      </w:pPr>
    </w:p>
    <w:p w14:paraId="6E2CAAD0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二、项目选题确定</w:t>
      </w:r>
    </w:p>
    <w:p w14:paraId="7C012931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经全体组员讨论与投票，一致通过本次大作业选题为：</w:t>
      </w:r>
    </w:p>
    <w:p w14:paraId="3AE92B7D">
      <w:pPr>
        <w:jc w:val="center"/>
        <w:rPr>
          <w:rFonts w:hint="eastAsia" w:ascii="微软雅黑" w:hAnsi="微软雅黑" w:eastAsia="微软雅黑" w:cs="微软雅黑"/>
          <w:b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基于三国杀角色技能的 Roguelike 卡牌改版游戏</w:t>
      </w:r>
    </w:p>
    <w:p w14:paraId="0AFC42E4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游戏在保留三国杀经典武将技能与卡牌对战核心（杀、闪、桃、锦囊牌）的基础上，引入 Roguelike（肉鸽）玩法：每局游戏的地图路径、遭遇敌人、事件与奖励均为随机生成；玩家死亡后本局进度重置，但可通过局外成长系统永久强化角色，形成「失败—积累—再挑战」的循环。具体的技能改版规则、随机事件池与成长数值体系由本组自行设计。</w:t>
      </w:r>
    </w:p>
    <w:p w14:paraId="6A81ED78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45F4BD14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三、项目背景与意义</w:t>
      </w:r>
    </w:p>
    <w:p w14:paraId="627A5EA2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1. 行业背景</w:t>
      </w:r>
    </w:p>
    <w:p w14:paraId="64AF27EE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近年来 Roguelike 品类持续火热，《杀戮尖塔》《吸血鬼幸存者》等作品证明了「随机性 + 构筑 + 重复可玩性」组合的市场潜力；三国杀作为国内经典桌游 IP，其技能设计与身份博弈机制具有深厚的玩家基础。二者结合具备天然的题材优势。</w:t>
      </w:r>
    </w:p>
    <w:p w14:paraId="054F0335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2. 学习意义</w:t>
      </w:r>
    </w:p>
    <w:p w14:paraId="67ED2FAF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本项目覆盖了软件工程课程的完整实践链路：需求分析（用户角色与功能建模）、系统设计（模块化架构、状态机、数据存储）、编码实现（Swing 图形界面、事件驱动）、测试与文档编写，是一次对课程知识的综合运用。</w:t>
      </w:r>
    </w:p>
    <w:p w14:paraId="525FFAA2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3. 工程价值</w:t>
      </w:r>
    </w:p>
    <w:p w14:paraId="1036E650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随机地图生成（图论算法）、卡牌结算引擎（规则解耦）、存档序列化（数据持久化）等模块具有一定的技术挑战性，能够锻炼团队在模块化设计与版本协作方面的工程能力。</w:t>
      </w:r>
    </w:p>
    <w:p w14:paraId="2043E1EB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749E1DB1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四、可行性分析</w:t>
      </w:r>
    </w:p>
    <w:p w14:paraId="06FAEC6F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1. 技术可行性</w:t>
      </w:r>
    </w:p>
    <w:p w14:paraId="466ACD3E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开发语言与框架：Java + Swing（符合课程要求，组员均已掌握）；随机生成：基于种子（Seed）的伪随机算法，可控且便于测试复现；数据存储：JSON 文件序列化实现存档与图鉴数据，无需引入数据库，降低环境依赖。技术栈成熟，无不可克服的难点。</w:t>
      </w:r>
    </w:p>
    <w:p w14:paraId="5350F3BF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2. 进度可行性</w:t>
      </w:r>
    </w:p>
    <w:p w14:paraId="368F92DA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项目总工时估算为 12 人月（4 人 × 3 个月），划分为：需求与设计 → 核心战斗引擎 → 肉鸽地图与事件 → 界面整合与测试 → 文档与答辩准备五个阶段。核心玩法可在中期形成可玩 Demo，进度风险可控。</w:t>
      </w:r>
    </w:p>
    <w:p w14:paraId="717753DD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3. 团队与资源可行性</w:t>
      </w:r>
    </w:p>
    <w:p w14:paraId="7D372EC5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本组 4 人，开发环境统一为 JDK 17 + Git，美术资源采用公开素材加自绘简化风格，无版权风险。经讨论，一致认为项目在规定周期与工时预算内可完成。</w:t>
      </w:r>
    </w:p>
    <w:p w14:paraId="3D346DAA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191E7BC1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五、功能需求讨论</w:t>
      </w:r>
    </w:p>
    <w:p w14:paraId="42FE32E2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会议围绕「系统有哪些用户角色、每个角色需要哪些功能」展开讨论，形成如下结论：</w:t>
      </w:r>
    </w:p>
    <w:p w14:paraId="6FA87C41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1. 用户角色</w:t>
      </w:r>
    </w:p>
    <w:p w14:paraId="295C7FC4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（1）玩家：游戏的主要使用者。可进行新手引导体验、单机闯关冒险、局外成长养成等操作；</w:t>
      </w:r>
    </w:p>
    <w:p w14:paraId="51471780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（2）管理员：负责游戏数据配置与内容版本更新（本阶段仅预留接口，单机版本重点服务玩家）。</w:t>
      </w:r>
    </w:p>
    <w:p w14:paraId="7B2CC379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2. 功能需求</w:t>
      </w:r>
    </w:p>
    <w:p w14:paraId="2277388D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核心玩法：角色技能系统（三国杀技能改版、武将组合搭配）、卡牌对战系统（杀/闪/桃/锦囊）、回合制战斗（出牌阶段流程）；</w:t>
      </w:r>
    </w:p>
    <w:p w14:paraId="1555CA79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肉鸽元素：随机关卡（地图路径随机生成、敌人与奖励随机）、随机事件（商店/宝箱/抉择）、局外成长（死亡重置机制、永久属性强化）；</w:t>
      </w:r>
    </w:p>
    <w:p w14:paraId="43B33226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系统功能：存档管理（多存档位、自动存档）、成就图鉴（成就与卡牌收集展示）、系统设置（音量/难度/键位）。</w:t>
      </w:r>
    </w:p>
    <w:p w14:paraId="356A0A5F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以上用户角色与功能需求已整理为思维导图，如下图所示：</w:t>
      </w:r>
    </w:p>
    <w:p w14:paraId="538C2D95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drawing>
          <wp:inline distT="0" distB="0" distL="114300" distR="114300">
            <wp:extent cx="7661275" cy="6574790"/>
            <wp:effectExtent l="0" t="0" r="15875" b="16510"/>
            <wp:docPr id="1" name="图片 1" descr="思维导图_用户角色与功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思维导图_用户角色与功能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61275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D5A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4E924CE4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六、会议结论与工时分配</w:t>
      </w:r>
    </w:p>
    <w:p w14:paraId="35D7DC29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会议结论：选题确定为「基于三国杀角色技能的 Roguelike 改版游戏」；项目背景充实、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技术路线清晰；用户角色与功能需求已初步明确，详见思维导图。</w:t>
      </w:r>
    </w:p>
    <w:p w14:paraId="1C10FFDA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项目总工时估算为 12 人月（4 人 × 3 个月），按开发阶段合理分配如下：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AE2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87216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</w:t>
            </w:r>
          </w:p>
        </w:tc>
        <w:tc>
          <w:tcPr>
            <w:tcW w:w="2130" w:type="dxa"/>
          </w:tcPr>
          <w:p w14:paraId="7FBB388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主要工作</w:t>
            </w:r>
          </w:p>
        </w:tc>
        <w:tc>
          <w:tcPr>
            <w:tcW w:w="2131" w:type="dxa"/>
          </w:tcPr>
          <w:p w14:paraId="59611B1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工时（人月）</w:t>
            </w:r>
          </w:p>
        </w:tc>
        <w:tc>
          <w:tcPr>
            <w:tcW w:w="2131" w:type="dxa"/>
          </w:tcPr>
          <w:p w14:paraId="07DAC25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占比</w:t>
            </w:r>
          </w:p>
        </w:tc>
      </w:tr>
      <w:tr w14:paraId="5099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1B554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需求分析与设计</w:t>
            </w:r>
          </w:p>
        </w:tc>
        <w:tc>
          <w:tcPr>
            <w:tcW w:w="2130" w:type="dxa"/>
          </w:tcPr>
          <w:p w14:paraId="6282672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需求规格、架构设计、用例建模</w:t>
            </w:r>
          </w:p>
        </w:tc>
        <w:tc>
          <w:tcPr>
            <w:tcW w:w="2131" w:type="dxa"/>
          </w:tcPr>
          <w:p w14:paraId="6AB6787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2.0</w:t>
            </w:r>
          </w:p>
        </w:tc>
        <w:tc>
          <w:tcPr>
            <w:tcW w:w="2131" w:type="dxa"/>
          </w:tcPr>
          <w:p w14:paraId="09D6F16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16.7%</w:t>
            </w:r>
          </w:p>
        </w:tc>
      </w:tr>
      <w:tr w14:paraId="0459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479B6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核心战斗引擎</w:t>
            </w:r>
          </w:p>
        </w:tc>
        <w:tc>
          <w:tcPr>
            <w:tcW w:w="2130" w:type="dxa"/>
          </w:tcPr>
          <w:p w14:paraId="3A4FD19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卡牌结算、技能系统、回合制流程</w:t>
            </w:r>
          </w:p>
        </w:tc>
        <w:tc>
          <w:tcPr>
            <w:tcW w:w="2131" w:type="dxa"/>
          </w:tcPr>
          <w:p w14:paraId="5A8C78F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  <w:tc>
          <w:tcPr>
            <w:tcW w:w="2131" w:type="dxa"/>
          </w:tcPr>
          <w:p w14:paraId="6C8245F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25.0%</w:t>
            </w:r>
          </w:p>
        </w:tc>
      </w:tr>
      <w:tr w14:paraId="47DD3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1709A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肉鸽地图与事件</w:t>
            </w:r>
          </w:p>
        </w:tc>
        <w:tc>
          <w:tcPr>
            <w:tcW w:w="2130" w:type="dxa"/>
          </w:tcPr>
          <w:p w14:paraId="0E4AF11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随机地图生成、事件池、局外成长</w:t>
            </w:r>
          </w:p>
        </w:tc>
        <w:tc>
          <w:tcPr>
            <w:tcW w:w="2131" w:type="dxa"/>
          </w:tcPr>
          <w:p w14:paraId="5AF958F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  <w:tc>
          <w:tcPr>
            <w:tcW w:w="2131" w:type="dxa"/>
          </w:tcPr>
          <w:p w14:paraId="7ADCDFE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25.0%</w:t>
            </w:r>
          </w:p>
        </w:tc>
      </w:tr>
      <w:tr w14:paraId="1F47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4936F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界面整合与测试</w:t>
            </w:r>
          </w:p>
        </w:tc>
        <w:tc>
          <w:tcPr>
            <w:tcW w:w="2130" w:type="dxa"/>
          </w:tcPr>
          <w:p w14:paraId="1645728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Swing 界面、模块联调、功能测试</w:t>
            </w:r>
          </w:p>
        </w:tc>
        <w:tc>
          <w:tcPr>
            <w:tcW w:w="2131" w:type="dxa"/>
          </w:tcPr>
          <w:p w14:paraId="5646098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2.5</w:t>
            </w:r>
          </w:p>
        </w:tc>
        <w:tc>
          <w:tcPr>
            <w:tcW w:w="2131" w:type="dxa"/>
          </w:tcPr>
          <w:p w14:paraId="0A8BB74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20.8%</w:t>
            </w:r>
          </w:p>
        </w:tc>
      </w:tr>
      <w:tr w14:paraId="6AEE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AA0EA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文档与答辩准备</w:t>
            </w:r>
          </w:p>
        </w:tc>
        <w:tc>
          <w:tcPr>
            <w:tcW w:w="2130" w:type="dxa"/>
          </w:tcPr>
          <w:p w14:paraId="07A5BC8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各类文档、演示材料、验收</w:t>
            </w:r>
          </w:p>
        </w:tc>
        <w:tc>
          <w:tcPr>
            <w:tcW w:w="2131" w:type="dxa"/>
          </w:tcPr>
          <w:p w14:paraId="3E56902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1.5</w:t>
            </w:r>
          </w:p>
        </w:tc>
        <w:tc>
          <w:tcPr>
            <w:tcW w:w="2131" w:type="dxa"/>
          </w:tcPr>
          <w:p w14:paraId="4FABEA9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12.5%</w:t>
            </w:r>
          </w:p>
        </w:tc>
      </w:tr>
      <w:tr w14:paraId="040E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AD1A0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合计</w:t>
            </w:r>
          </w:p>
        </w:tc>
        <w:tc>
          <w:tcPr>
            <w:tcW w:w="2130" w:type="dxa"/>
          </w:tcPr>
          <w:p w14:paraId="72F5666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—</w:t>
            </w:r>
          </w:p>
        </w:tc>
        <w:tc>
          <w:tcPr>
            <w:tcW w:w="2131" w:type="dxa"/>
          </w:tcPr>
          <w:p w14:paraId="2D9C3E4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12.0</w:t>
            </w:r>
          </w:p>
        </w:tc>
        <w:tc>
          <w:tcPr>
            <w:tcW w:w="2131" w:type="dxa"/>
          </w:tcPr>
          <w:p w14:paraId="71A72DE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100%</w:t>
            </w:r>
          </w:p>
        </w:tc>
      </w:tr>
    </w:tbl>
    <w:p w14:paraId="28F2D064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12D042A5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分配说明：核心战斗引擎与肉鸽地图事件为本项目的技术核心与工作量主体，各占 3 人月；需求设计前置投入 2 人月以保证后期开发方向稳定；界面整合与测试阶段预留 2.5 人月以消化联调风险；文档工作贯穿全程，集中整理占 1.5 人月。各阶段工时合计 12 人月，与课程工作量要求相符。</w:t>
      </w:r>
    </w:p>
    <w:p w14:paraId="36D1796B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散会。</w:t>
      </w:r>
    </w:p>
    <w:p w14:paraId="5DD33A29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649CE"/>
    <w:rsid w:val="1F486EBE"/>
    <w:rsid w:val="7816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1629</Words>
  <Characters>1755</Characters>
  <Lines>0</Lines>
  <Paragraphs>0</Paragraphs>
  <TotalTime>1</TotalTime>
  <ScaleCrop>false</ScaleCrop>
  <LinksUpToDate>false</LinksUpToDate>
  <CharactersWithSpaces>1827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2026-10-20T02:30:00Z</dcterms:created>
  <dc:creator>l o w r y</dc:creator>
  <cp:lastModifiedBy>l o w r y</cp:lastModifiedBy>
  <dcterms:modified xsi:type="dcterms:W3CDTF">2026-10-20T02:32:46Z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0BE85279018348EAA4737395D5129CD9_11</vt:lpwstr>
  </property>
  <property fmtid="{D5CDD505-2E9C-101B-9397-08002B2CF9AE}" pid="4" name="KSOTemplateDocerSaveRecord">
    <vt:lpwstr>eyJoZGlkIjoiMGUwYjE0M2E5NjUwY2IxN2Q3MTIzZDRkMTYwMjY1YmQiLCJ1c2VySWQiOiI1NzM2NTM2NDQifQ==</vt:lpwstr>
  </property>
</Properties>
</file>