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F3B" w:rsidRDefault="00657F3B" w:rsidP="00657F3B">
      <w:pPr>
        <w:rPr>
          <w:b/>
          <w:bCs/>
          <w:lang w:bidi="fa-IR"/>
        </w:rPr>
      </w:pPr>
      <w:r w:rsidRPr="00902624">
        <w:rPr>
          <w:rFonts w:hint="cs"/>
          <w:b/>
          <w:bCs/>
          <w:rtl/>
          <w:lang w:bidi="fa-IR"/>
        </w:rPr>
        <w:t xml:space="preserve">اطلاعات پایگاه داده </w:t>
      </w:r>
      <w:proofErr w:type="spellStart"/>
      <w:r>
        <w:rPr>
          <w:b/>
          <w:bCs/>
          <w:lang w:bidi="fa-IR"/>
        </w:rPr>
        <w:t>BioGrid</w:t>
      </w:r>
      <w:proofErr w:type="spellEnd"/>
    </w:p>
    <w:p w:rsidR="00657F3B" w:rsidRDefault="00657F3B" w:rsidP="00657F3B">
      <w:pPr>
        <w:rPr>
          <w:rtl/>
          <w:lang w:bidi="fa-IR"/>
        </w:rPr>
      </w:pPr>
      <w:r>
        <w:rPr>
          <w:rFonts w:hint="cs"/>
          <w:rtl/>
          <w:lang w:bidi="fa-IR"/>
        </w:rPr>
        <w:t>در اطلاعات خام و اولیه‌ای که از این پایگاه داده استخراج کردیم، تعداد 82934 برهم‌کنش بین 9635 پروتئین گزارش شده است. از بین 82934 برهم‌کنش گزارش شده، 17743 برهم‌کنش تکراری بودند که از لیست حذف می‌شوند و تعداد 65191 برهم‌کنش باقی می‌مانند (برخی برهم‌کنش‌ها 2 بار، برخی 3 بار و برخی بیشتر تکرار داشتند. بیشترین تکرار مربوط به یک برهم‌کنش با 52 بار تکرار می‌شود).</w:t>
      </w:r>
    </w:p>
    <w:p w:rsidR="00657F3B" w:rsidRDefault="00657F3B" w:rsidP="00657F3B">
      <w:pPr>
        <w:rPr>
          <w:rtl/>
          <w:lang w:bidi="fa-IR"/>
        </w:rPr>
      </w:pPr>
    </w:p>
    <w:tbl>
      <w:tblPr>
        <w:tblStyle w:val="GridTable6Colorful-Accent6"/>
        <w:bidiVisual/>
        <w:tblW w:w="0" w:type="auto"/>
        <w:jc w:val="center"/>
        <w:tblLook w:val="04A0" w:firstRow="1" w:lastRow="0" w:firstColumn="1" w:lastColumn="0" w:noHBand="0" w:noVBand="1"/>
      </w:tblPr>
      <w:tblGrid>
        <w:gridCol w:w="3965"/>
        <w:gridCol w:w="1615"/>
      </w:tblGrid>
      <w:tr w:rsidR="00657F3B" w:rsidTr="00AA2D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کل برهم‌کنش‌ها (بدون تکرار)</w:t>
            </w:r>
          </w:p>
        </w:tc>
        <w:tc>
          <w:tcPr>
            <w:tcW w:w="1615" w:type="dxa"/>
            <w:vAlign w:val="center"/>
          </w:tcPr>
          <w:p w:rsidR="00657F3B" w:rsidRDefault="00657F3B" w:rsidP="00AA2DC1">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65191</w:t>
            </w:r>
          </w:p>
        </w:tc>
      </w:tr>
      <w:tr w:rsidR="00657F3B" w:rsidTr="00AA2D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ژن‌های حاضر در این برهم‌کنش‌ها</w:t>
            </w:r>
          </w:p>
        </w:tc>
        <w:tc>
          <w:tcPr>
            <w:tcW w:w="1615" w:type="dxa"/>
            <w:vAlign w:val="center"/>
          </w:tcPr>
          <w:p w:rsidR="00657F3B" w:rsidRDefault="00657F3B" w:rsidP="00AA2DC1">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9635</w:t>
            </w:r>
          </w:p>
        </w:tc>
      </w:tr>
    </w:tbl>
    <w:p w:rsidR="00657F3B" w:rsidRDefault="00657F3B" w:rsidP="00657F3B">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proofErr w:type="spellStart"/>
      <w:r>
        <w:t>BioGrid</w:t>
      </w:r>
      <w:proofErr w:type="spellEnd"/>
    </w:p>
    <w:p w:rsidR="00657F3B" w:rsidRDefault="00657F3B" w:rsidP="00657F3B">
      <w:pPr>
        <w:rPr>
          <w:lang w:bidi="fa-IR"/>
        </w:rPr>
      </w:pPr>
    </w:p>
    <w:p w:rsidR="00657F3B" w:rsidRDefault="00657F3B" w:rsidP="00657F3B">
      <w:pPr>
        <w:rPr>
          <w:rtl/>
          <w:lang w:bidi="fa-IR"/>
        </w:rPr>
      </w:pPr>
      <w:r>
        <w:rPr>
          <w:rFonts w:hint="cs"/>
          <w:rtl/>
          <w:lang w:bidi="fa-IR"/>
        </w:rPr>
        <w:t xml:space="preserve">در تبدیل از آی دی های </w:t>
      </w:r>
      <w:r>
        <w:rPr>
          <w:lang w:bidi="fa-IR"/>
        </w:rPr>
        <w:t>ENTREZ</w:t>
      </w:r>
      <w:r>
        <w:rPr>
          <w:rFonts w:hint="cs"/>
          <w:rtl/>
          <w:lang w:bidi="fa-IR"/>
        </w:rPr>
        <w:t xml:space="preserve"> به </w:t>
      </w:r>
      <w:proofErr w:type="spellStart"/>
      <w:r>
        <w:rPr>
          <w:lang w:bidi="fa-IR"/>
        </w:rPr>
        <w:t>UniProt</w:t>
      </w:r>
      <w:proofErr w:type="spellEnd"/>
      <w:r>
        <w:rPr>
          <w:lang w:bidi="fa-IR"/>
        </w:rPr>
        <w:t xml:space="preserve"> ID</w:t>
      </w:r>
      <w:r>
        <w:rPr>
          <w:rFonts w:hint="cs"/>
          <w:rtl/>
          <w:lang w:bidi="fa-IR"/>
        </w:rPr>
        <w:t xml:space="preserve">، از 9635 آی دی </w:t>
      </w:r>
      <w:r>
        <w:rPr>
          <w:lang w:bidi="fa-IR"/>
        </w:rPr>
        <w:t>ENTREZ</w:t>
      </w:r>
      <w:r>
        <w:rPr>
          <w:rFonts w:hint="cs"/>
          <w:rtl/>
          <w:lang w:bidi="fa-IR"/>
        </w:rPr>
        <w:t xml:space="preserve"> موجود، 9420 آی دی دارای حداقل یک آی دی متناظر در </w:t>
      </w:r>
      <w:proofErr w:type="spellStart"/>
      <w:r>
        <w:rPr>
          <w:lang w:bidi="fa-IR"/>
        </w:rPr>
        <w:t>UniProt</w:t>
      </w:r>
      <w:proofErr w:type="spellEnd"/>
      <w:r>
        <w:rPr>
          <w:rFonts w:hint="cs"/>
          <w:rtl/>
          <w:lang w:bidi="fa-IR"/>
        </w:rPr>
        <w:t xml:space="preserve"> بودند. 9420 آی دی مذکور دارای 16976 آی دی متناظر در </w:t>
      </w:r>
      <w:proofErr w:type="spellStart"/>
      <w:r>
        <w:rPr>
          <w:lang w:bidi="fa-IR"/>
        </w:rPr>
        <w:t>UniProt</w:t>
      </w:r>
      <w:proofErr w:type="spellEnd"/>
      <w:r>
        <w:rPr>
          <w:rFonts w:hint="cs"/>
          <w:rtl/>
          <w:lang w:bidi="fa-IR"/>
        </w:rPr>
        <w:t xml:space="preserve"> بودند: برخی از آی دی های  </w:t>
      </w:r>
      <w:r>
        <w:rPr>
          <w:lang w:bidi="fa-IR"/>
        </w:rPr>
        <w:t>ENTERZ</w:t>
      </w:r>
      <w:r>
        <w:rPr>
          <w:rFonts w:hint="cs"/>
          <w:rtl/>
          <w:lang w:bidi="fa-IR"/>
        </w:rPr>
        <w:t xml:space="preserve"> به بیش از یک موجودیت در پایگاه داده </w:t>
      </w:r>
      <w:proofErr w:type="spellStart"/>
      <w:r>
        <w:rPr>
          <w:lang w:bidi="fa-IR"/>
        </w:rPr>
        <w:t>UniProt</w:t>
      </w:r>
      <w:proofErr w:type="spellEnd"/>
      <w:r>
        <w:rPr>
          <w:rFonts w:hint="cs"/>
          <w:rtl/>
          <w:lang w:bidi="fa-IR"/>
        </w:rPr>
        <w:t xml:space="preserve"> متناظر شده اند (دلیلش رو داخل فایلی که قبلا آماده کرده ام نوشتم، اینجا اضافه ش کنم)</w:t>
      </w:r>
      <w:r w:rsidR="009306C9">
        <w:rPr>
          <w:rFonts w:hint="cs"/>
          <w:rtl/>
          <w:lang w:bidi="fa-IR"/>
        </w:rPr>
        <w:t xml:space="preserve">. از بین 9420 آی دی مذکور، 5683 آی دی دارای یک آی دی متناظر در </w:t>
      </w:r>
      <w:proofErr w:type="spellStart"/>
      <w:r w:rsidR="009306C9">
        <w:rPr>
          <w:lang w:bidi="fa-IR"/>
        </w:rPr>
        <w:t>UniProt</w:t>
      </w:r>
      <w:proofErr w:type="spellEnd"/>
      <w:r w:rsidR="009306C9">
        <w:rPr>
          <w:rFonts w:hint="cs"/>
          <w:rtl/>
          <w:lang w:bidi="fa-IR"/>
        </w:rPr>
        <w:t xml:space="preserve"> و 3737 آی دی دارای بیش از یک آی دی متناظر در </w:t>
      </w:r>
      <w:proofErr w:type="spellStart"/>
      <w:r w:rsidR="009306C9">
        <w:rPr>
          <w:lang w:bidi="fa-IR"/>
        </w:rPr>
        <w:t>UniProt</w:t>
      </w:r>
      <w:proofErr w:type="spellEnd"/>
      <w:r w:rsidR="009306C9">
        <w:rPr>
          <w:rFonts w:hint="cs"/>
          <w:rtl/>
          <w:lang w:bidi="fa-IR"/>
        </w:rPr>
        <w:t xml:space="preserve"> هستند. </w:t>
      </w: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Fonts w:hint="cs"/>
          <w:rtl/>
          <w:lang w:bidi="fa-IR"/>
        </w:rPr>
      </w:pPr>
    </w:p>
    <w:p w:rsidR="005853D6" w:rsidRDefault="005853D6" w:rsidP="00657F3B">
      <w:pPr>
        <w:rPr>
          <w:rtl/>
          <w:lang w:bidi="fa-IR"/>
        </w:rPr>
      </w:pPr>
    </w:p>
    <w:tbl>
      <w:tblPr>
        <w:tblStyle w:val="TableGrid"/>
        <w:bidiVisual/>
        <w:tblW w:w="0" w:type="auto"/>
        <w:tblLook w:val="04A0" w:firstRow="1" w:lastRow="0" w:firstColumn="1" w:lastColumn="0" w:noHBand="0" w:noVBand="1"/>
      </w:tblPr>
      <w:tblGrid>
        <w:gridCol w:w="2772"/>
        <w:gridCol w:w="2348"/>
        <w:gridCol w:w="2115"/>
        <w:gridCol w:w="2115"/>
      </w:tblGrid>
      <w:tr w:rsidR="004B4FDC" w:rsidTr="004B4FDC">
        <w:tc>
          <w:tcPr>
            <w:tcW w:w="2772" w:type="dxa"/>
          </w:tcPr>
          <w:p w:rsidR="004B4FDC" w:rsidRDefault="004B4FDC" w:rsidP="00657F3B">
            <w:pPr>
              <w:rPr>
                <w:lang w:bidi="fa-IR"/>
              </w:rPr>
            </w:pPr>
          </w:p>
        </w:tc>
        <w:tc>
          <w:tcPr>
            <w:tcW w:w="2348" w:type="dxa"/>
          </w:tcPr>
          <w:p w:rsidR="004B4FDC" w:rsidRDefault="004B4FDC" w:rsidP="00657F3B">
            <w:pPr>
              <w:rPr>
                <w:lang w:bidi="fa-IR"/>
              </w:rPr>
            </w:pPr>
          </w:p>
        </w:tc>
        <w:tc>
          <w:tcPr>
            <w:tcW w:w="4230" w:type="dxa"/>
            <w:gridSpan w:val="2"/>
          </w:tcPr>
          <w:p w:rsidR="004B4FDC" w:rsidRDefault="004B4FDC" w:rsidP="00657F3B">
            <w:pPr>
              <w:rPr>
                <w:rFonts w:hint="cs"/>
                <w:rtl/>
                <w:lang w:bidi="fa-IR"/>
              </w:rPr>
            </w:pPr>
          </w:p>
        </w:tc>
      </w:tr>
      <w:tr w:rsidR="004B4FDC" w:rsidTr="00F0606A">
        <w:trPr>
          <w:trHeight w:val="345"/>
        </w:trPr>
        <w:tc>
          <w:tcPr>
            <w:tcW w:w="2772" w:type="dxa"/>
            <w:vMerge w:val="restart"/>
          </w:tcPr>
          <w:p w:rsidR="004B4FDC" w:rsidRDefault="004B4FDC" w:rsidP="00657F3B">
            <w:pPr>
              <w:rPr>
                <w:rFonts w:hint="cs"/>
                <w:rtl/>
                <w:lang w:bidi="fa-IR"/>
              </w:rPr>
            </w:pPr>
            <w:r>
              <w:rPr>
                <w:rFonts w:hint="cs"/>
                <w:rtl/>
                <w:lang w:bidi="fa-IR"/>
              </w:rPr>
              <w:t>بدون داشتن اشتراک در آی دی های متناظر</w:t>
            </w:r>
          </w:p>
        </w:tc>
        <w:tc>
          <w:tcPr>
            <w:tcW w:w="2348" w:type="dxa"/>
            <w:vMerge w:val="restart"/>
          </w:tcPr>
          <w:p w:rsidR="004B4FDC" w:rsidRDefault="004B4FDC" w:rsidP="004B4FDC">
            <w:pPr>
              <w:rPr>
                <w:rtl/>
                <w:lang w:bidi="fa-IR"/>
              </w:rPr>
            </w:pPr>
            <w:r>
              <w:rPr>
                <w:rFonts w:hint="cs"/>
                <w:rtl/>
                <w:lang w:bidi="fa-IR"/>
              </w:rPr>
              <w:t>9368</w:t>
            </w:r>
          </w:p>
        </w:tc>
        <w:tc>
          <w:tcPr>
            <w:tcW w:w="2115" w:type="dxa"/>
          </w:tcPr>
          <w:p w:rsidR="004B4FDC" w:rsidRDefault="004B4FDC" w:rsidP="004B4FDC">
            <w:pPr>
              <w:rPr>
                <w:rFonts w:hint="cs"/>
                <w:rtl/>
                <w:lang w:bidi="fa-IR"/>
              </w:rPr>
            </w:pPr>
            <w:r>
              <w:rPr>
                <w:rFonts w:hint="cs"/>
                <w:rtl/>
                <w:lang w:bidi="fa-IR"/>
              </w:rPr>
              <w:t>دارای یک آی دی متناظر</w:t>
            </w:r>
          </w:p>
        </w:tc>
        <w:tc>
          <w:tcPr>
            <w:tcW w:w="2115" w:type="dxa"/>
          </w:tcPr>
          <w:p w:rsidR="004B4FDC" w:rsidRDefault="004B4FDC" w:rsidP="004B4FDC">
            <w:pPr>
              <w:rPr>
                <w:rFonts w:hint="cs"/>
                <w:rtl/>
                <w:lang w:bidi="fa-IR"/>
              </w:rPr>
            </w:pPr>
            <w:r>
              <w:rPr>
                <w:rFonts w:hint="cs"/>
                <w:rtl/>
                <w:lang w:bidi="fa-IR"/>
              </w:rPr>
              <w:t>5663</w:t>
            </w:r>
          </w:p>
        </w:tc>
      </w:tr>
      <w:tr w:rsidR="004B4FDC" w:rsidTr="00F0606A">
        <w:trPr>
          <w:trHeight w:val="344"/>
        </w:trPr>
        <w:tc>
          <w:tcPr>
            <w:tcW w:w="2772" w:type="dxa"/>
            <w:vMerge/>
          </w:tcPr>
          <w:p w:rsidR="004B4FDC" w:rsidRDefault="004B4FDC" w:rsidP="00657F3B">
            <w:pPr>
              <w:rPr>
                <w:rFonts w:hint="cs"/>
                <w:rtl/>
                <w:lang w:bidi="fa-IR"/>
              </w:rPr>
            </w:pPr>
          </w:p>
        </w:tc>
        <w:tc>
          <w:tcPr>
            <w:tcW w:w="2348" w:type="dxa"/>
            <w:vMerge/>
          </w:tcPr>
          <w:p w:rsidR="004B4FDC" w:rsidRDefault="004B4FDC" w:rsidP="004B4FDC">
            <w:pPr>
              <w:rPr>
                <w:rFonts w:hint="cs"/>
                <w:rtl/>
                <w:lang w:bidi="fa-IR"/>
              </w:rPr>
            </w:pPr>
          </w:p>
        </w:tc>
        <w:tc>
          <w:tcPr>
            <w:tcW w:w="2115" w:type="dxa"/>
          </w:tcPr>
          <w:p w:rsidR="004B4FDC" w:rsidRDefault="004B4FDC" w:rsidP="004B4FDC">
            <w:pPr>
              <w:rPr>
                <w:rFonts w:hint="cs"/>
                <w:rtl/>
                <w:lang w:bidi="fa-IR"/>
              </w:rPr>
            </w:pPr>
            <w:r>
              <w:rPr>
                <w:rFonts w:hint="cs"/>
                <w:rtl/>
                <w:lang w:bidi="fa-IR"/>
              </w:rPr>
              <w:t>دارای بیش از یک آی دی متناظر</w:t>
            </w:r>
          </w:p>
        </w:tc>
        <w:tc>
          <w:tcPr>
            <w:tcW w:w="2115" w:type="dxa"/>
          </w:tcPr>
          <w:p w:rsidR="004B4FDC" w:rsidRDefault="004B4FDC" w:rsidP="004B4FDC">
            <w:pPr>
              <w:rPr>
                <w:lang w:bidi="fa-IR"/>
              </w:rPr>
            </w:pPr>
            <w:r>
              <w:rPr>
                <w:rFonts w:hint="cs"/>
                <w:rtl/>
                <w:lang w:bidi="fa-IR"/>
              </w:rPr>
              <w:t>3705</w:t>
            </w:r>
          </w:p>
        </w:tc>
      </w:tr>
      <w:tr w:rsidR="00B23D53" w:rsidTr="005E08FD">
        <w:trPr>
          <w:trHeight w:val="176"/>
        </w:trPr>
        <w:tc>
          <w:tcPr>
            <w:tcW w:w="2772" w:type="dxa"/>
            <w:vMerge w:val="restart"/>
          </w:tcPr>
          <w:p w:rsidR="00B23D53" w:rsidRDefault="00B23D53" w:rsidP="00B23D53">
            <w:pPr>
              <w:rPr>
                <w:rtl/>
                <w:lang w:bidi="fa-IR"/>
              </w:rPr>
            </w:pPr>
            <w:r>
              <w:rPr>
                <w:rFonts w:hint="cs"/>
                <w:rtl/>
                <w:lang w:bidi="fa-IR"/>
              </w:rPr>
              <w:t>دارای اشتراک</w:t>
            </w:r>
          </w:p>
        </w:tc>
        <w:tc>
          <w:tcPr>
            <w:tcW w:w="2348" w:type="dxa"/>
            <w:vMerge w:val="restart"/>
          </w:tcPr>
          <w:p w:rsidR="00B23D53" w:rsidRDefault="00B23D53" w:rsidP="00B23D53">
            <w:pPr>
              <w:rPr>
                <w:rtl/>
                <w:lang w:bidi="fa-IR"/>
              </w:rPr>
            </w:pPr>
            <w:r>
              <w:rPr>
                <w:rFonts w:hint="cs"/>
                <w:rtl/>
                <w:lang w:bidi="fa-IR"/>
              </w:rPr>
              <w:t>52</w:t>
            </w:r>
          </w:p>
        </w:tc>
        <w:tc>
          <w:tcPr>
            <w:tcW w:w="2115" w:type="dxa"/>
          </w:tcPr>
          <w:p w:rsidR="00B23D53" w:rsidRDefault="00B23D53" w:rsidP="00B23D53">
            <w:pPr>
              <w:rPr>
                <w:rFonts w:hint="cs"/>
                <w:rtl/>
                <w:lang w:bidi="fa-IR"/>
              </w:rPr>
            </w:pPr>
            <w:r>
              <w:rPr>
                <w:rFonts w:hint="cs"/>
                <w:rtl/>
                <w:lang w:bidi="fa-IR"/>
              </w:rPr>
              <w:t>دارای یک آی دی متناظر</w:t>
            </w:r>
          </w:p>
        </w:tc>
        <w:tc>
          <w:tcPr>
            <w:tcW w:w="2115" w:type="dxa"/>
          </w:tcPr>
          <w:p w:rsidR="00B23D53" w:rsidRDefault="00B23D53" w:rsidP="00B23D53">
            <w:pPr>
              <w:rPr>
                <w:rFonts w:hint="cs"/>
                <w:rtl/>
                <w:lang w:bidi="fa-IR"/>
              </w:rPr>
            </w:pPr>
            <w:r>
              <w:rPr>
                <w:rFonts w:hint="cs"/>
                <w:rtl/>
                <w:lang w:bidi="fa-IR"/>
              </w:rPr>
              <w:t>34</w:t>
            </w:r>
          </w:p>
        </w:tc>
      </w:tr>
      <w:tr w:rsidR="00B23D53" w:rsidTr="005E08FD">
        <w:trPr>
          <w:trHeight w:val="175"/>
        </w:trPr>
        <w:tc>
          <w:tcPr>
            <w:tcW w:w="2772" w:type="dxa"/>
            <w:vMerge/>
          </w:tcPr>
          <w:p w:rsidR="00B23D53" w:rsidRDefault="00B23D53" w:rsidP="00B23D53">
            <w:pPr>
              <w:rPr>
                <w:rFonts w:hint="cs"/>
                <w:rtl/>
                <w:lang w:bidi="fa-IR"/>
              </w:rPr>
            </w:pPr>
          </w:p>
        </w:tc>
        <w:tc>
          <w:tcPr>
            <w:tcW w:w="2348" w:type="dxa"/>
            <w:vMerge/>
          </w:tcPr>
          <w:p w:rsidR="00B23D53" w:rsidRDefault="00B23D53" w:rsidP="00B23D53">
            <w:pPr>
              <w:rPr>
                <w:rFonts w:hint="cs"/>
                <w:rtl/>
                <w:lang w:bidi="fa-IR"/>
              </w:rPr>
            </w:pPr>
          </w:p>
        </w:tc>
        <w:tc>
          <w:tcPr>
            <w:tcW w:w="2115" w:type="dxa"/>
          </w:tcPr>
          <w:p w:rsidR="00B23D53" w:rsidRDefault="00B23D53" w:rsidP="00B23D53">
            <w:pPr>
              <w:rPr>
                <w:rFonts w:hint="cs"/>
                <w:rtl/>
                <w:lang w:bidi="fa-IR"/>
              </w:rPr>
            </w:pPr>
            <w:r>
              <w:rPr>
                <w:rFonts w:hint="cs"/>
                <w:rtl/>
                <w:lang w:bidi="fa-IR"/>
              </w:rPr>
              <w:t>دارای بیش از یک آی دی متناظر</w:t>
            </w:r>
          </w:p>
        </w:tc>
        <w:tc>
          <w:tcPr>
            <w:tcW w:w="2115" w:type="dxa"/>
          </w:tcPr>
          <w:p w:rsidR="00B23D53" w:rsidRDefault="00B23D53" w:rsidP="00B23D53">
            <w:pPr>
              <w:rPr>
                <w:lang w:bidi="fa-IR"/>
              </w:rPr>
            </w:pPr>
            <w:r>
              <w:rPr>
                <w:rFonts w:hint="cs"/>
                <w:rtl/>
                <w:lang w:bidi="fa-IR"/>
              </w:rPr>
              <w:t>36</w:t>
            </w:r>
          </w:p>
        </w:tc>
      </w:tr>
      <w:tr w:rsidR="00B23D53" w:rsidTr="005F7BA2">
        <w:trPr>
          <w:trHeight w:val="176"/>
        </w:trPr>
        <w:tc>
          <w:tcPr>
            <w:tcW w:w="2772" w:type="dxa"/>
            <w:vMerge w:val="restart"/>
          </w:tcPr>
          <w:p w:rsidR="00B23D53" w:rsidRDefault="00B23D53" w:rsidP="00B23D53">
            <w:pPr>
              <w:rPr>
                <w:rtl/>
                <w:lang w:bidi="fa-IR"/>
              </w:rPr>
            </w:pPr>
            <w:r>
              <w:rPr>
                <w:rFonts w:hint="cs"/>
                <w:rtl/>
                <w:lang w:bidi="fa-IR"/>
              </w:rPr>
              <w:t>دارای مجموعه متناظر یکسان</w:t>
            </w:r>
          </w:p>
        </w:tc>
        <w:tc>
          <w:tcPr>
            <w:tcW w:w="2348" w:type="dxa"/>
            <w:vMerge w:val="restart"/>
          </w:tcPr>
          <w:p w:rsidR="00B23D53" w:rsidRDefault="00B23D53" w:rsidP="00B23D53">
            <w:pPr>
              <w:rPr>
                <w:rtl/>
                <w:lang w:bidi="fa-IR"/>
              </w:rPr>
            </w:pPr>
            <w:r>
              <w:rPr>
                <w:rFonts w:hint="cs"/>
                <w:rtl/>
                <w:lang w:bidi="fa-IR"/>
              </w:rPr>
              <w:t>50</w:t>
            </w:r>
          </w:p>
        </w:tc>
        <w:tc>
          <w:tcPr>
            <w:tcW w:w="2115" w:type="dxa"/>
          </w:tcPr>
          <w:p w:rsidR="00B23D53" w:rsidRDefault="00B23D53" w:rsidP="00B23D53">
            <w:pPr>
              <w:rPr>
                <w:rFonts w:hint="cs"/>
                <w:rtl/>
                <w:lang w:bidi="fa-IR"/>
              </w:rPr>
            </w:pPr>
            <w:r>
              <w:rPr>
                <w:rFonts w:hint="cs"/>
                <w:rtl/>
                <w:lang w:bidi="fa-IR"/>
              </w:rPr>
              <w:t>دارای یک آی دی متناظر</w:t>
            </w:r>
          </w:p>
        </w:tc>
        <w:tc>
          <w:tcPr>
            <w:tcW w:w="2115" w:type="dxa"/>
          </w:tcPr>
          <w:p w:rsidR="00B23D53" w:rsidRDefault="00B23D53" w:rsidP="00B23D53">
            <w:pPr>
              <w:rPr>
                <w:rFonts w:hint="cs"/>
                <w:rtl/>
                <w:lang w:bidi="fa-IR"/>
              </w:rPr>
            </w:pPr>
            <w:r>
              <w:rPr>
                <w:rFonts w:hint="cs"/>
                <w:rtl/>
                <w:lang w:bidi="fa-IR"/>
              </w:rPr>
              <w:t>26</w:t>
            </w:r>
          </w:p>
        </w:tc>
      </w:tr>
      <w:tr w:rsidR="00B23D53" w:rsidTr="005F7BA2">
        <w:trPr>
          <w:trHeight w:val="175"/>
        </w:trPr>
        <w:tc>
          <w:tcPr>
            <w:tcW w:w="2772" w:type="dxa"/>
            <w:vMerge/>
          </w:tcPr>
          <w:p w:rsidR="00B23D53" w:rsidRDefault="00B23D53" w:rsidP="00B23D53">
            <w:pPr>
              <w:rPr>
                <w:rFonts w:hint="cs"/>
                <w:rtl/>
                <w:lang w:bidi="fa-IR"/>
              </w:rPr>
            </w:pPr>
          </w:p>
        </w:tc>
        <w:tc>
          <w:tcPr>
            <w:tcW w:w="2348" w:type="dxa"/>
            <w:vMerge/>
          </w:tcPr>
          <w:p w:rsidR="00B23D53" w:rsidRDefault="00B23D53" w:rsidP="00B23D53">
            <w:pPr>
              <w:rPr>
                <w:rFonts w:hint="cs"/>
                <w:rtl/>
                <w:lang w:bidi="fa-IR"/>
              </w:rPr>
            </w:pPr>
          </w:p>
        </w:tc>
        <w:tc>
          <w:tcPr>
            <w:tcW w:w="2115" w:type="dxa"/>
          </w:tcPr>
          <w:p w:rsidR="00B23D53" w:rsidRDefault="00B23D53" w:rsidP="00B23D53">
            <w:pPr>
              <w:rPr>
                <w:rFonts w:hint="cs"/>
                <w:rtl/>
                <w:lang w:bidi="fa-IR"/>
              </w:rPr>
            </w:pPr>
            <w:r>
              <w:rPr>
                <w:rFonts w:hint="cs"/>
                <w:rtl/>
                <w:lang w:bidi="fa-IR"/>
              </w:rPr>
              <w:t>دارای بیش از یک آی دی متناظر</w:t>
            </w:r>
          </w:p>
        </w:tc>
        <w:tc>
          <w:tcPr>
            <w:tcW w:w="2115" w:type="dxa"/>
          </w:tcPr>
          <w:p w:rsidR="00B23D53" w:rsidRDefault="00B23D53" w:rsidP="00B23D53">
            <w:pPr>
              <w:rPr>
                <w:lang w:bidi="fa-IR"/>
              </w:rPr>
            </w:pPr>
            <w:r>
              <w:rPr>
                <w:rFonts w:hint="cs"/>
                <w:rtl/>
                <w:lang w:bidi="fa-IR"/>
              </w:rPr>
              <w:t>36</w:t>
            </w:r>
            <w:bookmarkStart w:id="0" w:name="_GoBack"/>
            <w:bookmarkEnd w:id="0"/>
          </w:p>
        </w:tc>
      </w:tr>
      <w:tr w:rsidR="004B4FDC" w:rsidTr="004B4FDC">
        <w:tc>
          <w:tcPr>
            <w:tcW w:w="2772" w:type="dxa"/>
          </w:tcPr>
          <w:p w:rsidR="004B4FDC" w:rsidRDefault="004B4FDC" w:rsidP="00657F3B">
            <w:pPr>
              <w:rPr>
                <w:rtl/>
                <w:lang w:bidi="fa-IR"/>
              </w:rPr>
            </w:pPr>
          </w:p>
        </w:tc>
        <w:tc>
          <w:tcPr>
            <w:tcW w:w="2348" w:type="dxa"/>
          </w:tcPr>
          <w:p w:rsidR="004B4FDC" w:rsidRDefault="004B4FDC" w:rsidP="00657F3B">
            <w:pPr>
              <w:rPr>
                <w:rtl/>
                <w:lang w:bidi="fa-IR"/>
              </w:rPr>
            </w:pPr>
          </w:p>
        </w:tc>
        <w:tc>
          <w:tcPr>
            <w:tcW w:w="4230" w:type="dxa"/>
            <w:gridSpan w:val="2"/>
          </w:tcPr>
          <w:p w:rsidR="004B4FDC" w:rsidRDefault="004B4FDC" w:rsidP="00657F3B">
            <w:pPr>
              <w:rPr>
                <w:rtl/>
                <w:lang w:bidi="fa-IR"/>
              </w:rPr>
            </w:pPr>
          </w:p>
        </w:tc>
      </w:tr>
    </w:tbl>
    <w:p w:rsidR="005853D6" w:rsidRDefault="005853D6" w:rsidP="00657F3B">
      <w:pPr>
        <w:rPr>
          <w:rtl/>
          <w:lang w:bidi="fa-IR"/>
        </w:rPr>
      </w:pPr>
    </w:p>
    <w:p w:rsidR="005853D6" w:rsidRDefault="005853D6" w:rsidP="00657F3B">
      <w:pPr>
        <w:rPr>
          <w:rtl/>
          <w:lang w:bidi="fa-IR"/>
        </w:rPr>
      </w:pPr>
    </w:p>
    <w:p w:rsidR="00657F3B" w:rsidRDefault="00657F3B" w:rsidP="00657F3B">
      <w:pPr>
        <w:rPr>
          <w:rtl/>
          <w:lang w:bidi="fa-IR"/>
        </w:rPr>
      </w:pPr>
      <w:r>
        <w:rPr>
          <w:rFonts w:hint="cs"/>
          <w:rtl/>
          <w:lang w:bidi="fa-IR"/>
        </w:rPr>
        <w:t xml:space="preserve">از بین 16976 آی دی </w:t>
      </w:r>
      <w:proofErr w:type="spellStart"/>
      <w:r>
        <w:rPr>
          <w:lang w:bidi="fa-IR"/>
        </w:rPr>
        <w:t>UniProt</w:t>
      </w:r>
      <w:proofErr w:type="spellEnd"/>
      <w:r>
        <w:rPr>
          <w:rFonts w:hint="cs"/>
          <w:rtl/>
          <w:lang w:bidi="fa-IR"/>
        </w:rPr>
        <w:t xml:space="preserve">، 16051 آی دی دارای حداقل یک آی دی متناظر در پایگاه داده </w:t>
      </w:r>
      <w:proofErr w:type="spellStart"/>
      <w:r>
        <w:rPr>
          <w:lang w:bidi="fa-IR"/>
        </w:rPr>
        <w:t>FlyBase</w:t>
      </w:r>
      <w:proofErr w:type="spellEnd"/>
      <w:r>
        <w:rPr>
          <w:rFonts w:hint="cs"/>
          <w:rtl/>
          <w:lang w:bidi="fa-IR"/>
        </w:rPr>
        <w:t xml:space="preserve"> بودند. این تعداد آی دی به 9261 آی دی در </w:t>
      </w:r>
      <w:proofErr w:type="spellStart"/>
      <w:r>
        <w:rPr>
          <w:lang w:bidi="fa-IR"/>
        </w:rPr>
        <w:t>FlyBase</w:t>
      </w:r>
      <w:proofErr w:type="spellEnd"/>
      <w:r>
        <w:rPr>
          <w:rFonts w:hint="cs"/>
          <w:rtl/>
          <w:lang w:bidi="fa-IR"/>
        </w:rPr>
        <w:t xml:space="preserve"> متناظر شدند: چند آی دی </w:t>
      </w:r>
      <w:proofErr w:type="spellStart"/>
      <w:r>
        <w:rPr>
          <w:lang w:bidi="fa-IR"/>
        </w:rPr>
        <w:t>UniProt</w:t>
      </w:r>
      <w:proofErr w:type="spellEnd"/>
      <w:r>
        <w:rPr>
          <w:rFonts w:hint="cs"/>
          <w:rtl/>
          <w:lang w:bidi="fa-IR"/>
        </w:rPr>
        <w:t xml:space="preserve"> دارای یک آی دی مشترک در </w:t>
      </w:r>
      <w:proofErr w:type="spellStart"/>
      <w:r>
        <w:rPr>
          <w:lang w:bidi="fa-IR"/>
        </w:rPr>
        <w:t>FlyBase</w:t>
      </w:r>
      <w:proofErr w:type="spellEnd"/>
      <w:r>
        <w:rPr>
          <w:rFonts w:hint="cs"/>
          <w:rtl/>
          <w:lang w:bidi="fa-IR"/>
        </w:rPr>
        <w:t xml:space="preserve"> هستند.</w:t>
      </w:r>
    </w:p>
    <w:p w:rsidR="00657F3B" w:rsidRDefault="00657F3B" w:rsidP="00657F3B">
      <w:pPr>
        <w:rPr>
          <w:rtl/>
          <w:lang w:bidi="fa-IR"/>
        </w:rPr>
      </w:pPr>
    </w:p>
    <w:p w:rsidR="00657F3B" w:rsidRDefault="00657F3B" w:rsidP="00657F3B">
      <w:pPr>
        <w:rPr>
          <w:rFonts w:hint="cs"/>
          <w:lang w:bidi="fa-IR"/>
        </w:rPr>
      </w:pPr>
    </w:p>
    <w:p w:rsidR="00657F3B" w:rsidRDefault="00657F3B" w:rsidP="00657F3B">
      <w:pPr>
        <w:rPr>
          <w:rtl/>
          <w:lang w:bidi="fa-IR"/>
        </w:rPr>
      </w:pPr>
    </w:p>
    <w:p w:rsidR="00657F3B" w:rsidRDefault="00657F3B" w:rsidP="00657F3B">
      <w:pPr>
        <w:rPr>
          <w:rtl/>
          <w:lang w:bidi="fa-IR"/>
        </w:rPr>
      </w:pPr>
      <w:r>
        <w:rPr>
          <w:rFonts w:hint="cs"/>
          <w:rtl/>
          <w:lang w:bidi="fa-IR"/>
        </w:rPr>
        <w:t xml:space="preserve">از آنجا که باید هر برای هر برهم‌کنش، ضروری بودن یا غیر ضروری بودن ژن‌های متناظر با پروتئین‌های  دو سر  آن برهم‌کنش، مشخص باشند، از بین برهم‌کنش‌های فوق، برهم‌کنش‌هایی را که پروتئین‌های دو سر آن هیچ ژن متناظری را در لیست ژن‌های به دست آمده از پایگاه </w:t>
      </w:r>
      <w:r>
        <w:rPr>
          <w:lang w:bidi="fa-IR"/>
        </w:rPr>
        <w:t>OGEE</w:t>
      </w:r>
      <w:r>
        <w:rPr>
          <w:rFonts w:hint="cs"/>
          <w:rtl/>
          <w:lang w:bidi="fa-IR"/>
        </w:rPr>
        <w:t xml:space="preserve"> ندارند، حذف می‌نماییم. با این عمل، مشخص شد که ؟؟؟؟؟ ژن موجود در این برهم‌کنش‌ها در لیست ژن‌های </w:t>
      </w:r>
      <w:r>
        <w:rPr>
          <w:lang w:bidi="fa-IR"/>
        </w:rPr>
        <w:t>OGEE</w:t>
      </w:r>
      <w:r>
        <w:rPr>
          <w:rFonts w:hint="cs"/>
          <w:rtl/>
          <w:lang w:bidi="fa-IR"/>
        </w:rPr>
        <w:t xml:space="preserve"> نیستند و تعداد ؟؟؟ واکنش که حداقل یکی از دو سر آن یکی از ؟؟؟ ژن مذکور بودند، حذف شدند.</w:t>
      </w:r>
    </w:p>
    <w:tbl>
      <w:tblPr>
        <w:tblStyle w:val="GridTable6Colorful-Accent6"/>
        <w:bidiVisual/>
        <w:tblW w:w="0" w:type="auto"/>
        <w:jc w:val="center"/>
        <w:tblLook w:val="04A0" w:firstRow="1" w:lastRow="0" w:firstColumn="1" w:lastColumn="0" w:noHBand="0" w:noVBand="1"/>
      </w:tblPr>
      <w:tblGrid>
        <w:gridCol w:w="3965"/>
        <w:gridCol w:w="1615"/>
      </w:tblGrid>
      <w:tr w:rsidR="00657F3B" w:rsidTr="00AA2D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lastRenderedPageBreak/>
              <w:t>تعداد کل برهم‌کنش‌ها (بدون تکرار)</w:t>
            </w:r>
          </w:p>
        </w:tc>
        <w:tc>
          <w:tcPr>
            <w:tcW w:w="1615" w:type="dxa"/>
            <w:vAlign w:val="center"/>
          </w:tcPr>
          <w:p w:rsidR="00657F3B" w:rsidRDefault="00657F3B" w:rsidP="00AA2DC1">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w:t>
            </w:r>
          </w:p>
        </w:tc>
      </w:tr>
      <w:tr w:rsidR="00657F3B" w:rsidTr="00AA2D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ژن‌های حاضر در این برهم‌کنش‌ها</w:t>
            </w:r>
          </w:p>
        </w:tc>
        <w:tc>
          <w:tcPr>
            <w:tcW w:w="1615" w:type="dxa"/>
            <w:vAlign w:val="center"/>
          </w:tcPr>
          <w:p w:rsidR="00657F3B" w:rsidRDefault="00657F3B" w:rsidP="00AA2DC1">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w:t>
            </w:r>
          </w:p>
        </w:tc>
      </w:tr>
    </w:tbl>
    <w:p w:rsidR="00657F3B" w:rsidRDefault="00657F3B" w:rsidP="00657F3B">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proofErr w:type="spellStart"/>
      <w:r>
        <w:t>BioGrid</w:t>
      </w:r>
      <w:proofErr w:type="spellEnd"/>
    </w:p>
    <w:p w:rsidR="00657F3B" w:rsidRPr="00FF1EF1" w:rsidRDefault="00657F3B" w:rsidP="00657F3B">
      <w:pPr>
        <w:rPr>
          <w:lang w:bidi="fa-IR"/>
        </w:rPr>
      </w:pPr>
    </w:p>
    <w:p w:rsidR="00FF1EF1" w:rsidRPr="00657F3B" w:rsidRDefault="00FF1EF1" w:rsidP="00657F3B"/>
    <w:sectPr w:rsidR="00FF1EF1" w:rsidRPr="0065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013C5"/>
    <w:rsid w:val="000A75E7"/>
    <w:rsid w:val="00375EF7"/>
    <w:rsid w:val="004632A6"/>
    <w:rsid w:val="004B4FDC"/>
    <w:rsid w:val="005853D6"/>
    <w:rsid w:val="005B677E"/>
    <w:rsid w:val="005C2022"/>
    <w:rsid w:val="005D114F"/>
    <w:rsid w:val="006454D7"/>
    <w:rsid w:val="00657F3B"/>
    <w:rsid w:val="00766EA5"/>
    <w:rsid w:val="007F492B"/>
    <w:rsid w:val="008D4365"/>
    <w:rsid w:val="00902624"/>
    <w:rsid w:val="009306C9"/>
    <w:rsid w:val="00B114BC"/>
    <w:rsid w:val="00B23D53"/>
    <w:rsid w:val="00DB5522"/>
    <w:rsid w:val="00EB29E0"/>
    <w:rsid w:val="00F80911"/>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20</cp:revision>
  <dcterms:created xsi:type="dcterms:W3CDTF">2020-12-05T07:05:00Z</dcterms:created>
  <dcterms:modified xsi:type="dcterms:W3CDTF">2020-12-21T10:54:00Z</dcterms:modified>
</cp:coreProperties>
</file>