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Miriam Batista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651.126.879-91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nomeAbreviado2d90f323-2bdc-4b61-8728-291ca818f666 | marcae5d717b0-3d8a-495d-93a6-9534deee96b1 | modelofa78ece9-17af-4159-a286-d22689357f48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nomeAbreviadob347a4c6-9e48-4dcb-a925-f4c39a983de0 | marca67a12beb-7a65-4fc8-b70d-3a4176f4c891 | modelo456cb85c-3085-4a4e-8491-1d36b6e7e379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nomeAbreviado4d637626-d319-468a-8b9c-34fcd386bc01 | marca16abae4f-a17b-4b3e-9436-15fe84bd1912 | modeloec1f3f82-dbac-4a76-a06f-c5fa3e422285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30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