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fcd259354284fd8" /><Relationship Type="http://schemas.openxmlformats.org/package/2006/relationships/metadata/core-properties" Target="/docProps/core.xml" Id="Radf3714dbb9443c5" /><Relationship Type="http://schemas.openxmlformats.org/officeDocument/2006/relationships/extended-properties" Target="/docProps/app.xml" Id="Rf56c33ad047340c1" /><Relationship Type="http://schemas.openxmlformats.org/officeDocument/2006/relationships/custom-properties" Target="/docProps/custom.xml" Id="R5e94a275f18341a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jc w:val="left"/>
      </w:pPr>
      <w:r>
        <w:rPr>
          <w:b/>
          <w:sz w:val="36"/>
        </w:rPr>
        <w:t xml:space="preserve">[TC] TC &lt;tc-code&gt;</w:t>
      </w:r>
    </w:p>
    <w:p w14:paraId="00100002" w14:textId="00100003">
      <w:pPr>
        <w:jc w:val="right"/>
      </w:pPr>
      <w:r>
        <w:rPr>
          <w:b/>
          <w:sz w:val="36"/>
        </w:rPr>
        <w:t xml:space="preserve">[UID] TDoc UID (e.g. STQ(26)082003)</w:t>
      </w:r>
    </w:p>
    <w:p w14:paraId="00100004" w14:textId="00100005">
      <w:pPr/>
      <w:r>
        <w:rPr>
          <w:b/>
          <w:sz w:val="28"/>
        </w:rPr>
        <w:t xml:space="preserve">Report for &lt;TC&gt;#&lt;meeting-number&gt; (&lt;dates&gt;)</w:t>
      </w:r>
    </w:p>
    <w:p w14:paraId="00100006" w14:textId="00100007">
      <w:pPr/>
      <w:r>
        <w:rPr/>
        <w:t xml:space="preserve">&lt;location&gt;</w:t>
      </w:r>
    </w:p>
    <w:p w14:paraId="00100008" w14:textId="00100009">
      <w:pPr/>
      <w:r>
        <w:rPr/>
        <w:t xml:space="preserve">Source: &lt;your-org&gt;, TO &lt;contact-name&gt;</w:t>
      </w:r>
    </w:p>
    <w:p w14:paraId="0010000A" w14:textId="0010000B">
      <w:pPr/>
      <w:r>
        <w:rPr/>
        <w:t xml:space="preserve"/>
      </w:r>
    </w:p>
    <w:p w14:paraId="0010000C" w14:textId="0010000D">
      <w:pPr/>
      <w:r>
        <w:rPr>
          <w:b/>
          <w:sz w:val="26"/>
        </w:rPr>
        <w:t xml:space="preserve">1. Opening, Agenda</w:t>
      </w:r>
    </w:p>
    <w:p w14:paraId="0010000E" w14:textId="0010000F">
      <w:pPr/>
      <w:r>
        <w:rPr>
          <w:i/>
          <w:color w:val="808080"/>
        </w:rPr>
        <w:t xml:space="preserve">[Insert agenda items handled this meeting — pull from documents list -m &lt;id&gt; -t &lt;tc&gt; --type Agenda.]</w:t>
      </w:r>
    </w:p>
    <w:p w14:paraId="00100010" w14:textId="00100011">
      <w:pPr/>
      <w:r>
        <w:rPr/>
        <w:t xml:space="preserve"/>
      </w:r>
    </w:p>
    <w:p w14:paraId="00100012" w14:textId="00100013">
      <w:pPr/>
      <w:r>
        <w:rPr>
          <w:b/>
          <w:sz w:val="26"/>
        </w:rPr>
        <w:t xml:space="preserve">2. Meeting schedule</w:t>
      </w:r>
    </w:p>
    <w:p w14:paraId="00100014" w14:textId="00100015">
      <w:pPr/>
      <w:r>
        <w:rPr>
          <w:i/>
          <w:color w:val="808080"/>
        </w:rPr>
        <w:t xml:space="preserve">[Replace the placeholder table below with the verified schedule pattern (time slots x day columns, TDoc UIDs in cells, merged break rows). See references/schedule-table.md.]</w:t>
      </w:r>
    </w:p>
    <w:tbl>
      <w:tblPr>
        <w:tblW w:w="9000" w:type="dxa"/>
        <w:tblBorders>
          <w:top w:val="single" w:sz="4"/>
          <w:left w:val="single" w:sz="4"/>
          <w:bottom w:val="single" w:sz="4"/>
          <w:right w:val="single" w:sz="4"/>
          <w:insideH w:val="single" w:sz="4"/>
          <w:insideV w:val="single" w:sz="4"/>
        </w:tblBorders>
        <w:tblLook w:val="04A0" w:firstRow="true" w:firstColumn="true" w:noHBand="false"/>
      </w:tblPr>
      <w:tblGrid>
        <w:gridCol w:w="2076"/>
        <w:gridCol w:w="2076"/>
        <w:gridCol w:w="2076"/>
        <w:gridCol w:w="2076"/>
      </w:tblGrid>
      <w:tr>
        <w:tc>
          <w:p w14:paraId="00100016" w14:textId="00100017"/>
        </w:tc>
        <w:tc>
          <w:p w14:paraId="00100018" w14:textId="00100019"/>
        </w:tc>
        <w:tc>
          <w:p w14:paraId="0010001A" w14:textId="0010001B"/>
        </w:tc>
        <w:tc>
          <w:p w14:paraId="0010001C" w14:textId="0010001D"/>
        </w:tc>
      </w:tr>
      <w:tr>
        <w:tc>
          <w:p w14:paraId="0010001E" w14:textId="0010001F"/>
        </w:tc>
        <w:tc>
          <w:p w14:paraId="00100020" w14:textId="00100021"/>
        </w:tc>
        <w:tc>
          <w:p w14:paraId="00100022" w14:textId="00100023"/>
        </w:tc>
        <w:tc>
          <w:p w14:paraId="00100024" w14:textId="00100025"/>
        </w:tc>
      </w:tr>
      <w:tr>
        <w:tc>
          <w:p w14:paraId="00100026" w14:textId="00100027"/>
        </w:tc>
        <w:tc>
          <w:p w14:paraId="00100028" w14:textId="00100029"/>
        </w:tc>
        <w:tc>
          <w:p w14:paraId="0010002A" w14:textId="0010002B"/>
        </w:tc>
        <w:tc>
          <w:p w14:paraId="0010002C" w14:textId="0010002D"/>
        </w:tc>
      </w:tr>
      <w:tr>
        <w:tc>
          <w:p w14:paraId="0010002E" w14:textId="0010002F"/>
        </w:tc>
        <w:tc>
          <w:p w14:paraId="00100030" w14:textId="00100031"/>
        </w:tc>
        <w:tc>
          <w:p w14:paraId="00100032" w14:textId="00100033"/>
        </w:tc>
        <w:tc>
          <w:p w14:paraId="00100034" w14:textId="00100035"/>
        </w:tc>
      </w:tr>
      <w:tr>
        <w:tc>
          <w:p w14:paraId="00100036" w14:textId="00100037"/>
        </w:tc>
        <w:tc>
          <w:p w14:paraId="00100038" w14:textId="00100039"/>
        </w:tc>
        <w:tc>
          <w:p w14:paraId="0010003A" w14:textId="0010003B"/>
        </w:tc>
        <w:tc>
          <w:p w14:paraId="0010003C" w14:textId="0010003D"/>
        </w:tc>
      </w:tr>
    </w:tbl>
    <w:p w14:paraId="0010003E" w14:textId="0010003F">
      <w:pPr/>
      <w:r>
        <w:rPr/>
        <w:t xml:space="preserve"/>
      </w:r>
    </w:p>
    <w:p w14:paraId="00100040" w14:textId="00100041">
      <w:pPr/>
      <w:r>
        <w:rPr>
          <w:b/>
          <w:sz w:val="26"/>
        </w:rPr>
        <w:t xml:space="preserve">3. Per-TDoc decisions</w:t>
      </w:r>
    </w:p>
    <w:p w14:paraId="00100042" w14:textId="00100043">
      <w:pPr/>
      <w:r>
        <w:rPr>
          <w:i/>
          <w:color w:val="808080"/>
        </w:rPr>
        <w:t xml:space="preserve">[For each TDoc handled: heading paragraph (UID + title + organisation), then outcome paragraph. Use the per-decision vocabulary (Noted / Agreed / Revised / Approved / Decision: prefix) — see references/status-vocabulary.md.]</w:t>
      </w:r>
    </w:p>
    <w:p w14:paraId="00100044" w14:textId="00100045">
      <w:pPr/>
      <w:r>
        <w:rPr/>
        <w:t xml:space="preserve">STQ(26)082024 Draft – DTS/STQ-332 v0.0.1 (TSD 104 650) Immersive Sound Field Reproduction — Example Systems GmbH</w:t>
      </w:r>
    </w:p>
    <w:p w14:paraId="00100046" w14:textId="00100047">
      <w:pPr/>
      <w:r>
        <w:rPr/>
        <w:t xml:space="preserve">&lt;presenter&gt; presented the first draft. The contribution is Noted as agreed for basis for further work.</w:t>
      </w:r>
    </w:p>
    <w:p w14:paraId="00100048" w14:textId="00100049">
      <w:pPr/>
      <w:r>
        <w:rPr/>
        <w:t xml:space="preserve"/>
      </w:r>
    </w:p>
    <w:p w14:paraId="0010004A" w14:textId="0010004B">
      <w:pPr/>
      <w:r>
        <w:rPr>
          <w:b/>
          <w:sz w:val="26"/>
        </w:rPr>
        <w:t xml:space="preserve">4. Open Work Items' status</w:t>
      </w:r>
    </w:p>
    <w:p w14:paraId="0010004C" w14:textId="0010004D">
      <w:pPr/>
      <w:r>
        <w:rPr>
          <w:i/>
        </w:rPr>
        <w:t xml:space="preserve">This agenda item is to ensure that the group keeps track of ongoing work, and work which needs to be stopped. The ETSI Directives 1.6.5 (Stopping an ETSI Work Item) applies.</w:t>
      </w:r>
    </w:p>
    <w:p w14:paraId="0010004E" w14:textId="0010004F">
      <w:pPr/>
      <w:r>
        <w:rPr>
          <w:i/>
          <w:color w:val="808080"/>
        </w:rPr>
        <w:t xml:space="preserve">[Replace with the per-report Key Status sub-table mapping codes 0a/1/2/4/6/8/12 to stages — see references/status-vocabulary.md.]</w:t>
      </w:r>
    </w:p>
    <w:tbl>
      <w:tblPr>
        <w:tblW w:w="5000" w:type="dxa"/>
        <w:tblBorders>
          <w:top w:val="single" w:sz="4"/>
          <w:left w:val="single" w:sz="4"/>
          <w:bottom w:val="single" w:sz="4"/>
          <w:right w:val="single" w:sz="4"/>
          <w:insideH w:val="single" w:sz="4"/>
          <w:insideV w:val="single" w:sz="4"/>
        </w:tblBorders>
        <w:tblLook w:val="04A0" w:firstRow="true" w:noHBand="false"/>
      </w:tblPr>
      <w:tblGrid>
        <w:gridCol w:w="4153"/>
        <w:gridCol w:w="4153"/>
      </w:tblGrid>
      <w:tr>
        <w:tc>
          <w:p w14:paraId="00100050" w14:textId="00100051"/>
        </w:tc>
        <w:tc>
          <w:p w14:paraId="00100052" w14:textId="00100053"/>
        </w:tc>
      </w:tr>
      <w:tr>
        <w:tc>
          <w:p w14:paraId="00100054" w14:textId="00100055"/>
        </w:tc>
        <w:tc>
          <w:p w14:paraId="00100056" w14:textId="00100057"/>
        </w:tc>
      </w:tr>
      <w:tr>
        <w:tc>
          <w:p w14:paraId="00100058" w14:textId="00100059"/>
        </w:tc>
        <w:tc>
          <w:p w14:paraId="0010005A" w14:textId="0010005B"/>
        </w:tc>
      </w:tr>
      <w:tr>
        <w:tc>
          <w:p w14:paraId="0010005C" w14:textId="0010005D"/>
        </w:tc>
        <w:tc>
          <w:p w14:paraId="0010005E" w14:textId="0010005F"/>
        </w:tc>
      </w:tr>
      <w:tr>
        <w:tc>
          <w:p w14:paraId="00100060" w14:textId="00100061"/>
        </w:tc>
        <w:tc>
          <w:p w14:paraId="00100062" w14:textId="00100063"/>
        </w:tc>
      </w:tr>
      <w:tr>
        <w:tc>
          <w:p w14:paraId="00100064" w14:textId="00100065"/>
        </w:tc>
        <w:tc>
          <w:p w14:paraId="00100066" w14:textId="00100067"/>
        </w:tc>
      </w:tr>
      <w:tr>
        <w:tc>
          <w:p w14:paraId="00100068" w14:textId="00100069"/>
        </w:tc>
        <w:tc>
          <w:p w14:paraId="0010006A" w14:textId="0010006B"/>
        </w:tc>
      </w:tr>
      <w:tr>
        <w:tc>
          <w:p w14:paraId="0010006C" w14:textId="0010006D"/>
        </w:tc>
        <w:tc>
          <w:p w14:paraId="0010006E" w14:textId="0010006F"/>
        </w:tc>
      </w:tr>
    </w:tbl>
    <w:p w14:paraId="00100070" w14:textId="00100071">
      <w:pPr/>
      <w:r>
        <w:rPr>
          <w:i/>
          <w:color w:val="808080"/>
        </w:rPr>
        <w:t xml:space="preserve">[Replace the placeholder table above with the WI tracking table: ETSI number · Title · Rapporteur · Last Draft + Status · Planned Approval Date · Notes.]</w:t>
      </w:r>
    </w:p>
    <w:p w14:paraId="00100072" w14:textId="00100073">
      <w:pPr/>
      <w:r>
        <w:rPr/>
        <w:t xml:space="preserve"/>
      </w:r>
    </w:p>
    <w:p w14:paraId="00100074" w14:textId="00100075">
      <w:pPr/>
      <w:r>
        <w:rPr>
          <w:b/>
          <w:sz w:val="26"/>
        </w:rPr>
        <w:t xml:space="preserve">5. Wrap-up and closure</w:t>
      </w:r>
    </w:p>
    <w:p w14:paraId="00100076" w14:textId="00100077">
      <w:pPr/>
      <w:r>
        <w:rPr/>
        <w:t xml:space="preserve">5.1 Any Other Business</w:t>
      </w:r>
    </w:p>
    <w:p w14:paraId="00100078" w14:textId="00100079">
      <w:pPr/>
      <w:r>
        <w:rPr>
          <w:i/>
          <w:color w:val="808080"/>
        </w:rPr>
        <w:t xml:space="preserve">[Replace each sub-section below with the chair's notes, or with the literal text N/A if the section had nothing to report.]</w:t>
      </w:r>
    </w:p>
    <w:p w14:paraId="0010007A" w14:textId="0010007B">
      <w:pPr/>
      <w:r>
        <w:rPr/>
        <w:t xml:space="preserve">5.2 Approvals</w:t>
      </w:r>
    </w:p>
    <w:p w14:paraId="0010007C" w14:textId="0010007D">
      <w:pPr/>
      <w:r>
        <w:rPr/>
        <w:t xml:space="preserve">N/A</w:t>
      </w:r>
    </w:p>
    <w:p w14:paraId="0010007E" w14:textId="0010007F">
      <w:pPr/>
      <w:r>
        <w:rPr/>
        <w:t xml:space="preserve">5.3 Final drafts</w:t>
      </w:r>
    </w:p>
    <w:p w14:paraId="00100080" w14:textId="00100081">
      <w:pPr/>
      <w:r>
        <w:rPr/>
        <w:t xml:space="preserve">N/A</w:t>
      </w:r>
    </w:p>
    <w:p w14:paraId="00100082" w14:textId="00100083">
      <w:pPr/>
      <w:r>
        <w:rPr/>
        <w:t xml:space="preserve">5.4 LSs OUT</w:t>
      </w:r>
    </w:p>
    <w:p w14:paraId="00100084" w14:textId="00100085">
      <w:pPr/>
      <w:r>
        <w:rPr/>
        <w:t xml:space="preserve">N/A</w:t>
      </w:r>
    </w:p>
    <w:p w14:paraId="00100086" w14:textId="00100087">
      <w:pPr/>
      <w:r>
        <w:rPr/>
        <w:t xml:space="preserve">5.5 STF/TTF Reports</w:t>
      </w:r>
    </w:p>
    <w:p w14:paraId="00100088" w14:textId="00100089">
      <w:pPr/>
      <w:r>
        <w:rPr/>
        <w:t xml:space="preserve">N/A</w:t>
      </w:r>
    </w:p>
    <w:p w14:paraId="0010008A" w14:textId="0010008B">
      <w:pPr/>
      <w:r>
        <w:rPr/>
        <w:t xml:space="preserve">5.6 New WIs</w:t>
      </w:r>
    </w:p>
    <w:p w14:paraId="0010008C" w14:textId="0010008D">
      <w:pPr/>
      <w:r>
        <w:rPr/>
        <w:t xml:space="preserve">N/A</w:t>
      </w:r>
    </w:p>
    <w:p w14:paraId="0010008E" w14:textId="0010008F">
      <w:pPr/>
      <w:r>
        <w:rPr/>
        <w:t xml:space="preserve">5.7 Stopped WIs</w:t>
      </w:r>
    </w:p>
    <w:p w14:paraId="00100090" w14:textId="00100091">
      <w:pPr/>
      <w:r>
        <w:rPr/>
        <w:t xml:space="preserve">N/A</w:t>
      </w:r>
    </w:p>
    <w:p w14:paraId="00100092" w14:textId="00100093">
      <w:pPr/>
      <w:r>
        <w:rPr/>
        <w:t xml:space="preserve">5.8 Future Meetings / Events</w:t>
      </w:r>
    </w:p>
    <w:p w14:paraId="00100094" w14:textId="00100095">
      <w:pPr/>
      <w:r>
        <w:rPr/>
        <w:t xml:space="preserve">&lt;TC&gt;#&lt;next&gt; &lt;date-range&gt; (&lt;start&gt;–&lt;end&gt;) in &lt;location&gt;</w:t>
      </w:r>
    </w:p>
    <w:p w14:paraId="00100096" w14:textId="00100097">
      <w:pPr/>
      <w:r>
        <w:rPr/>
        <w:t xml:space="preserve"/>
      </w:r>
    </w:p>
    <w:p w14:paraId="00100098" w14:textId="00100099">
      <w:pPr/>
      <w:r>
        <w:rPr>
          <w:b/>
          <w:sz w:val="26"/>
        </w:rPr>
        <w:t xml:space="preserve">6. Closure</w:t>
      </w:r>
    </w:p>
    <w:p w14:paraId="0010009A" w14:textId="0010009B">
      <w:pPr/>
      <w:r>
        <w:rPr/>
        <w:t xml:space="preserve">The Chair closed the meeting at &lt;HH:MM&gt; &lt;TZ&gt; on &lt;date&gt;.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e956041f4d84f86" /><Relationship Type="http://schemas.openxmlformats.org/officeDocument/2006/relationships/styles" Target="/word/styles.xml" Id="R0556abac15f94475" /><Relationship Type="http://schemas.openxmlformats.org/officeDocument/2006/relationships/theme" Target="/word/theme/theme1.xml" Id="Re01ad6fa79174b36" /><Relationship Type="http://schemas.openxmlformats.org/officeDocument/2006/relationships/numbering" Target="/word/numbering.xml" Id="Ra8a913888062419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2026-09-28T11:53:52Z</dcterms:created>
  <cp:lastModifiedBy>OfficeCLI</cp:lastModifiedBy>
  <dcterms:modified xsi:type="dcterms:W3CDTF">2026-09-28T11:53:52Z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2026-09-28T12:17:18Z</vt:lpwstr>
  </op:property>
</op:Properties>
</file>