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07 — Project Completion Sheet</w:t>
      </w:r>
    </w:p>
    <w:p>
      <w:r>
        <w:t>Status: Assessment complete  |  Date: 27 October 2026  |  Domain: corp.example.test</w:t>
      </w:r>
    </w:p>
    <w:p>
      <w:pPr>
        <w:pStyle w:val="Heading1"/>
      </w:pPr>
      <w:r>
        <w:t>Project overview</w:t>
      </w:r>
    </w:p>
    <w:p>
      <w:r>
        <w:t>Project 07 — IAM Security Assessment and Audit Capstone. Environment: corp.example.test; IAM-DC01 domain controller; IAM-MGMT01 management workstation. Assessment completed 27 October 2026.</w:t>
      </w:r>
    </w:p>
    <w:p>
      <w:pPr>
        <w:pStyle w:val="Heading1"/>
      </w:pPr>
      <w:r>
        <w:t>Objectives</w:t>
      </w:r>
    </w:p>
    <w:p>
      <w:r>
        <w:t>Assess identity inventory, role-based access, password policies, privileged access, security auditability, and document remediation risks.</w:t>
      </w:r>
    </w:p>
    <w:p>
      <w:pPr>
        <w:pStyle w:val="Heading1"/>
      </w:pPr>
      <w:r>
        <w:t>Implementation and validation</w:t>
      </w:r>
    </w:p>
    <w:p>
      <w:r>
        <w:t>Phase 1: inventoried IAM-Lab identities. Phase 2: reviewed nine membership records across Finance, HR, IT, Helpdesk and IAM operator groups; no department mismatches or disabled members in the reviewed set. Phase 3: evaluated domain and fine-grained password policies. Phase 4: reviewed privileged groups and delegated accounts. Phase 5: collected 204 security audit events across nine event types in a seven-day window. Phase 6: created a three-finding risk register. Phase 7: verified evidence exports and generated SHA-256 integrity manifest.</w:t>
      </w:r>
    </w:p>
    <w:p>
      <w:pPr>
        <w:pStyle w:val="Heading1"/>
      </w:pPr>
      <w:r>
        <w:t>Assessment findings</w:t>
      </w:r>
    </w:p>
    <w:p>
      <w:r>
        <w:t>IAM-07-001 (Medium, Open): default domain minimum password length is 7; review stronger password policy. IAM-07-002 (Medium, Open): default domain lockout threshold is 0; review lockout, monitoring and denial-of-service tradeoffs. IAM-07-003 (High, Open): built-in Administrator password never expires; restrict routine use and document rotation and compensating controls. Severity ratings are preliminary, and no remediation has been verified.</w:t>
      </w:r>
    </w:p>
    <w:p>
      <w:pPr>
        <w:pStyle w:val="Heading1"/>
      </w:pPr>
      <w:r>
        <w:t>Evidence inventory</w:t>
      </w:r>
    </w:p>
    <w:p>
      <w:r>
        <w:t>Domain-Password-Policy.csv — 1 record; Fine-Grained-Password-Policies.csv — 1 record; Privileged-Group-Inventory.csv — 4 records; Security-Audit-Events.csv — 204 records; IAM-Risk-Register.csv — 3 records; Evidence-Integrity-Manifest.csv — five SHA-256 hash entries. Evidence resides on IAM-DC01 at C:\IAM-Project07\Evidence. Actual CSV files and hashes are not included in this document.</w:t>
      </w:r>
    </w:p>
    <w:p>
      <w:pPr>
        <w:pStyle w:val="Heading1"/>
      </w:pPr>
      <w:r>
        <w:t>Results and limitations</w:t>
      </w:r>
    </w:p>
    <w:p>
      <w:r>
        <w:t>The selected group review found no mismatches; the privileged group export listed Administrator in four privileged groups; the security log contained the specified audit events. This is a lab-scope assessment, not a complete domain-wide security audit. Hashes support subsequent integrity comparisons but do not independently authenticate the evidence.</w:t>
      </w:r>
    </w:p>
    <w:p>
      <w:pPr>
        <w:pStyle w:val="Heading1"/>
      </w:pPr>
      <w:r>
        <w:t>Lessons learned</w:t>
      </w:r>
    </w:p>
    <w:p>
      <w:r>
        <w:t>Use least-privilege delegation; verify effective group membership and password policies; distinguish successful evidence export from risk remediation; keep audit records and integrity hashes together; separate test accounts from production identities.</w:t>
      </w:r>
    </w:p>
    <w:p>
      <w:pPr>
        <w:pStyle w:val="Heading1"/>
      </w:pPr>
      <w:r>
        <w:t>GitHub publication instructions</w:t>
      </w:r>
    </w:p>
    <w:p>
      <w:r>
        <w:t>1. Create repository iam-vmware-lab (or use the existing portfolio repository). 2. Create folder 07-iam-security-assessment/. 3. Upload this completion sheet and assessment report. 4. Add README.md with objectives, architecture, sanitized command examples, evidence counts, findings and lessons learned. 5. Include redacted screenshots only; do not publish credentials, private keys, real internal IPs if sensitive, or unreviewed event messages with personal information. 6. Optionally upload sanitized CSV evidence and the matching SHA-256 manifest together; recompute hashes if files are redacted. 7. Commit with message "Document Project 07 IAM security assessment".</w:t>
      </w:r>
    </w:p>
    <w:p>
      <w:pPr>
        <w:pStyle w:val="Heading1"/>
      </w:pPr>
      <w:r>
        <w:t>Project sign-off</w:t>
      </w:r>
    </w:p>
    <w:p>
      <w:r>
        <w:t>Implementation and evidence validation: COMPLETE. Findings remediation: OPEN (3). Portfolio publication: NOT YET VERIFIED.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IAM LAB  |  PROJECT 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