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b/>
          <w:bCs/>
          <w:sz w:val="20"/>
          <w:szCs w:val="20"/>
          <w:lang w:val="en-GB" w:eastAsia="zh-CN" w:bidi="hi-IN"/>
        </w:rPr>
        <w:t xml:space="preserve">Online Resource </w:t>
      </w:r>
      <w:r>
        <w:rPr>
          <w:rFonts w:eastAsia="Tahoma" w:cs="Lohit Devanagari" w:ascii="Times New Roman" w:hAnsi="Times New Roman"/>
          <w:b/>
          <w:bCs/>
          <w:color w:val="00000A"/>
          <w:kern w:val="0"/>
          <w:sz w:val="20"/>
          <w:szCs w:val="20"/>
          <w:lang w:val="en-GB" w:eastAsia="zh-CN" w:bidi="hi-IN"/>
        </w:rPr>
        <w:t>1</w:t>
      </w:r>
      <w:r>
        <w:rPr>
          <w:rFonts w:ascii="Times New Roman" w:hAnsi="Times New Roman"/>
          <w:b/>
          <w:bCs/>
          <w:sz w:val="20"/>
          <w:szCs w:val="20"/>
          <w:lang w:val="en-GB" w:eastAsia="zh-CN" w:bidi="hi-IN"/>
        </w:rPr>
        <w:t>:</w:t>
      </w:r>
      <w:r>
        <w:rPr>
          <w:rFonts w:ascii="Times New Roman" w:hAnsi="Times New Roman"/>
          <w:sz w:val="20"/>
          <w:szCs w:val="20"/>
          <w:lang w:val="en-GB" w:eastAsia="zh-CN" w:bidi="hi-IN"/>
        </w:rPr>
        <w:t xml:space="preserve"> Major features of the Voirons Flysch stratigraphic units. Thicknesses in brackets are decompacted. Rsm : sand:marl ratio</w:t>
      </w:r>
    </w:p>
    <w:p>
      <w:pPr>
        <w:pStyle w:val="Normal"/>
        <w:rPr>
          <w:rFonts w:ascii="Times New Roman" w:hAnsi="Times New Roman"/>
          <w:sz w:val="20"/>
          <w:szCs w:val="20"/>
          <w:lang w:val="en-GB" w:eastAsia="zh-CN" w:bidi="hi-IN"/>
        </w:rPr>
      </w:pPr>
      <w:r>
        <w:rPr>
          <w:rFonts w:ascii="Times New Roman" w:hAnsi="Times New Roman"/>
          <w:sz w:val="20"/>
          <w:szCs w:val="20"/>
          <w:lang w:val="en-GB" w:eastAsia="zh-CN" w:bidi="hi-IN"/>
        </w:rPr>
      </w:r>
    </w:p>
    <w:tbl>
      <w:tblPr>
        <w:tblW w:w="14570" w:type="dxa"/>
        <w:jc w:val="left"/>
        <w:tblInd w:w="55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1929"/>
        <w:gridCol w:w="967"/>
        <w:gridCol w:w="960"/>
        <w:gridCol w:w="1731"/>
        <w:gridCol w:w="2749"/>
        <w:gridCol w:w="449"/>
        <w:gridCol w:w="1346"/>
        <w:gridCol w:w="1946"/>
        <w:gridCol w:w="1011"/>
        <w:gridCol w:w="1480"/>
      </w:tblGrid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Unit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Age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Thickness</w:t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Spatial distribution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Lithostratigraphy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eastAsia="Tahoma" w:cs="Lohit Devanagari" w:ascii="Times New Roman" w:hAnsi="Times New Roman"/>
                <w:color w:val="00000A"/>
                <w:kern w:val="0"/>
                <w:sz w:val="16"/>
                <w:szCs w:val="16"/>
                <w:lang w:val="en-GB" w:eastAsia="zh-CN" w:bidi="hi-IN"/>
              </w:rPr>
              <w:t>Rsm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Sedimentation rate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Sedimentology</w:t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Petrofacies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Remarks</w:t>
            </w:r>
          </w:p>
        </w:tc>
      </w:tr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Voirons Sandstone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Ypresian to Lutetian (E7-E8)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&gt; 750 m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(&gt; 1250 m)</w:t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Voirons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Sandy to marly sequence with scarce conglomerates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2.88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0.21 cm/yr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Large diversity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of sedimentary features. Rare dunes. Frequent sharp base</w:t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Quartzose + secondary Feldspathic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Most studied unit</w:t>
            </w:r>
          </w:p>
        </w:tc>
      </w:tr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Bons Mb.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eastAsia="Tahoma" w:cs="Lohit Devanagari" w:ascii="Times New Roman" w:hAnsi="Times New Roman"/>
                <w:sz w:val="16"/>
                <w:szCs w:val="16"/>
                <w:lang w:val="en-GB" w:eastAsia="zh-CN" w:bidi="hi-IN"/>
              </w:rPr>
              <w:t>50 m ?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eastAsia="Tahoma" w:cs="Lohit Devanagari" w:ascii="Times New Roman" w:hAnsi="Times New Roman"/>
                <w:sz w:val="16"/>
                <w:szCs w:val="16"/>
                <w:lang w:val="en-GB" w:eastAsia="zh-CN" w:bidi="hi-IN"/>
              </w:rPr>
              <w:t>(83 m ?)</w:t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NW Voirons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Marly sequence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0.08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Quartzose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Basal unit of the Voirons nappe. Equivalent of the Hellstatt Fm. in the Gurnigel nappe?</w:t>
            </w:r>
          </w:p>
        </w:tc>
      </w:tr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 w:eastAsia="Tahoma" w:cs="Lohit Devanagari"/>
                <w:color w:val="00000A"/>
                <w:kern w:val="0"/>
                <w:sz w:val="16"/>
                <w:szCs w:val="16"/>
                <w:lang w:val="en-GB" w:eastAsia="zh-CN" w:bidi="hi-IN"/>
              </w:rPr>
            </w:pPr>
            <w:r>
              <w:rPr>
                <w:rFonts w:eastAsia="Tahoma" w:cs="Lohit Devanagari" w:ascii="Times New Roman" w:hAnsi="Times New Roman"/>
                <w:color w:val="00000A"/>
                <w:kern w:val="0"/>
                <w:sz w:val="16"/>
                <w:szCs w:val="16"/>
                <w:lang w:val="en-GB" w:eastAsia="zh-CN" w:bidi="hi-IN"/>
              </w:rPr>
              <w:t>Signal Mb.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Several meters</w:t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Voirons crest + SE Voirons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Matrix to clast-supported conglomerates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Metre-size pink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granite block and limestone block with pink granite inclusions</w:t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Quartzose + secondary Feldspathic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Boundaries are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not accurately defined</w:t>
            </w:r>
          </w:p>
        </w:tc>
      </w:tr>
      <w:tr>
        <w:trPr/>
        <w:tc>
          <w:tcPr>
            <w:tcW w:w="1929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shd w:fill="auto" w:val="clear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>Allinges Mb.</w:t>
            </w:r>
          </w:p>
        </w:tc>
        <w:tc>
          <w:tcPr>
            <w:tcW w:w="967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960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shd w:fill="auto" w:val="clear"/>
              </w:rPr>
            </w:pPr>
            <w:r>
              <w:rPr>
                <w:rFonts w:eastAsia="Tahoma" w:cs="Lohit Devanagari" w:ascii="Times New Roman" w:hAnsi="Times New Roman"/>
                <w:color w:val="00000A"/>
                <w:kern w:val="0"/>
                <w:sz w:val="16"/>
                <w:szCs w:val="16"/>
                <w:shd w:fill="auto" w:val="clear"/>
                <w:lang w:val="en-GB" w:eastAsia="zh-CN" w:bidi="hi-IN"/>
              </w:rPr>
              <w:t>100 - 200</w:t>
            </w: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 xml:space="preserve"> m ?</w:t>
            </w:r>
          </w:p>
          <w:p>
            <w:pPr>
              <w:pStyle w:val="Contenudetableau"/>
              <w:widowControl w:val="false"/>
              <w:rPr>
                <w:shd w:fill="auto" w:val="clear"/>
              </w:rPr>
            </w:pP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>(</w:t>
            </w:r>
            <w:r>
              <w:rPr>
                <w:rFonts w:eastAsia="Tahoma" w:cs="Lohit Devanagari" w:ascii="Times New Roman" w:hAnsi="Times New Roman"/>
                <w:color w:val="00000A"/>
                <w:kern w:val="0"/>
                <w:sz w:val="16"/>
                <w:szCs w:val="16"/>
                <w:shd w:fill="auto" w:val="clear"/>
                <w:lang w:val="en-GB" w:eastAsia="zh-CN" w:bidi="hi-IN"/>
              </w:rPr>
              <w:t>125</w:t>
            </w: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 xml:space="preserve"> – 250 m ?)</w:t>
            </w:r>
          </w:p>
        </w:tc>
        <w:tc>
          <w:tcPr>
            <w:tcW w:w="1731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Allinges Hills</w:t>
            </w:r>
          </w:p>
        </w:tc>
        <w:tc>
          <w:tcPr>
            <w:tcW w:w="2749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Thick and coarse amalgamated sandstone. Rare marly interval</w:t>
            </w:r>
          </w:p>
        </w:tc>
        <w:tc>
          <w:tcPr>
            <w:tcW w:w="449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0.69</w:t>
            </w:r>
          </w:p>
        </w:tc>
        <w:tc>
          <w:tcPr>
            <w:tcW w:w="134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1946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Less coarser than the Vouan Conglomerate Fm. Occurrence of amber (Allingite)</w:t>
            </w:r>
          </w:p>
        </w:tc>
        <w:tc>
          <w:tcPr>
            <w:tcW w:w="1011" w:type="dxa"/>
            <w:tcBorders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Quartzose + secondary Feldspathic</w:t>
            </w:r>
          </w:p>
        </w:tc>
        <w:tc>
          <w:tcPr>
            <w:tcW w:w="14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Exploited in large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quarries</w:t>
            </w:r>
          </w:p>
        </w:tc>
      </w:tr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Vouan Conglomerate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Lutetian to Bartonian (E9-E11)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500 m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(625 m (1))</w:t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Vouan, E Voirons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and SW Allinges Hills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Pebbly sandstone to matrix supported conglomerates amalgamated. Rare marly intervals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2.09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 xml:space="preserve">0.16 cm/yr </w:t>
            </w:r>
            <w:bookmarkStart w:id="0" w:name="__DdeLink__3448_244637888"/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(1)</w:t>
            </w:r>
            <w:bookmarkEnd w:id="0"/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Erosive base, lateral variation, heterogeneous distribution of pebble</w:t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Feldspathic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Exploited for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milestone grind. No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equivalent in the Voirons–Wägital Complex</w:t>
            </w:r>
          </w:p>
        </w:tc>
      </w:tr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Boëge Marl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Lutetian or Bartonian to Priabonian ?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 xml:space="preserve">950 – </w:t>
            </w: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>400</w:t>
            </w: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 xml:space="preserve"> m ?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(1583 – 667 m)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Ludran Hills and Grande Combe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Marly sequence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0.28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0.07 cm/yr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Frequent upper plane beds and ripples</w:t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Quartzose + secondary Feldspathic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r>
          </w:p>
        </w:tc>
      </w:tr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Bruant Sandstone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Priabonian ?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500 m ?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(833 m ?)</w:t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Grande Combe and Tête de Char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Similar to the Voirons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Sandstone Fm.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0.12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Rare marly intervals</w:t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Quartzose + secondary Feldspathic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Top unit. Strong tectonic deformation.</w:t>
            </w:r>
          </w:p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Poor exposition.</w:t>
            </w:r>
          </w:p>
        </w:tc>
      </w:tr>
      <w:tr>
        <w:trPr/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Fenalet Sandstone</w:t>
            </w:r>
          </w:p>
        </w:tc>
        <w:tc>
          <w:tcPr>
            <w:tcW w:w="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Priabonian ?</w:t>
            </w:r>
          </w:p>
        </w:tc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shd w:fill="auto" w:val="clear"/>
              </w:rPr>
            </w:pP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>150 m ?</w:t>
            </w:r>
          </w:p>
          <w:p>
            <w:pPr>
              <w:pStyle w:val="Contenudetableau"/>
              <w:widowControl w:val="false"/>
              <w:rPr>
                <w:shd w:fill="auto" w:val="clear"/>
              </w:rPr>
            </w:pP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>(</w:t>
            </w:r>
            <w:r>
              <w:rPr>
                <w:rFonts w:eastAsia="Tahoma" w:cs="Lohit Devanagari" w:ascii="Times New Roman" w:hAnsi="Times New Roman"/>
                <w:color w:val="00000A"/>
                <w:kern w:val="0"/>
                <w:sz w:val="16"/>
                <w:szCs w:val="16"/>
                <w:shd w:fill="auto" w:val="clear"/>
                <w:lang w:val="en-GB" w:eastAsia="zh-CN" w:bidi="hi-IN"/>
              </w:rPr>
              <w:t>249</w:t>
            </w:r>
            <w:r>
              <w:rPr>
                <w:rFonts w:ascii="Times New Roman" w:hAnsi="Times New Roman"/>
                <w:sz w:val="16"/>
                <w:szCs w:val="16"/>
                <w:shd w:fill="auto" w:val="clear"/>
                <w:lang w:val="en-GB" w:eastAsia="zh-CN" w:bidi="hi-IN"/>
              </w:rPr>
              <w:t xml:space="preserve"> m ?)</w:t>
            </w:r>
          </w:p>
        </w:tc>
        <w:tc>
          <w:tcPr>
            <w:tcW w:w="1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Saint-Gingolph</w:t>
            </w:r>
          </w:p>
        </w:tc>
        <w:tc>
          <w:tcPr>
            <w:tcW w:w="2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Homogeneous</w:t>
            </w:r>
          </w:p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sand-marl alternation</w:t>
            </w:r>
          </w:p>
        </w:tc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13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-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Frequent upper plane beds and ripples</w:t>
            </w:r>
          </w:p>
        </w:tc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>
                <w:rFonts w:ascii="Times New Roman" w:hAnsi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Quartzose</w:t>
            </w:r>
          </w:p>
        </w:tc>
        <w:tc>
          <w:tcPr>
            <w:tcW w:w="14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Contenudetableau"/>
              <w:widowControl w:val="false"/>
              <w:rPr/>
            </w:pPr>
            <w:r>
              <w:rPr>
                <w:rFonts w:ascii="Times New Roman" w:hAnsi="Times New Roman"/>
                <w:sz w:val="16"/>
                <w:szCs w:val="16"/>
                <w:lang w:val="en-GB" w:eastAsia="zh-CN" w:bidi="hi-IN"/>
              </w:rPr>
              <w:t>Easternmost exposure. No direct affiliation with the rest of the Voirons Flysch.</w:t>
            </w:r>
          </w:p>
        </w:tc>
      </w:tr>
    </w:tbl>
    <w:p>
      <w:pPr>
        <w:pStyle w:val="Normal"/>
        <w:rPr>
          <w:rFonts w:ascii="Times New Roman" w:hAnsi="Times New Roman"/>
          <w:sz w:val="20"/>
          <w:szCs w:val="20"/>
          <w:lang w:val="en-GB" w:eastAsia="zh-CN" w:bidi="hi-IN"/>
        </w:rPr>
      </w:pPr>
      <w:r>
        <w:rPr>
          <w:rFonts w:ascii="Times New Roman" w:hAnsi="Times New Roman"/>
          <w:sz w:val="20"/>
          <w:szCs w:val="20"/>
          <w:lang w:val="en-GB" w:eastAsia="zh-CN" w:bidi="hi-IN"/>
        </w:rPr>
      </w:r>
    </w:p>
    <w:p>
      <w:pPr>
        <w:pStyle w:val="Normal"/>
        <w:rPr/>
      </w:pPr>
      <w:r>
        <w:rPr>
          <w:rFonts w:ascii="Times New Roman" w:hAnsi="Times New Roman"/>
          <w:sz w:val="20"/>
          <w:szCs w:val="20"/>
          <w:lang w:val="en-GB" w:eastAsia="zh-CN" w:bidi="hi-IN"/>
        </w:rPr>
        <w:t>(1) The extensive erosion greatly underestimates the sedimentation rate of the Vouan conglomerate Fm.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revisionView w:insDel="0" w:formatting="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00000A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LibreOffice/7.0.4.2$Linux_X86_64 LibreOffice_project/00$Build-2</Application>
  <AppVersion>15.0000</AppVersion>
  <Pages>1</Pages>
  <Words>356</Words>
  <Characters>1983</Characters>
  <CharactersWithSpaces>2234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2017-12-05T11:59:47Z</dcterms:created>
  <dc:creator>Jérémy Ragusa</dc:creator>
  <dc:description/>
  <dc:language>fr-FR</dc:language>
  <cp:lastModifiedBy/>
  <dcterms:modified xsi:type="dcterms:W3CDTF">2021-01-21T23:31:27Z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