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8E4" w:rsidRDefault="005658E4" w:rsidP="005658E4">
      <w:pPr>
        <w:spacing w:line="360" w:lineRule="auto"/>
        <w:ind w:firstLine="360"/>
        <w:jc w:val="both"/>
        <w:rPr>
          <w:rFonts w:ascii="Arial" w:hAnsi="Arial" w:cs="Arial"/>
          <w:sz w:val="24"/>
          <w:szCs w:val="24"/>
        </w:rPr>
      </w:pPr>
      <w:r>
        <w:rPr>
          <w:rFonts w:ascii="Arial" w:hAnsi="Arial" w:cs="Arial"/>
          <w:sz w:val="24"/>
          <w:szCs w:val="24"/>
        </w:rPr>
        <w:t xml:space="preserve">A técnica de KDE, matematicamente equivalente à </w:t>
      </w:r>
      <w:proofErr w:type="spellStart"/>
      <w:r>
        <w:rPr>
          <w:rFonts w:ascii="Arial" w:hAnsi="Arial" w:cs="Arial"/>
          <w:sz w:val="24"/>
          <w:szCs w:val="24"/>
        </w:rPr>
        <w:t>Krigagem</w:t>
      </w:r>
      <w:proofErr w:type="spellEnd"/>
      <w:r>
        <w:rPr>
          <w:rFonts w:ascii="Arial" w:hAnsi="Arial" w:cs="Arial"/>
          <w:sz w:val="24"/>
          <w:szCs w:val="24"/>
        </w:rPr>
        <w:t xml:space="preserve"> de Regressão (</w:t>
      </w:r>
      <w:proofErr w:type="spellStart"/>
      <w:r w:rsidRPr="00467928">
        <w:rPr>
          <w:rFonts w:ascii="Arial" w:hAnsi="Arial" w:cs="Arial"/>
          <w:i/>
          <w:iCs/>
          <w:sz w:val="24"/>
          <w:szCs w:val="24"/>
        </w:rPr>
        <w:t>Regression</w:t>
      </w:r>
      <w:proofErr w:type="spellEnd"/>
      <w:r>
        <w:rPr>
          <w:rFonts w:ascii="Arial" w:hAnsi="Arial" w:cs="Arial"/>
          <w:sz w:val="24"/>
          <w:szCs w:val="24"/>
        </w:rPr>
        <w:t xml:space="preserve"> </w:t>
      </w:r>
      <w:proofErr w:type="spellStart"/>
      <w:r w:rsidRPr="00467928">
        <w:rPr>
          <w:rFonts w:ascii="Arial" w:hAnsi="Arial" w:cs="Arial"/>
          <w:i/>
          <w:iCs/>
          <w:sz w:val="24"/>
          <w:szCs w:val="24"/>
        </w:rPr>
        <w:t>Kriging</w:t>
      </w:r>
      <w:proofErr w:type="spellEnd"/>
      <w:r>
        <w:rPr>
          <w:rFonts w:ascii="Arial" w:hAnsi="Arial" w:cs="Arial"/>
          <w:sz w:val="24"/>
          <w:szCs w:val="24"/>
        </w:rPr>
        <w:t xml:space="preserve">), caracteriza-se quando comparada a outros algoritmos </w:t>
      </w:r>
      <w:proofErr w:type="spellStart"/>
      <w:r>
        <w:rPr>
          <w:rFonts w:ascii="Arial" w:hAnsi="Arial" w:cs="Arial"/>
          <w:sz w:val="24"/>
          <w:szCs w:val="24"/>
        </w:rPr>
        <w:t>geoestatísticos</w:t>
      </w:r>
      <w:proofErr w:type="spellEnd"/>
      <w:r>
        <w:rPr>
          <w:rFonts w:ascii="Arial" w:hAnsi="Arial" w:cs="Arial"/>
          <w:sz w:val="24"/>
          <w:szCs w:val="24"/>
        </w:rPr>
        <w:t xml:space="preserve"> primariamente pela utilização de uma função de regressão linear aplicada a variável modelada, e o uso dos erros da regressão para estimativa dos pesos da </w:t>
      </w:r>
      <w:proofErr w:type="spellStart"/>
      <w:r>
        <w:rPr>
          <w:rFonts w:ascii="Arial" w:hAnsi="Arial" w:cs="Arial"/>
          <w:sz w:val="24"/>
          <w:szCs w:val="24"/>
        </w:rPr>
        <w:t>krigagem</w:t>
      </w:r>
      <w:proofErr w:type="spellEnd"/>
      <w:r>
        <w:rPr>
          <w:rFonts w:ascii="Arial" w:hAnsi="Arial" w:cs="Arial"/>
          <w:sz w:val="24"/>
          <w:szCs w:val="24"/>
        </w:rPr>
        <w:t xml:space="preserve"> (</w:t>
      </w:r>
      <w:proofErr w:type="spellStart"/>
      <w:r>
        <w:rPr>
          <w:rFonts w:ascii="Arial" w:hAnsi="Arial" w:cs="Arial"/>
          <w:sz w:val="24"/>
          <w:szCs w:val="24"/>
        </w:rPr>
        <w:t>Hengl</w:t>
      </w:r>
      <w:proofErr w:type="spellEnd"/>
      <w:r>
        <w:rPr>
          <w:rFonts w:ascii="Arial" w:hAnsi="Arial" w:cs="Arial"/>
          <w:sz w:val="24"/>
          <w:szCs w:val="24"/>
        </w:rPr>
        <w:t xml:space="preserve"> et al., 2007).</w:t>
      </w:r>
    </w:p>
    <w:p w:rsidR="001E207F" w:rsidRDefault="005658E4" w:rsidP="005658E4">
      <w:pPr>
        <w:rPr>
          <w:rFonts w:ascii="Arial" w:hAnsi="Arial" w:cs="Arial"/>
          <w:sz w:val="24"/>
          <w:szCs w:val="24"/>
          <w:u w:val="single"/>
        </w:rPr>
      </w:pPr>
      <w:r>
        <w:rPr>
          <w:rFonts w:ascii="Arial" w:hAnsi="Arial" w:cs="Arial"/>
          <w:sz w:val="24"/>
          <w:szCs w:val="24"/>
        </w:rPr>
        <w:t xml:space="preserve">Ao mesmo tempo, simulações gaussianas permitem melhor desempenho na estimativa de propriedades na porção não-estruturada do </w:t>
      </w:r>
      <w:proofErr w:type="spellStart"/>
      <w:r>
        <w:rPr>
          <w:rFonts w:ascii="Arial" w:hAnsi="Arial" w:cs="Arial"/>
          <w:sz w:val="24"/>
          <w:szCs w:val="24"/>
        </w:rPr>
        <w:t>variogramas</w:t>
      </w:r>
      <w:proofErr w:type="spellEnd"/>
      <w:r>
        <w:rPr>
          <w:rFonts w:ascii="Arial" w:hAnsi="Arial" w:cs="Arial"/>
          <w:sz w:val="24"/>
          <w:szCs w:val="24"/>
        </w:rPr>
        <w:t xml:space="preserve"> (Hansen et al., 2006), evitando feições suavizadas características de algoritmos baseados primariamente em </w:t>
      </w:r>
      <w:proofErr w:type="spellStart"/>
      <w:r>
        <w:rPr>
          <w:rFonts w:ascii="Arial" w:hAnsi="Arial" w:cs="Arial"/>
          <w:sz w:val="24"/>
          <w:szCs w:val="24"/>
        </w:rPr>
        <w:t>krigagem</w:t>
      </w:r>
      <w:proofErr w:type="spellEnd"/>
      <w:r>
        <w:rPr>
          <w:rFonts w:ascii="Arial" w:hAnsi="Arial" w:cs="Arial"/>
          <w:sz w:val="24"/>
          <w:szCs w:val="24"/>
        </w:rPr>
        <w:t xml:space="preserve"> (Schlumberger, 2015).</w:t>
      </w:r>
      <w:r w:rsidR="009360F9">
        <w:rPr>
          <w:rFonts w:ascii="Arial" w:hAnsi="Arial" w:cs="Arial"/>
          <w:sz w:val="24"/>
          <w:szCs w:val="24"/>
          <w:u w:val="single"/>
        </w:rPr>
        <w:t xml:space="preserve"> </w:t>
      </w:r>
    </w:p>
    <w:p w:rsidR="006D12A0" w:rsidRDefault="006D12A0" w:rsidP="005658E4">
      <w:pPr>
        <w:rPr>
          <w:rFonts w:ascii="Arial" w:hAnsi="Arial" w:cs="Arial"/>
          <w:sz w:val="24"/>
          <w:szCs w:val="24"/>
          <w:u w:val="single"/>
        </w:rPr>
      </w:pPr>
    </w:p>
    <w:p w:rsidR="006D12A0" w:rsidRDefault="006D12A0" w:rsidP="006D12A0">
      <w:pPr>
        <w:spacing w:line="360" w:lineRule="auto"/>
        <w:ind w:firstLine="360"/>
        <w:jc w:val="both"/>
        <w:rPr>
          <w:rFonts w:ascii="Arial" w:hAnsi="Arial" w:cs="Arial"/>
          <w:sz w:val="24"/>
          <w:szCs w:val="24"/>
        </w:rPr>
      </w:pPr>
      <w:r>
        <w:rPr>
          <w:rFonts w:ascii="Arial" w:hAnsi="Arial" w:cs="Arial"/>
          <w:sz w:val="24"/>
          <w:szCs w:val="24"/>
        </w:rPr>
        <w:t xml:space="preserve">O estudo caracteriza-se por uma etapa inicial de processamento de dados de sísmica de reflexão para o realce e identificação automática de feições estruturais no reservatório. Servindo como entrada em uma etapa seguinte de modelamento estrutural onde dados de horizontes são deformados por estas estruturas. Com um modelo estrutural definido, segue uma etapa de população do modelo com valores oriundos de medidas simples e algoritmos de </w:t>
      </w:r>
      <w:proofErr w:type="spellStart"/>
      <w:r>
        <w:rPr>
          <w:rFonts w:ascii="Arial" w:hAnsi="Arial" w:cs="Arial"/>
          <w:sz w:val="24"/>
          <w:szCs w:val="24"/>
        </w:rPr>
        <w:t>geoestatística</w:t>
      </w:r>
      <w:proofErr w:type="spellEnd"/>
      <w:r>
        <w:rPr>
          <w:rFonts w:ascii="Arial" w:hAnsi="Arial" w:cs="Arial"/>
          <w:sz w:val="24"/>
          <w:szCs w:val="24"/>
        </w:rPr>
        <w:t>. Obtendo a distribuição espacial das propriedades de poço modeladas.</w:t>
      </w:r>
    </w:p>
    <w:p w:rsidR="006D12A0" w:rsidRDefault="006D12A0" w:rsidP="006D12A0">
      <w:pPr>
        <w:spacing w:line="360" w:lineRule="auto"/>
        <w:ind w:firstLine="360"/>
        <w:jc w:val="both"/>
        <w:rPr>
          <w:rFonts w:ascii="Arial" w:hAnsi="Arial" w:cs="Arial"/>
          <w:sz w:val="24"/>
          <w:szCs w:val="24"/>
        </w:rPr>
      </w:pPr>
      <w:r>
        <w:rPr>
          <w:rFonts w:ascii="Arial" w:hAnsi="Arial" w:cs="Arial"/>
          <w:sz w:val="24"/>
          <w:szCs w:val="24"/>
        </w:rPr>
        <w:t xml:space="preserve">Para a etapa de classificação de reservatório e cálculos de volume, são utilizadas técnicas computacionais de aprendizado de máquina não supervisionado como Mapas Auto Organizáveis (Self </w:t>
      </w:r>
      <w:proofErr w:type="spellStart"/>
      <w:r>
        <w:rPr>
          <w:rFonts w:ascii="Arial" w:hAnsi="Arial" w:cs="Arial"/>
          <w:sz w:val="24"/>
          <w:szCs w:val="24"/>
        </w:rPr>
        <w:t>Organizing</w:t>
      </w:r>
      <w:proofErr w:type="spellEnd"/>
      <w:r>
        <w:rPr>
          <w:rFonts w:ascii="Arial" w:hAnsi="Arial" w:cs="Arial"/>
          <w:sz w:val="24"/>
          <w:szCs w:val="24"/>
        </w:rPr>
        <w:t xml:space="preserve"> Maps, SOM), K-</w:t>
      </w:r>
      <w:proofErr w:type="spellStart"/>
      <w:r>
        <w:rPr>
          <w:rFonts w:ascii="Arial" w:hAnsi="Arial" w:cs="Arial"/>
          <w:sz w:val="24"/>
          <w:szCs w:val="24"/>
        </w:rPr>
        <w:t>Means</w:t>
      </w:r>
      <w:proofErr w:type="spellEnd"/>
      <w:r>
        <w:rPr>
          <w:rFonts w:ascii="Arial" w:hAnsi="Arial" w:cs="Arial"/>
          <w:sz w:val="24"/>
          <w:szCs w:val="24"/>
        </w:rPr>
        <w:t xml:space="preserve"> e Modelos de Mistura Gaussiana (</w:t>
      </w:r>
      <w:proofErr w:type="spellStart"/>
      <w:r>
        <w:rPr>
          <w:rFonts w:ascii="Arial" w:hAnsi="Arial" w:cs="Arial"/>
          <w:sz w:val="24"/>
          <w:szCs w:val="24"/>
        </w:rPr>
        <w:t>Gaussian</w:t>
      </w:r>
      <w:proofErr w:type="spellEnd"/>
      <w:r>
        <w:rPr>
          <w:rFonts w:ascii="Arial" w:hAnsi="Arial" w:cs="Arial"/>
          <w:sz w:val="24"/>
          <w:szCs w:val="24"/>
        </w:rPr>
        <w:t xml:space="preserve"> </w:t>
      </w:r>
      <w:proofErr w:type="spellStart"/>
      <w:r>
        <w:rPr>
          <w:rFonts w:ascii="Arial" w:hAnsi="Arial" w:cs="Arial"/>
          <w:sz w:val="24"/>
          <w:szCs w:val="24"/>
        </w:rPr>
        <w:t>Mixture</w:t>
      </w:r>
      <w:proofErr w:type="spellEnd"/>
      <w:r>
        <w:rPr>
          <w:rFonts w:ascii="Arial" w:hAnsi="Arial" w:cs="Arial"/>
          <w:sz w:val="24"/>
          <w:szCs w:val="24"/>
        </w:rPr>
        <w:t xml:space="preserve"> </w:t>
      </w:r>
      <w:proofErr w:type="spellStart"/>
      <w:r>
        <w:rPr>
          <w:rFonts w:ascii="Arial" w:hAnsi="Arial" w:cs="Arial"/>
          <w:sz w:val="24"/>
          <w:szCs w:val="24"/>
        </w:rPr>
        <w:t>Models</w:t>
      </w:r>
      <w:proofErr w:type="spellEnd"/>
      <w:r>
        <w:rPr>
          <w:rFonts w:ascii="Arial" w:hAnsi="Arial" w:cs="Arial"/>
          <w:sz w:val="24"/>
          <w:szCs w:val="24"/>
        </w:rPr>
        <w:t>, GMM) para a separação de áreas do reservatório de acordo com as propriedades modeladas anteriormente.</w:t>
      </w:r>
    </w:p>
    <w:p w:rsidR="006D12A0" w:rsidRDefault="006D12A0" w:rsidP="006D12A0">
      <w:pPr>
        <w:spacing w:line="360" w:lineRule="auto"/>
        <w:ind w:firstLine="360"/>
        <w:jc w:val="both"/>
        <w:rPr>
          <w:rFonts w:ascii="Arial" w:hAnsi="Arial" w:cs="Arial"/>
          <w:sz w:val="24"/>
          <w:szCs w:val="24"/>
        </w:rPr>
      </w:pPr>
      <w:bookmarkStart w:id="0" w:name="_Hlk31717250"/>
      <w:r>
        <w:rPr>
          <w:rFonts w:ascii="Arial" w:hAnsi="Arial" w:cs="Arial"/>
          <w:sz w:val="24"/>
          <w:szCs w:val="24"/>
        </w:rPr>
        <w:t xml:space="preserve">Técnicas de aprendizado de máquina não supervisionado mostram-se como uma alternativa eficiente para a classificação de reservatório e tem sido frequentemente </w:t>
      </w:r>
      <w:proofErr w:type="gramStart"/>
      <w:r>
        <w:rPr>
          <w:rFonts w:ascii="Arial" w:hAnsi="Arial" w:cs="Arial"/>
          <w:sz w:val="24"/>
          <w:szCs w:val="24"/>
        </w:rPr>
        <w:t>utilizadas</w:t>
      </w:r>
      <w:proofErr w:type="gramEnd"/>
      <w:r>
        <w:rPr>
          <w:rFonts w:ascii="Arial" w:hAnsi="Arial" w:cs="Arial"/>
          <w:sz w:val="24"/>
          <w:szCs w:val="24"/>
        </w:rPr>
        <w:t xml:space="preserve"> para lidar com problemas onde não existe classificação prévia (</w:t>
      </w:r>
      <w:proofErr w:type="spellStart"/>
      <w:r>
        <w:rPr>
          <w:rFonts w:ascii="Arial" w:hAnsi="Arial" w:cs="Arial"/>
          <w:sz w:val="24"/>
          <w:szCs w:val="24"/>
        </w:rPr>
        <w:t>Taner</w:t>
      </w:r>
      <w:proofErr w:type="spellEnd"/>
      <w:r>
        <w:rPr>
          <w:rFonts w:ascii="Arial" w:hAnsi="Arial" w:cs="Arial"/>
          <w:sz w:val="24"/>
          <w:szCs w:val="24"/>
        </w:rPr>
        <w:t xml:space="preserve"> et al, 2001). Kuznetsova et al. (2016) chega a apresentar resultados comparáveis à métodos de aprendizado de máquina supervisionado como </w:t>
      </w:r>
      <w:proofErr w:type="spellStart"/>
      <w:r w:rsidRPr="00CD33E9">
        <w:rPr>
          <w:rFonts w:ascii="Arial" w:hAnsi="Arial" w:cs="Arial"/>
          <w:i/>
          <w:iCs/>
          <w:sz w:val="24"/>
          <w:szCs w:val="24"/>
        </w:rPr>
        <w:t>random</w:t>
      </w:r>
      <w:proofErr w:type="spellEnd"/>
      <w:r>
        <w:rPr>
          <w:rFonts w:ascii="Arial" w:hAnsi="Arial" w:cs="Arial"/>
          <w:sz w:val="24"/>
          <w:szCs w:val="24"/>
        </w:rPr>
        <w:t xml:space="preserve"> </w:t>
      </w:r>
      <w:proofErr w:type="spellStart"/>
      <w:r w:rsidRPr="00CD33E9">
        <w:rPr>
          <w:rFonts w:ascii="Arial" w:hAnsi="Arial" w:cs="Arial"/>
          <w:i/>
          <w:iCs/>
          <w:sz w:val="24"/>
          <w:szCs w:val="24"/>
        </w:rPr>
        <w:t>forest</w:t>
      </w:r>
      <w:proofErr w:type="spellEnd"/>
      <w:r>
        <w:rPr>
          <w:rFonts w:ascii="Arial" w:hAnsi="Arial" w:cs="Arial"/>
          <w:sz w:val="24"/>
          <w:szCs w:val="24"/>
        </w:rPr>
        <w:t xml:space="preserve"> e </w:t>
      </w:r>
      <w:proofErr w:type="spellStart"/>
      <w:r w:rsidRPr="00CD33E9">
        <w:rPr>
          <w:rFonts w:ascii="Arial" w:hAnsi="Arial" w:cs="Arial"/>
          <w:i/>
          <w:iCs/>
          <w:sz w:val="24"/>
          <w:szCs w:val="24"/>
        </w:rPr>
        <w:t>support</w:t>
      </w:r>
      <w:proofErr w:type="spellEnd"/>
      <w:r>
        <w:rPr>
          <w:rFonts w:ascii="Arial" w:hAnsi="Arial" w:cs="Arial"/>
          <w:sz w:val="24"/>
          <w:szCs w:val="24"/>
        </w:rPr>
        <w:t xml:space="preserve"> </w:t>
      </w:r>
      <w:r w:rsidRPr="00CD33E9">
        <w:rPr>
          <w:rFonts w:ascii="Arial" w:hAnsi="Arial" w:cs="Arial"/>
          <w:i/>
          <w:iCs/>
          <w:sz w:val="24"/>
          <w:szCs w:val="24"/>
        </w:rPr>
        <w:t>vector</w:t>
      </w:r>
      <w:r>
        <w:rPr>
          <w:rFonts w:ascii="Arial" w:hAnsi="Arial" w:cs="Arial"/>
          <w:sz w:val="24"/>
          <w:szCs w:val="24"/>
        </w:rPr>
        <w:t xml:space="preserve"> </w:t>
      </w:r>
      <w:proofErr w:type="spellStart"/>
      <w:r w:rsidRPr="00CD33E9">
        <w:rPr>
          <w:rFonts w:ascii="Arial" w:hAnsi="Arial" w:cs="Arial"/>
          <w:i/>
          <w:iCs/>
          <w:sz w:val="24"/>
          <w:szCs w:val="24"/>
        </w:rPr>
        <w:t>machine</w:t>
      </w:r>
      <w:proofErr w:type="spellEnd"/>
      <w:r>
        <w:rPr>
          <w:rFonts w:ascii="Arial" w:hAnsi="Arial" w:cs="Arial"/>
          <w:sz w:val="24"/>
          <w:szCs w:val="24"/>
        </w:rPr>
        <w:t xml:space="preserve"> utilizando métodos não supervisionados para classificação de fácies em logs de poço. </w:t>
      </w:r>
    </w:p>
    <w:p w:rsidR="006D12A0" w:rsidRDefault="006D12A0" w:rsidP="006D12A0">
      <w:pPr>
        <w:spacing w:line="360" w:lineRule="auto"/>
        <w:ind w:firstLine="360"/>
        <w:jc w:val="both"/>
        <w:rPr>
          <w:rFonts w:ascii="Arial" w:hAnsi="Arial" w:cs="Arial"/>
          <w:sz w:val="24"/>
          <w:szCs w:val="24"/>
        </w:rPr>
      </w:pPr>
      <w:bookmarkStart w:id="1" w:name="_Hlk31720235"/>
      <w:bookmarkEnd w:id="0"/>
      <w:r>
        <w:rPr>
          <w:rFonts w:ascii="Arial" w:hAnsi="Arial" w:cs="Arial"/>
          <w:sz w:val="24"/>
          <w:szCs w:val="24"/>
        </w:rPr>
        <w:lastRenderedPageBreak/>
        <w:t xml:space="preserve">Os métodos de aprendizado de máquina não supervisionados também são estabelecidos como efetivos para estimativas de fácies, em especial </w:t>
      </w:r>
      <w:proofErr w:type="spellStart"/>
      <w:r>
        <w:rPr>
          <w:rFonts w:ascii="Arial" w:hAnsi="Arial" w:cs="Arial"/>
          <w:sz w:val="24"/>
          <w:szCs w:val="24"/>
        </w:rPr>
        <w:t>eletrofácies</w:t>
      </w:r>
      <w:proofErr w:type="spellEnd"/>
      <w:r>
        <w:rPr>
          <w:rFonts w:ascii="Arial" w:hAnsi="Arial" w:cs="Arial"/>
          <w:sz w:val="24"/>
          <w:szCs w:val="24"/>
        </w:rPr>
        <w:t>, derivadas de dados petrofísicos (Al-</w:t>
      </w:r>
      <w:proofErr w:type="spellStart"/>
      <w:r>
        <w:rPr>
          <w:rFonts w:ascii="Arial" w:hAnsi="Arial" w:cs="Arial"/>
          <w:sz w:val="24"/>
          <w:szCs w:val="24"/>
        </w:rPr>
        <w:t>Mudhafar</w:t>
      </w:r>
      <w:proofErr w:type="spellEnd"/>
      <w:r>
        <w:rPr>
          <w:rFonts w:ascii="Arial" w:hAnsi="Arial" w:cs="Arial"/>
          <w:sz w:val="24"/>
          <w:szCs w:val="24"/>
        </w:rPr>
        <w:t xml:space="preserve"> et al., 2015; Aragão &amp; </w:t>
      </w:r>
      <w:proofErr w:type="spellStart"/>
      <w:r>
        <w:rPr>
          <w:rFonts w:ascii="Arial" w:hAnsi="Arial" w:cs="Arial"/>
          <w:sz w:val="24"/>
          <w:szCs w:val="24"/>
        </w:rPr>
        <w:t>Sava</w:t>
      </w:r>
      <w:proofErr w:type="spellEnd"/>
      <w:r>
        <w:rPr>
          <w:rFonts w:ascii="Arial" w:hAnsi="Arial" w:cs="Arial"/>
          <w:sz w:val="24"/>
          <w:szCs w:val="24"/>
        </w:rPr>
        <w:t xml:space="preserve">, 2019). </w:t>
      </w:r>
    </w:p>
    <w:p w:rsidR="006D12A0" w:rsidRDefault="006D12A0" w:rsidP="006D12A0">
      <w:pPr>
        <w:spacing w:line="360" w:lineRule="auto"/>
        <w:ind w:firstLine="360"/>
        <w:jc w:val="both"/>
        <w:rPr>
          <w:rFonts w:ascii="Arial" w:hAnsi="Arial" w:cs="Arial"/>
          <w:sz w:val="24"/>
          <w:szCs w:val="24"/>
        </w:rPr>
      </w:pPr>
      <w:r>
        <w:rPr>
          <w:rFonts w:ascii="Arial" w:hAnsi="Arial" w:cs="Arial"/>
          <w:sz w:val="24"/>
          <w:szCs w:val="24"/>
        </w:rPr>
        <w:t xml:space="preserve">Kuroda et al. (2012) realiza um estudo aplicando Mapas </w:t>
      </w:r>
      <w:proofErr w:type="spellStart"/>
      <w:r>
        <w:rPr>
          <w:rFonts w:ascii="Arial" w:hAnsi="Arial" w:cs="Arial"/>
          <w:sz w:val="24"/>
          <w:szCs w:val="24"/>
        </w:rPr>
        <w:t>Auto-Organizáveis</w:t>
      </w:r>
      <w:proofErr w:type="spellEnd"/>
      <w:r>
        <w:rPr>
          <w:rFonts w:ascii="Arial" w:hAnsi="Arial" w:cs="Arial"/>
          <w:sz w:val="24"/>
          <w:szCs w:val="24"/>
        </w:rPr>
        <w:t xml:space="preserve"> e K-</w:t>
      </w:r>
      <w:proofErr w:type="spellStart"/>
      <w:r>
        <w:rPr>
          <w:rFonts w:ascii="Arial" w:hAnsi="Arial" w:cs="Arial"/>
          <w:sz w:val="24"/>
          <w:szCs w:val="24"/>
        </w:rPr>
        <w:t>Means</w:t>
      </w:r>
      <w:proofErr w:type="spellEnd"/>
      <w:r>
        <w:rPr>
          <w:rFonts w:ascii="Arial" w:hAnsi="Arial" w:cs="Arial"/>
          <w:sz w:val="24"/>
          <w:szCs w:val="24"/>
        </w:rPr>
        <w:t xml:space="preserve"> no espaço obtido do mapa para classificação de fácies em logs de poço na Bacia de Campos. O fluxo de trabalho desenvolvido neste estudo baseia-se no estudo de Kuroda et al. (2012), aplicando o método desenvolvido aos modelos tridimensionais obtidos por algoritmos </w:t>
      </w:r>
      <w:proofErr w:type="spellStart"/>
      <w:r>
        <w:rPr>
          <w:rFonts w:ascii="Arial" w:hAnsi="Arial" w:cs="Arial"/>
          <w:sz w:val="24"/>
          <w:szCs w:val="24"/>
        </w:rPr>
        <w:t>geoestatísticos</w:t>
      </w:r>
      <w:proofErr w:type="spellEnd"/>
      <w:r>
        <w:rPr>
          <w:rFonts w:ascii="Arial" w:hAnsi="Arial" w:cs="Arial"/>
          <w:sz w:val="24"/>
          <w:szCs w:val="24"/>
        </w:rPr>
        <w:t xml:space="preserve"> em vez de logs de poço de maneira direta.</w:t>
      </w:r>
    </w:p>
    <w:bookmarkEnd w:id="1"/>
    <w:p w:rsidR="006D12A0" w:rsidRPr="00A62B7C" w:rsidRDefault="006D12A0" w:rsidP="006D12A0">
      <w:pPr>
        <w:spacing w:line="360" w:lineRule="auto"/>
        <w:ind w:firstLine="360"/>
        <w:jc w:val="both"/>
        <w:rPr>
          <w:rFonts w:ascii="Arial" w:hAnsi="Arial" w:cs="Arial"/>
          <w:sz w:val="24"/>
          <w:szCs w:val="24"/>
        </w:rPr>
      </w:pPr>
      <w:r>
        <w:rPr>
          <w:rFonts w:ascii="Arial" w:hAnsi="Arial" w:cs="Arial"/>
          <w:sz w:val="24"/>
          <w:szCs w:val="24"/>
        </w:rPr>
        <w:t>O algoritmo de Mistura Gaussiana, ao apresentar saídas probabilísticas para cada classe, permite quantificar as probabilidades de cada ponto pertencer a cada classe (</w:t>
      </w:r>
      <w:proofErr w:type="spellStart"/>
      <w:r>
        <w:rPr>
          <w:rFonts w:ascii="Arial" w:hAnsi="Arial" w:cs="Arial"/>
          <w:sz w:val="24"/>
          <w:szCs w:val="24"/>
        </w:rPr>
        <w:t>Viroli</w:t>
      </w:r>
      <w:proofErr w:type="spellEnd"/>
      <w:r>
        <w:rPr>
          <w:rFonts w:ascii="Arial" w:hAnsi="Arial" w:cs="Arial"/>
          <w:sz w:val="24"/>
          <w:szCs w:val="24"/>
        </w:rPr>
        <w:t xml:space="preserve"> &amp; </w:t>
      </w:r>
      <w:proofErr w:type="spellStart"/>
      <w:r>
        <w:rPr>
          <w:rFonts w:ascii="Arial" w:hAnsi="Arial" w:cs="Arial"/>
          <w:sz w:val="24"/>
          <w:szCs w:val="24"/>
        </w:rPr>
        <w:t>McLachlan</w:t>
      </w:r>
      <w:proofErr w:type="spellEnd"/>
      <w:r>
        <w:rPr>
          <w:rFonts w:ascii="Arial" w:hAnsi="Arial" w:cs="Arial"/>
          <w:sz w:val="24"/>
          <w:szCs w:val="24"/>
        </w:rPr>
        <w:t>, 2019). Como o cálculo de volumes, objetivo final deste estudo, passa pela estimativa da razão Net-</w:t>
      </w:r>
      <w:proofErr w:type="spellStart"/>
      <w:r>
        <w:rPr>
          <w:rFonts w:ascii="Arial" w:hAnsi="Arial" w:cs="Arial"/>
          <w:sz w:val="24"/>
          <w:szCs w:val="24"/>
        </w:rPr>
        <w:t>to</w:t>
      </w:r>
      <w:proofErr w:type="spellEnd"/>
      <w:r>
        <w:rPr>
          <w:rFonts w:ascii="Arial" w:hAnsi="Arial" w:cs="Arial"/>
          <w:sz w:val="24"/>
          <w:szCs w:val="24"/>
        </w:rPr>
        <w:t>-Gross, também medida entre 0 e 1 (</w:t>
      </w:r>
      <w:proofErr w:type="spellStart"/>
      <w:r>
        <w:rPr>
          <w:rFonts w:ascii="Arial" w:hAnsi="Arial" w:cs="Arial"/>
          <w:sz w:val="24"/>
          <w:szCs w:val="24"/>
        </w:rPr>
        <w:t>Egbele</w:t>
      </w:r>
      <w:proofErr w:type="spellEnd"/>
      <w:r>
        <w:rPr>
          <w:rFonts w:ascii="Arial" w:hAnsi="Arial" w:cs="Arial"/>
          <w:sz w:val="24"/>
          <w:szCs w:val="24"/>
        </w:rPr>
        <w:t xml:space="preserve"> et al., 2015), modelos de Mistura Gaussiana são utilizados para estimar as razões nos cálculos de volume.</w:t>
      </w:r>
    </w:p>
    <w:p w:rsidR="006D12A0" w:rsidRDefault="006D12A0" w:rsidP="006D12A0">
      <w:pPr>
        <w:spacing w:line="360" w:lineRule="auto"/>
        <w:ind w:firstLine="360"/>
        <w:jc w:val="both"/>
        <w:rPr>
          <w:rFonts w:ascii="Arial" w:hAnsi="Arial" w:cs="Arial"/>
          <w:sz w:val="24"/>
          <w:szCs w:val="24"/>
        </w:rPr>
      </w:pPr>
      <w:bookmarkStart w:id="2" w:name="_Hlk31724032"/>
      <w:bookmarkStart w:id="3" w:name="_GoBack"/>
      <w:r w:rsidRPr="00A62B7C">
        <w:rPr>
          <w:rFonts w:ascii="Arial" w:hAnsi="Arial" w:cs="Arial"/>
          <w:sz w:val="24"/>
          <w:szCs w:val="24"/>
        </w:rPr>
        <w:t>A base de dados deste estudo inclui horizontes no domínio da profundidade para o topo e base do reservatório além de outras unidades geológicas estratigraficamente próximas, volume 3D de sísmica de reflexão no domínio da profundidade recortado para a área do reservatório e logs de poço com diferentes disponibilidades de logs para 47 poços diferentes interceptando ou próximos ao reservatório</w:t>
      </w:r>
      <w:r>
        <w:rPr>
          <w:rFonts w:ascii="Arial" w:hAnsi="Arial" w:cs="Arial"/>
          <w:sz w:val="24"/>
          <w:szCs w:val="24"/>
        </w:rPr>
        <w:t>, d</w:t>
      </w:r>
      <w:r w:rsidRPr="00A62B7C">
        <w:rPr>
          <w:rFonts w:ascii="Arial" w:hAnsi="Arial" w:cs="Arial"/>
          <w:sz w:val="24"/>
          <w:szCs w:val="24"/>
        </w:rPr>
        <w:t>ados todos fornecidos pela Agência Nacional de Petróleo – ANP.</w:t>
      </w:r>
    </w:p>
    <w:bookmarkEnd w:id="2"/>
    <w:bookmarkEnd w:id="3"/>
    <w:p w:rsidR="006D12A0" w:rsidRPr="006D12A0" w:rsidRDefault="006D12A0" w:rsidP="005658E4">
      <w:pPr>
        <w:rPr>
          <w:u w:val="single"/>
        </w:rPr>
      </w:pPr>
    </w:p>
    <w:sectPr w:rsidR="006D12A0" w:rsidRPr="006D12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E4"/>
    <w:rsid w:val="001E207F"/>
    <w:rsid w:val="005658E4"/>
    <w:rsid w:val="00645503"/>
    <w:rsid w:val="006D12A0"/>
    <w:rsid w:val="009360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4AC8"/>
  <w15:chartTrackingRefBased/>
  <w15:docId w15:val="{4F06960E-4B03-4D31-9328-87F90FE8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8E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555</Words>
  <Characters>2997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Ralha</dc:creator>
  <cp:keywords/>
  <dc:description/>
  <cp:lastModifiedBy>Ralha</cp:lastModifiedBy>
  <cp:revision>2</cp:revision>
  <dcterms:created xsi:type="dcterms:W3CDTF">2020-02-04T15:38:00Z</dcterms:created>
  <dcterms:modified xsi:type="dcterms:W3CDTF">2020-02-04T20:22:00Z</dcterms:modified>
</cp:coreProperties>
</file>