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C4B8F" w:rsidRDefault="00CC4B8F">
      <w:pPr>
        <w:pStyle w:val="Ttulo"/>
        <w:rPr>
          <w:lang/>
        </w:rPr>
      </w:pPr>
      <w:r>
        <w:rPr>
          <w:lang/>
        </w:rPr>
        <w:t>PROGRAMA DE ASIGNATURA</w:t>
      </w:r>
    </w:p>
    <w:p w:rsidR="00CC4B8F" w:rsidRDefault="00CC4B8F">
      <w:pPr>
        <w:jc w:val="right"/>
        <w:rPr>
          <w:b/>
          <w:lang/>
        </w:rPr>
      </w:pPr>
    </w:p>
    <w:p w:rsidR="00CC4B8F" w:rsidRDefault="00CC4B8F">
      <w:pPr>
        <w:spacing w:line="360" w:lineRule="auto"/>
        <w:ind w:right="34"/>
        <w:jc w:val="both"/>
        <w:rPr>
          <w:sz w:val="8"/>
          <w:lang/>
        </w:rPr>
      </w:pPr>
    </w:p>
    <w:tbl>
      <w:tblPr>
        <w:tblW w:w="0" w:type="auto"/>
        <w:tblInd w:w="70" w:type="dxa"/>
        <w:tblLayout w:type="fixed"/>
        <w:tblCellMar>
          <w:left w:w="70" w:type="dxa"/>
          <w:right w:w="70" w:type="dxa"/>
        </w:tblCellMar>
        <w:tblLook w:val="0000"/>
      </w:tblPr>
      <w:tblGrid>
        <w:gridCol w:w="3686"/>
        <w:gridCol w:w="906"/>
        <w:gridCol w:w="228"/>
        <w:gridCol w:w="2410"/>
        <w:gridCol w:w="2143"/>
        <w:gridCol w:w="40"/>
        <w:gridCol w:w="40"/>
        <w:gridCol w:w="40"/>
        <w:gridCol w:w="30"/>
      </w:tblGrid>
      <w:tr w:rsidR="00CC4B8F">
        <w:tc>
          <w:tcPr>
            <w:tcW w:w="7230" w:type="dxa"/>
            <w:gridSpan w:val="4"/>
            <w:tcBorders>
              <w:top w:val="single" w:sz="4" w:space="0" w:color="000000"/>
              <w:left w:val="single" w:sz="4" w:space="0" w:color="000000"/>
              <w:bottom w:val="single" w:sz="4" w:space="0" w:color="000000"/>
            </w:tcBorders>
            <w:shd w:val="clear" w:color="auto" w:fill="auto"/>
            <w:vAlign w:val="center"/>
          </w:tcPr>
          <w:p w:rsidR="00CC4B8F" w:rsidRDefault="00CC4B8F">
            <w:pPr>
              <w:snapToGrid w:val="0"/>
              <w:spacing w:before="80" w:after="80"/>
              <w:ind w:right="34"/>
              <w:rPr>
                <w:b/>
                <w:sz w:val="20"/>
                <w:lang/>
              </w:rPr>
            </w:pPr>
            <w:r>
              <w:rPr>
                <w:b/>
                <w:sz w:val="20"/>
                <w:lang w:val="pt-BR"/>
              </w:rPr>
              <w:t xml:space="preserve">ASIGNATURA: </w:t>
            </w:r>
            <w:r>
              <w:rPr>
                <w:sz w:val="20"/>
                <w:lang w:val="pt-BR"/>
              </w:rPr>
              <w:t>INTRODUCCIÓN A LA LÓGICA Y LA COMPUTACIÓN</w:t>
            </w:r>
          </w:p>
        </w:tc>
        <w:tc>
          <w:tcPr>
            <w:tcW w:w="22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CC4B8F" w:rsidRDefault="00CC4B8F">
            <w:pPr>
              <w:snapToGrid w:val="0"/>
              <w:spacing w:before="40" w:after="40"/>
              <w:ind w:right="34"/>
              <w:rPr>
                <w:b/>
                <w:sz w:val="20"/>
                <w:lang/>
              </w:rPr>
            </w:pPr>
            <w:r>
              <w:rPr>
                <w:b/>
                <w:sz w:val="20"/>
                <w:lang/>
              </w:rPr>
              <w:t>AÑO</w:t>
            </w:r>
            <w:r>
              <w:rPr>
                <w:sz w:val="20"/>
                <w:lang/>
              </w:rPr>
              <w:t>: 201</w:t>
            </w:r>
            <w:r w:rsidR="006122AC">
              <w:rPr>
                <w:sz w:val="20"/>
                <w:lang/>
              </w:rPr>
              <w:t>7</w:t>
            </w:r>
          </w:p>
        </w:tc>
      </w:tr>
      <w:tr w:rsidR="00CC4B8F">
        <w:tc>
          <w:tcPr>
            <w:tcW w:w="9523" w:type="dxa"/>
            <w:gridSpan w:val="9"/>
            <w:tcBorders>
              <w:left w:val="single" w:sz="4" w:space="0" w:color="000000"/>
              <w:bottom w:val="single" w:sz="4" w:space="0" w:color="000000"/>
              <w:right w:val="single" w:sz="4" w:space="0" w:color="000000"/>
            </w:tcBorders>
            <w:shd w:val="clear" w:color="auto" w:fill="auto"/>
            <w:vAlign w:val="center"/>
          </w:tcPr>
          <w:p w:rsidR="00CC4B8F" w:rsidRDefault="00CC4B8F">
            <w:pPr>
              <w:snapToGrid w:val="0"/>
              <w:spacing w:before="80" w:after="80"/>
              <w:ind w:right="34"/>
              <w:rPr>
                <w:b/>
                <w:bCs/>
                <w:sz w:val="22"/>
                <w:szCs w:val="22"/>
              </w:rPr>
            </w:pPr>
            <w:r>
              <w:rPr>
                <w:b/>
                <w:sz w:val="20"/>
                <w:lang/>
              </w:rPr>
              <w:t xml:space="preserve">CARÁCTER: </w:t>
            </w:r>
            <w:r>
              <w:rPr>
                <w:sz w:val="20"/>
                <w:lang/>
              </w:rPr>
              <w:t xml:space="preserve">Obligatoria </w:t>
            </w:r>
          </w:p>
        </w:tc>
      </w:tr>
      <w:tr w:rsidR="00CC4B8F">
        <w:tc>
          <w:tcPr>
            <w:tcW w:w="9523" w:type="dxa"/>
            <w:gridSpan w:val="9"/>
            <w:tcBorders>
              <w:left w:val="single" w:sz="4" w:space="0" w:color="000000"/>
              <w:bottom w:val="single" w:sz="4" w:space="0" w:color="000000"/>
              <w:right w:val="single" w:sz="4" w:space="0" w:color="000000"/>
            </w:tcBorders>
            <w:shd w:val="clear" w:color="auto" w:fill="auto"/>
            <w:vAlign w:val="center"/>
          </w:tcPr>
          <w:p w:rsidR="00CC4B8F" w:rsidRDefault="00CC4B8F" w:rsidP="006122AC">
            <w:pPr>
              <w:snapToGrid w:val="0"/>
              <w:spacing w:before="80" w:after="80"/>
              <w:ind w:right="34"/>
              <w:rPr>
                <w:sz w:val="1"/>
                <w:lang/>
              </w:rPr>
            </w:pPr>
            <w:r>
              <w:rPr>
                <w:b/>
                <w:bCs/>
                <w:sz w:val="22"/>
                <w:szCs w:val="22"/>
              </w:rPr>
              <w:t>DOCENTES:</w:t>
            </w:r>
            <w:r>
              <w:rPr>
                <w:sz w:val="22"/>
                <w:szCs w:val="22"/>
              </w:rPr>
              <w:t xml:space="preserve"> </w:t>
            </w:r>
            <w:r w:rsidR="0095170A">
              <w:rPr>
                <w:sz w:val="22"/>
                <w:szCs w:val="22"/>
              </w:rPr>
              <w:t xml:space="preserve">Mariana Badano, Raúl Fervari, </w:t>
            </w:r>
            <w:r>
              <w:rPr>
                <w:sz w:val="22"/>
                <w:szCs w:val="22"/>
              </w:rPr>
              <w:t>Héctor Gramaglia, Miguel Pagano</w:t>
            </w:r>
          </w:p>
        </w:tc>
      </w:tr>
      <w:tr w:rsidR="00CC4B8F">
        <w:tblPrEx>
          <w:tblCellMar>
            <w:left w:w="0" w:type="dxa"/>
            <w:right w:w="0" w:type="dxa"/>
          </w:tblCellMar>
        </w:tblPrEx>
        <w:trPr>
          <w:gridAfter w:val="1"/>
          <w:wAfter w:w="30" w:type="dxa"/>
        </w:trPr>
        <w:tc>
          <w:tcPr>
            <w:tcW w:w="3686" w:type="dxa"/>
            <w:shd w:val="clear" w:color="auto" w:fill="auto"/>
            <w:vAlign w:val="center"/>
          </w:tcPr>
          <w:p w:rsidR="00CC4B8F" w:rsidRDefault="00CC4B8F">
            <w:pPr>
              <w:snapToGrid w:val="0"/>
              <w:rPr>
                <w:sz w:val="1"/>
                <w:lang/>
              </w:rPr>
            </w:pPr>
          </w:p>
        </w:tc>
        <w:tc>
          <w:tcPr>
            <w:tcW w:w="906" w:type="dxa"/>
            <w:shd w:val="clear" w:color="auto" w:fill="auto"/>
            <w:vAlign w:val="center"/>
          </w:tcPr>
          <w:p w:rsidR="00CC4B8F" w:rsidRDefault="00CC4B8F">
            <w:pPr>
              <w:snapToGrid w:val="0"/>
              <w:rPr>
                <w:sz w:val="1"/>
                <w:lang/>
              </w:rPr>
            </w:pPr>
          </w:p>
        </w:tc>
        <w:tc>
          <w:tcPr>
            <w:tcW w:w="228" w:type="dxa"/>
            <w:shd w:val="clear" w:color="auto" w:fill="auto"/>
            <w:vAlign w:val="center"/>
          </w:tcPr>
          <w:p w:rsidR="00CC4B8F" w:rsidRDefault="00CC4B8F">
            <w:pPr>
              <w:snapToGrid w:val="0"/>
              <w:rPr>
                <w:sz w:val="1"/>
                <w:lang/>
              </w:rPr>
            </w:pPr>
          </w:p>
        </w:tc>
        <w:tc>
          <w:tcPr>
            <w:tcW w:w="2410" w:type="dxa"/>
            <w:shd w:val="clear" w:color="auto" w:fill="auto"/>
            <w:vAlign w:val="center"/>
          </w:tcPr>
          <w:p w:rsidR="00CC4B8F" w:rsidRDefault="00CC4B8F">
            <w:pPr>
              <w:snapToGrid w:val="0"/>
              <w:rPr>
                <w:sz w:val="1"/>
                <w:lang/>
              </w:rPr>
            </w:pPr>
          </w:p>
        </w:tc>
        <w:tc>
          <w:tcPr>
            <w:tcW w:w="2143" w:type="dxa"/>
            <w:shd w:val="clear" w:color="auto" w:fill="auto"/>
            <w:vAlign w:val="center"/>
          </w:tcPr>
          <w:p w:rsidR="00CC4B8F" w:rsidRDefault="00CC4B8F">
            <w:pPr>
              <w:snapToGrid w:val="0"/>
              <w:rPr>
                <w:sz w:val="1"/>
                <w:lang/>
              </w:rPr>
            </w:pPr>
          </w:p>
        </w:tc>
        <w:tc>
          <w:tcPr>
            <w:tcW w:w="40" w:type="dxa"/>
            <w:shd w:val="clear" w:color="auto" w:fill="auto"/>
          </w:tcPr>
          <w:p w:rsidR="00CC4B8F" w:rsidRDefault="00CC4B8F">
            <w:pPr>
              <w:snapToGrid w:val="0"/>
            </w:pPr>
          </w:p>
        </w:tc>
        <w:tc>
          <w:tcPr>
            <w:tcW w:w="40" w:type="dxa"/>
            <w:shd w:val="clear" w:color="auto" w:fill="auto"/>
          </w:tcPr>
          <w:p w:rsidR="00CC4B8F" w:rsidRDefault="00CC4B8F">
            <w:pPr>
              <w:snapToGrid w:val="0"/>
            </w:pPr>
          </w:p>
        </w:tc>
        <w:tc>
          <w:tcPr>
            <w:tcW w:w="40" w:type="dxa"/>
            <w:shd w:val="clear" w:color="auto" w:fill="auto"/>
          </w:tcPr>
          <w:p w:rsidR="00CC4B8F" w:rsidRDefault="00CC4B8F">
            <w:pPr>
              <w:snapToGrid w:val="0"/>
            </w:pPr>
          </w:p>
        </w:tc>
      </w:tr>
    </w:tbl>
    <w:p w:rsidR="00CC4B8F" w:rsidRDefault="00CC4B8F">
      <w:pPr>
        <w:spacing w:line="360" w:lineRule="auto"/>
        <w:ind w:right="34"/>
        <w:jc w:val="both"/>
      </w:pPr>
    </w:p>
    <w:tbl>
      <w:tblPr>
        <w:tblW w:w="0" w:type="auto"/>
        <w:tblInd w:w="70" w:type="dxa"/>
        <w:tblLayout w:type="fixed"/>
        <w:tblCellMar>
          <w:left w:w="70" w:type="dxa"/>
          <w:right w:w="70" w:type="dxa"/>
        </w:tblCellMar>
        <w:tblLook w:val="0000"/>
      </w:tblPr>
      <w:tblGrid>
        <w:gridCol w:w="9531"/>
      </w:tblGrid>
      <w:tr w:rsidR="00CC4B8F">
        <w:trPr>
          <w:trHeight w:val="540"/>
        </w:trPr>
        <w:tc>
          <w:tcPr>
            <w:tcW w:w="95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C4B8F" w:rsidRDefault="00CC4B8F">
            <w:pPr>
              <w:pStyle w:val="Ttulo3"/>
              <w:tabs>
                <w:tab w:val="left" w:pos="0"/>
              </w:tabs>
              <w:snapToGrid w:val="0"/>
              <w:jc w:val="left"/>
              <w:rPr>
                <w:sz w:val="22"/>
                <w:szCs w:val="22"/>
                <w:u w:val="single"/>
                <w:lang/>
              </w:rPr>
            </w:pPr>
            <w:r>
              <w:rPr>
                <w:sz w:val="20"/>
                <w:lang/>
              </w:rPr>
              <w:t>OBJETIVOS</w:t>
            </w:r>
            <w:r>
              <w:rPr>
                <w:lang/>
              </w:rPr>
              <w:t xml:space="preserve"> </w:t>
            </w:r>
          </w:p>
        </w:tc>
      </w:tr>
      <w:tr w:rsidR="00CC4B8F">
        <w:trPr>
          <w:trHeight w:val="1454"/>
        </w:trPr>
        <w:tc>
          <w:tcPr>
            <w:tcW w:w="9531" w:type="dxa"/>
            <w:tcBorders>
              <w:left w:val="single" w:sz="4" w:space="0" w:color="000000"/>
              <w:bottom w:val="single" w:sz="4" w:space="0" w:color="000000"/>
              <w:right w:val="single" w:sz="4" w:space="0" w:color="000000"/>
            </w:tcBorders>
            <w:shd w:val="clear" w:color="auto" w:fill="auto"/>
          </w:tcPr>
          <w:p w:rsidR="00CC4B8F" w:rsidRDefault="00CC4B8F">
            <w:pPr>
              <w:snapToGrid w:val="0"/>
              <w:jc w:val="both"/>
              <w:rPr>
                <w:b/>
                <w:sz w:val="22"/>
                <w:szCs w:val="22"/>
                <w:u w:val="single"/>
                <w:lang/>
              </w:rPr>
            </w:pPr>
          </w:p>
          <w:p w:rsidR="00CC4B8F" w:rsidRDefault="00CC4B8F">
            <w:pPr>
              <w:jc w:val="both"/>
            </w:pPr>
            <w:r>
              <w:rPr>
                <w:sz w:val="22"/>
                <w:szCs w:val="22"/>
                <w:lang w:val="es-ES"/>
              </w:rPr>
              <w:t xml:space="preserve">Esta es una materia en la que se abordan algunos contenidos que constituyen las bases teóricas de las ciencias de la computación. El objetivo es crear un marco de referencia desde el cual fundamentar las prácticas profesionales tanto en el campo de las aplicaciones y los desarrollos, como en el de  la investigación teórica o aplicada.  </w:t>
            </w:r>
          </w:p>
        </w:tc>
      </w:tr>
    </w:tbl>
    <w:p w:rsidR="00CC4B8F" w:rsidRDefault="00CC4B8F"/>
    <w:tbl>
      <w:tblPr>
        <w:tblW w:w="0" w:type="auto"/>
        <w:tblInd w:w="70" w:type="dxa"/>
        <w:tblLayout w:type="fixed"/>
        <w:tblCellMar>
          <w:left w:w="70" w:type="dxa"/>
          <w:right w:w="70" w:type="dxa"/>
        </w:tblCellMar>
        <w:tblLook w:val="0000"/>
      </w:tblPr>
      <w:tblGrid>
        <w:gridCol w:w="9531"/>
      </w:tblGrid>
      <w:tr w:rsidR="00CC4B8F">
        <w:trPr>
          <w:trHeight w:val="540"/>
        </w:trPr>
        <w:tc>
          <w:tcPr>
            <w:tcW w:w="95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C4B8F" w:rsidRDefault="00CC4B8F">
            <w:pPr>
              <w:pStyle w:val="Ttulo3"/>
              <w:tabs>
                <w:tab w:val="left" w:pos="0"/>
              </w:tabs>
              <w:snapToGrid w:val="0"/>
              <w:jc w:val="left"/>
              <w:rPr>
                <w:sz w:val="22"/>
                <w:szCs w:val="22"/>
                <w:u w:val="single"/>
                <w:lang/>
              </w:rPr>
            </w:pPr>
            <w:r>
              <w:rPr>
                <w:sz w:val="20"/>
                <w:lang/>
              </w:rPr>
              <w:t>FUNDAMENTACIÓN</w:t>
            </w:r>
          </w:p>
        </w:tc>
      </w:tr>
      <w:tr w:rsidR="00CC4B8F">
        <w:trPr>
          <w:trHeight w:val="1454"/>
        </w:trPr>
        <w:tc>
          <w:tcPr>
            <w:tcW w:w="9531" w:type="dxa"/>
            <w:tcBorders>
              <w:left w:val="single" w:sz="4" w:space="0" w:color="000000"/>
              <w:bottom w:val="single" w:sz="4" w:space="0" w:color="000000"/>
              <w:right w:val="single" w:sz="4" w:space="0" w:color="000000"/>
            </w:tcBorders>
            <w:shd w:val="clear" w:color="auto" w:fill="auto"/>
          </w:tcPr>
          <w:p w:rsidR="00CC4B8F" w:rsidRDefault="00CC4B8F">
            <w:pPr>
              <w:snapToGrid w:val="0"/>
              <w:jc w:val="both"/>
              <w:rPr>
                <w:b/>
                <w:sz w:val="22"/>
                <w:szCs w:val="22"/>
                <w:u w:val="single"/>
                <w:lang/>
              </w:rPr>
            </w:pPr>
          </w:p>
          <w:p w:rsidR="00CC4B8F" w:rsidRDefault="00CC4B8F">
            <w:pPr>
              <w:jc w:val="both"/>
              <w:rPr>
                <w:sz w:val="22"/>
                <w:szCs w:val="22"/>
              </w:rPr>
            </w:pPr>
            <w:r>
              <w:rPr>
                <w:sz w:val="22"/>
                <w:szCs w:val="22"/>
              </w:rPr>
              <w:t xml:space="preserve">Se han definido para esta materia tres grandes ejes de contenidos teóricos que contribuirán a lograr los objetivos propuestos. El primer eje trata de </w:t>
            </w:r>
            <w:r>
              <w:rPr>
                <w:b/>
                <w:bCs/>
                <w:sz w:val="22"/>
                <w:szCs w:val="22"/>
              </w:rPr>
              <w:t>estructuras ordenadas</w:t>
            </w:r>
            <w:r>
              <w:rPr>
                <w:sz w:val="22"/>
                <w:szCs w:val="22"/>
              </w:rPr>
              <w:t xml:space="preserve">, que constituyen la base para la definición de modelos matemáticos, tanto de los lenguajes de programación como de las lógicas que se utilizan para razonar sobre los programas. El segundo eje aborda la </w:t>
            </w:r>
            <w:r>
              <w:rPr>
                <w:b/>
                <w:bCs/>
                <w:sz w:val="22"/>
                <w:szCs w:val="22"/>
              </w:rPr>
              <w:t>lógica proposicional</w:t>
            </w:r>
            <w:r>
              <w:rPr>
                <w:sz w:val="22"/>
                <w:szCs w:val="22"/>
              </w:rPr>
              <w:t>  a través de una presentación diferente a la ofrecida en materias anteriores,  que no pone énfasis en el cálculo, sino en el concepto de demostración. Este abordaje establece las bases para conectar la lógica con otras  áreas fundamentales de las Ciencias de la Computación, como el cálculo lambda (a través del isomorfismo de Curry-Howard),y la inteligencia artificial.</w:t>
            </w:r>
          </w:p>
          <w:p w:rsidR="00CC4B8F" w:rsidRDefault="00CC4B8F">
            <w:pPr>
              <w:jc w:val="both"/>
              <w:rPr>
                <w:sz w:val="22"/>
                <w:szCs w:val="22"/>
                <w:lang w:val="es-ES"/>
              </w:rPr>
            </w:pPr>
            <w:r>
              <w:rPr>
                <w:sz w:val="22"/>
                <w:szCs w:val="22"/>
              </w:rPr>
              <w:t xml:space="preserve">Por último, el tercer eje trata sobre </w:t>
            </w:r>
            <w:r>
              <w:rPr>
                <w:b/>
                <w:bCs/>
                <w:sz w:val="22"/>
                <w:szCs w:val="22"/>
              </w:rPr>
              <w:t>mecanismos de computación</w:t>
            </w:r>
            <w:r>
              <w:rPr>
                <w:sz w:val="22"/>
                <w:szCs w:val="22"/>
              </w:rPr>
              <w:t xml:space="preserve"> y </w:t>
            </w:r>
            <w:r>
              <w:rPr>
                <w:b/>
                <w:bCs/>
                <w:sz w:val="22"/>
                <w:szCs w:val="22"/>
              </w:rPr>
              <w:t>formas de definición de lenguajes formales</w:t>
            </w:r>
            <w:r>
              <w:rPr>
                <w:sz w:val="22"/>
                <w:szCs w:val="22"/>
              </w:rPr>
              <w:t>, con aplicaciones directas en el desarrollo de los lenguajes de programación, por ejemplo mediante las técnicas de parsing.</w:t>
            </w:r>
          </w:p>
          <w:p w:rsidR="00CC4B8F" w:rsidRDefault="00CC4B8F">
            <w:pPr>
              <w:jc w:val="both"/>
              <w:rPr>
                <w:sz w:val="22"/>
                <w:szCs w:val="22"/>
                <w:lang w:val="es-ES"/>
              </w:rPr>
            </w:pPr>
          </w:p>
        </w:tc>
      </w:tr>
    </w:tbl>
    <w:p w:rsidR="00CC4B8F" w:rsidRDefault="00CC4B8F"/>
    <w:tbl>
      <w:tblPr>
        <w:tblW w:w="0" w:type="auto"/>
        <w:tblInd w:w="70" w:type="dxa"/>
        <w:tblLayout w:type="fixed"/>
        <w:tblCellMar>
          <w:left w:w="70" w:type="dxa"/>
          <w:right w:w="70" w:type="dxa"/>
        </w:tblCellMar>
        <w:tblLook w:val="0000"/>
      </w:tblPr>
      <w:tblGrid>
        <w:gridCol w:w="9515"/>
      </w:tblGrid>
      <w:tr w:rsidR="00CC4B8F">
        <w:trPr>
          <w:trHeight w:val="614"/>
        </w:trPr>
        <w:tc>
          <w:tcPr>
            <w:tcW w:w="9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C4B8F" w:rsidRDefault="00CC4B8F">
            <w:pPr>
              <w:snapToGrid w:val="0"/>
              <w:spacing w:line="90" w:lineRule="atLeast"/>
              <w:rPr>
                <w:rFonts w:ascii="Times" w:hAnsi="Times" w:cs="Times"/>
                <w:sz w:val="22"/>
                <w:szCs w:val="22"/>
                <w:lang w:val="es-MX"/>
              </w:rPr>
            </w:pPr>
            <w:r>
              <w:rPr>
                <w:b/>
                <w:sz w:val="20"/>
                <w:lang/>
              </w:rPr>
              <w:t>DESARROLLO</w:t>
            </w:r>
          </w:p>
        </w:tc>
      </w:tr>
      <w:tr w:rsidR="00CC4B8F">
        <w:trPr>
          <w:trHeight w:val="614"/>
        </w:trPr>
        <w:tc>
          <w:tcPr>
            <w:tcW w:w="9515" w:type="dxa"/>
            <w:tcBorders>
              <w:left w:val="single" w:sz="4" w:space="0" w:color="000000"/>
              <w:bottom w:val="single" w:sz="4" w:space="0" w:color="000000"/>
              <w:right w:val="single" w:sz="4" w:space="0" w:color="000000"/>
            </w:tcBorders>
            <w:shd w:val="clear" w:color="auto" w:fill="auto"/>
            <w:vAlign w:val="center"/>
          </w:tcPr>
          <w:p w:rsidR="00CC4B8F" w:rsidRDefault="00CC4B8F">
            <w:pPr>
              <w:snapToGrid w:val="0"/>
              <w:spacing w:line="360" w:lineRule="auto"/>
              <w:jc w:val="both"/>
              <w:rPr>
                <w:rFonts w:ascii="Times" w:hAnsi="Times" w:cs="Times"/>
                <w:sz w:val="22"/>
                <w:szCs w:val="22"/>
                <w:lang w:val="es-MX"/>
              </w:rPr>
            </w:pPr>
          </w:p>
          <w:p w:rsidR="00CC4B8F" w:rsidRDefault="00CC4B8F">
            <w:pPr>
              <w:jc w:val="both"/>
              <w:rPr>
                <w:sz w:val="22"/>
                <w:szCs w:val="22"/>
                <w:lang w:val="es-MX"/>
              </w:rPr>
            </w:pPr>
            <w:r>
              <w:rPr>
                <w:b/>
                <w:bCs/>
                <w:sz w:val="22"/>
                <w:szCs w:val="22"/>
                <w:lang w:val="es-MX"/>
              </w:rPr>
              <w:t>Unidad I: Relaciones y orden</w:t>
            </w:r>
          </w:p>
          <w:p w:rsidR="00CC4B8F" w:rsidRDefault="00CC4B8F">
            <w:pPr>
              <w:jc w:val="both"/>
              <w:rPr>
                <w:sz w:val="22"/>
                <w:szCs w:val="22"/>
                <w:lang w:val="es-MX"/>
              </w:rPr>
            </w:pPr>
            <w:r>
              <w:rPr>
                <w:sz w:val="22"/>
                <w:szCs w:val="22"/>
                <w:lang w:val="es-MX"/>
              </w:rPr>
              <w:t>Noción de Relación. Relaciones de Equivalencia y Particiones. Relaciones de orden. Ordenes Parciales. Conjuntos Parcialmente Ordenados (CPO). Máximos, mínimos, elementos maximales y minimales, ínfimos y supremos. Diagramas de Hasse. Isomorfismo de CPO’s y sus propiedades.</w:t>
            </w:r>
          </w:p>
          <w:p w:rsidR="00CC4B8F" w:rsidRDefault="00CC4B8F">
            <w:pPr>
              <w:jc w:val="both"/>
              <w:rPr>
                <w:b/>
                <w:bCs/>
                <w:sz w:val="22"/>
                <w:szCs w:val="22"/>
                <w:lang w:val="es-MX"/>
              </w:rPr>
            </w:pPr>
            <w:r>
              <w:rPr>
                <w:sz w:val="22"/>
                <w:szCs w:val="22"/>
                <w:lang w:val="es-MX"/>
              </w:rPr>
              <w:tab/>
            </w:r>
          </w:p>
          <w:p w:rsidR="00CC4B8F" w:rsidRDefault="00CC4B8F">
            <w:pPr>
              <w:jc w:val="both"/>
              <w:rPr>
                <w:sz w:val="22"/>
                <w:szCs w:val="22"/>
                <w:lang w:val="es-MX"/>
              </w:rPr>
            </w:pPr>
            <w:r>
              <w:rPr>
                <w:b/>
                <w:bCs/>
                <w:sz w:val="22"/>
                <w:szCs w:val="22"/>
                <w:lang w:val="es-MX"/>
              </w:rPr>
              <w:t>Unidad II: Reticulados y Álgebras de Boole.</w:t>
            </w:r>
          </w:p>
          <w:p w:rsidR="00CC4B8F" w:rsidRDefault="00CC4B8F">
            <w:pPr>
              <w:jc w:val="both"/>
              <w:rPr>
                <w:sz w:val="22"/>
                <w:szCs w:val="22"/>
                <w:lang w:val="es-MX"/>
              </w:rPr>
            </w:pPr>
            <w:r>
              <w:rPr>
                <w:sz w:val="22"/>
                <w:szCs w:val="22"/>
                <w:lang w:val="es-MX"/>
              </w:rPr>
              <w:t>Noción de reticulado como CPO. Noción de reticulado como estructura algebraica. Equivalencia de las definiciones. Isomorfismo de reticulados (como estructura algebraica). Equivalencia entre las nociones de isomorfismo. Cotas y Complementos. Reticulados distributivos y su caracterización. Álgebras de Boole y sus propiedades. Representación de las álgebras de Boole finitas como álgebras de conjuntos.  Teorema de Birkhoff, de Representación de reticulados distributivos finitos.</w:t>
            </w:r>
          </w:p>
          <w:p w:rsidR="00CC4B8F" w:rsidRDefault="00CC4B8F">
            <w:pPr>
              <w:jc w:val="both"/>
              <w:rPr>
                <w:sz w:val="22"/>
                <w:szCs w:val="22"/>
                <w:lang w:val="es-MX"/>
              </w:rPr>
            </w:pPr>
          </w:p>
          <w:p w:rsidR="00CC4B8F" w:rsidRDefault="00CC4B8F">
            <w:pPr>
              <w:jc w:val="both"/>
              <w:rPr>
                <w:sz w:val="22"/>
                <w:szCs w:val="22"/>
                <w:lang w:val="es-MX"/>
              </w:rPr>
            </w:pPr>
          </w:p>
          <w:p w:rsidR="00CC4B8F" w:rsidRDefault="00CC4B8F">
            <w:pPr>
              <w:jc w:val="both"/>
              <w:rPr>
                <w:bCs/>
                <w:sz w:val="22"/>
                <w:szCs w:val="22"/>
                <w:lang w:val="es-MX"/>
              </w:rPr>
            </w:pPr>
            <w:r>
              <w:rPr>
                <w:b/>
                <w:bCs/>
                <w:sz w:val="22"/>
                <w:szCs w:val="22"/>
                <w:lang w:val="es-MX"/>
              </w:rPr>
              <w:t>Unidad III: Cálculo Proposicional: Sintaxis y Semántica.</w:t>
            </w:r>
          </w:p>
          <w:p w:rsidR="00CC4B8F" w:rsidRDefault="00CC4B8F">
            <w:pPr>
              <w:jc w:val="both"/>
              <w:rPr>
                <w:b/>
                <w:bCs/>
                <w:sz w:val="22"/>
                <w:szCs w:val="22"/>
                <w:lang w:val="es-MX"/>
              </w:rPr>
            </w:pPr>
            <w:r>
              <w:rPr>
                <w:bCs/>
                <w:sz w:val="22"/>
                <w:szCs w:val="22"/>
                <w:lang w:val="es-MX"/>
              </w:rPr>
              <w:t xml:space="preserve">Nociones básicas de la lógica proposicional: el lenguaje de las proposiciones, los conectivos. Propiedades sintácticas y sus métodos de demostración. La inducción estructural. Noción de verdad. Valuaciones y sus propiedades. Tablas de verdad. Noción de Completitud de un conjunto de conectivos. </w:t>
            </w:r>
          </w:p>
          <w:p w:rsidR="00CC4B8F" w:rsidRDefault="00CC4B8F">
            <w:pPr>
              <w:jc w:val="both"/>
              <w:rPr>
                <w:b/>
                <w:bCs/>
                <w:sz w:val="22"/>
                <w:szCs w:val="22"/>
                <w:lang w:val="es-MX"/>
              </w:rPr>
            </w:pPr>
          </w:p>
          <w:p w:rsidR="00CC4B8F" w:rsidRDefault="00CC4B8F">
            <w:pPr>
              <w:jc w:val="both"/>
              <w:rPr>
                <w:bCs/>
                <w:sz w:val="22"/>
                <w:szCs w:val="22"/>
                <w:lang w:val="es-MX"/>
              </w:rPr>
            </w:pPr>
            <w:r>
              <w:rPr>
                <w:b/>
                <w:bCs/>
                <w:sz w:val="22"/>
                <w:szCs w:val="22"/>
                <w:lang w:val="es-MX"/>
              </w:rPr>
              <w:t>Unidad IV: Cálculo Proposicional: Dedución Natural.</w:t>
            </w:r>
          </w:p>
          <w:p w:rsidR="00CC4B8F" w:rsidRDefault="00CC4B8F">
            <w:pPr>
              <w:jc w:val="both"/>
              <w:rPr>
                <w:b/>
                <w:bCs/>
                <w:sz w:val="22"/>
                <w:szCs w:val="22"/>
                <w:lang w:val="es-MX"/>
              </w:rPr>
            </w:pPr>
            <w:r>
              <w:rPr>
                <w:bCs/>
                <w:sz w:val="22"/>
                <w:szCs w:val="22"/>
                <w:lang w:val="es-MX"/>
              </w:rPr>
              <w:t>Noción de demostración: el sistema de deducción natural de Gentzen-Prawitz. Caso intuicionista y clásico: la reducción al absurdo. Teoremas de Correción y Completitud del cálculo proposicional. Álgebra de Lindembaum.</w:t>
            </w:r>
          </w:p>
          <w:p w:rsidR="00CC4B8F" w:rsidRDefault="00CC4B8F">
            <w:pPr>
              <w:jc w:val="both"/>
              <w:rPr>
                <w:b/>
                <w:bCs/>
                <w:sz w:val="22"/>
                <w:szCs w:val="22"/>
                <w:lang w:val="es-MX"/>
              </w:rPr>
            </w:pPr>
          </w:p>
          <w:p w:rsidR="00CC4B8F" w:rsidRDefault="00CC4B8F">
            <w:pPr>
              <w:jc w:val="both"/>
              <w:rPr>
                <w:bCs/>
                <w:sz w:val="22"/>
                <w:szCs w:val="22"/>
                <w:lang w:val="es-MX"/>
              </w:rPr>
            </w:pPr>
            <w:r>
              <w:rPr>
                <w:b/>
                <w:bCs/>
                <w:sz w:val="22"/>
                <w:szCs w:val="22"/>
                <w:lang w:val="es-MX"/>
              </w:rPr>
              <w:t>Unidad V: Autómatas Finitos y Expresiones regulares.</w:t>
            </w:r>
          </w:p>
          <w:p w:rsidR="00CC4B8F" w:rsidRDefault="00CC4B8F">
            <w:pPr>
              <w:jc w:val="both"/>
              <w:rPr>
                <w:b/>
                <w:bCs/>
                <w:sz w:val="22"/>
                <w:szCs w:val="22"/>
                <w:lang w:val="es-MX"/>
              </w:rPr>
            </w:pPr>
            <w:r>
              <w:rPr>
                <w:bCs/>
                <w:sz w:val="22"/>
                <w:szCs w:val="22"/>
                <w:lang w:val="es-MX"/>
              </w:rPr>
              <w:t xml:space="preserve">Noción de sistema de estados finito. Cadenas, Alfabetos y Lenguajes. Noción de Autómata finito determinístico (DFA). Transformación de estados. Lenguaje aceptado por un DFA. Autómatas no determinísticos (NFA). Autómatas no determinísticos con  movimientos “e”. Construcción de un DFA que acepte el lenguaje de un NFA con mov. “e”. Expesiones regulares. Lenguajes regulares. Teorema de Kleene. Equivalencias entre las diversas maneras de definir un lenguaje regular. Punping Lemma. Aplicaciones. </w:t>
            </w:r>
          </w:p>
          <w:p w:rsidR="00CC4B8F" w:rsidRDefault="00CC4B8F">
            <w:pPr>
              <w:jc w:val="both"/>
              <w:rPr>
                <w:b/>
                <w:bCs/>
                <w:sz w:val="22"/>
                <w:szCs w:val="22"/>
                <w:lang w:val="es-MX"/>
              </w:rPr>
            </w:pPr>
          </w:p>
          <w:p w:rsidR="00CC4B8F" w:rsidRDefault="00CC4B8F">
            <w:pPr>
              <w:jc w:val="both"/>
              <w:rPr>
                <w:sz w:val="22"/>
                <w:szCs w:val="22"/>
                <w:lang w:val="es-MX"/>
              </w:rPr>
            </w:pPr>
            <w:r>
              <w:rPr>
                <w:b/>
                <w:bCs/>
                <w:sz w:val="22"/>
                <w:szCs w:val="22"/>
                <w:lang w:val="es-MX"/>
              </w:rPr>
              <w:t>Unidad VI: Autómatas con Pilas y Gramáticas</w:t>
            </w:r>
          </w:p>
          <w:p w:rsidR="00CC4B8F" w:rsidRDefault="00CC4B8F">
            <w:pPr>
              <w:jc w:val="both"/>
              <w:rPr>
                <w:sz w:val="22"/>
                <w:szCs w:val="22"/>
                <w:lang w:val="es-MX"/>
              </w:rPr>
            </w:pPr>
            <w:r>
              <w:rPr>
                <w:sz w:val="22"/>
                <w:szCs w:val="22"/>
                <w:lang w:val="es-MX"/>
              </w:rPr>
              <w:t xml:space="preserve">Noción de autómata con pilas. Noción de Gramáticas Libre de Contextos (CFG). Derivación. Lenguajes Libres de Contexto. Gramáticas Regulares. Obtención de una gramatica regular desde una expresión regular. </w:t>
            </w:r>
          </w:p>
          <w:p w:rsidR="00CC4B8F" w:rsidRDefault="00CC4B8F">
            <w:pPr>
              <w:spacing w:line="90" w:lineRule="atLeast"/>
              <w:rPr>
                <w:sz w:val="22"/>
                <w:szCs w:val="22"/>
                <w:lang w:val="es-MX"/>
              </w:rPr>
            </w:pPr>
          </w:p>
        </w:tc>
      </w:tr>
    </w:tbl>
    <w:p w:rsidR="00CC4B8F" w:rsidRDefault="00CC4B8F"/>
    <w:tbl>
      <w:tblPr>
        <w:tblW w:w="0" w:type="auto"/>
        <w:tblInd w:w="70" w:type="dxa"/>
        <w:tblLayout w:type="fixed"/>
        <w:tblCellMar>
          <w:left w:w="70" w:type="dxa"/>
          <w:right w:w="70" w:type="dxa"/>
        </w:tblCellMar>
        <w:tblLook w:val="0000"/>
      </w:tblPr>
      <w:tblGrid>
        <w:gridCol w:w="9465"/>
        <w:gridCol w:w="71"/>
        <w:gridCol w:w="34"/>
        <w:gridCol w:w="20"/>
      </w:tblGrid>
      <w:tr w:rsidR="00CC4B8F">
        <w:trPr>
          <w:trHeight w:val="327"/>
        </w:trPr>
        <w:tc>
          <w:tcPr>
            <w:tcW w:w="959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CC4B8F" w:rsidRDefault="00CC4B8F">
            <w:pPr>
              <w:snapToGrid w:val="0"/>
              <w:rPr>
                <w:b/>
                <w:sz w:val="22"/>
                <w:u w:val="single"/>
                <w:lang/>
              </w:rPr>
            </w:pPr>
            <w:r>
              <w:rPr>
                <w:b/>
                <w:sz w:val="22"/>
                <w:lang/>
              </w:rPr>
              <w:t>METODOLOGÍA</w:t>
            </w:r>
          </w:p>
        </w:tc>
      </w:tr>
      <w:tr w:rsidR="00CC4B8F">
        <w:trPr>
          <w:trHeight w:val="2973"/>
        </w:trPr>
        <w:tc>
          <w:tcPr>
            <w:tcW w:w="9590" w:type="dxa"/>
            <w:gridSpan w:val="4"/>
            <w:tcBorders>
              <w:left w:val="single" w:sz="4" w:space="0" w:color="000000"/>
              <w:bottom w:val="single" w:sz="4" w:space="0" w:color="000000"/>
              <w:right w:val="single" w:sz="4" w:space="0" w:color="000000"/>
            </w:tcBorders>
            <w:shd w:val="clear" w:color="auto" w:fill="auto"/>
          </w:tcPr>
          <w:p w:rsidR="00CC4B8F" w:rsidRDefault="00CC4B8F">
            <w:pPr>
              <w:snapToGrid w:val="0"/>
              <w:jc w:val="both"/>
              <w:rPr>
                <w:b/>
                <w:sz w:val="22"/>
                <w:u w:val="single"/>
                <w:lang/>
              </w:rPr>
            </w:pPr>
          </w:p>
          <w:p w:rsidR="006122AC" w:rsidRDefault="00CC4B8F">
            <w:pPr>
              <w:jc w:val="both"/>
              <w:rPr>
                <w:sz w:val="22"/>
                <w:szCs w:val="22"/>
              </w:rPr>
            </w:pPr>
            <w:r>
              <w:rPr>
                <w:sz w:val="22"/>
                <w:szCs w:val="22"/>
              </w:rPr>
              <w:t xml:space="preserve">Las actividades que sustentan el proceso de enseñanza-aprendizaje se diseñan articulando </w:t>
            </w:r>
            <w:r w:rsidR="006122AC">
              <w:rPr>
                <w:sz w:val="22"/>
                <w:szCs w:val="22"/>
              </w:rPr>
              <w:t xml:space="preserve">las </w:t>
            </w:r>
            <w:r>
              <w:rPr>
                <w:sz w:val="22"/>
                <w:szCs w:val="22"/>
              </w:rPr>
              <w:t xml:space="preserve"> metodologías </w:t>
            </w:r>
            <w:r w:rsidR="006122AC">
              <w:rPr>
                <w:sz w:val="22"/>
                <w:szCs w:val="22"/>
              </w:rPr>
              <w:t xml:space="preserve">de  </w:t>
            </w:r>
            <w:r>
              <w:rPr>
                <w:sz w:val="22"/>
                <w:szCs w:val="22"/>
              </w:rPr>
              <w:t>asimilación de cuerpos de conocimiento</w:t>
            </w:r>
            <w:r w:rsidR="006122AC">
              <w:rPr>
                <w:sz w:val="22"/>
                <w:szCs w:val="22"/>
              </w:rPr>
              <w:t xml:space="preserve"> y resolución de problemas estructurados.</w:t>
            </w:r>
          </w:p>
          <w:p w:rsidR="00CC4B8F" w:rsidRDefault="006122AC">
            <w:pPr>
              <w:jc w:val="both"/>
              <w:rPr>
                <w:sz w:val="22"/>
                <w:szCs w:val="22"/>
              </w:rPr>
            </w:pPr>
            <w:r>
              <w:rPr>
                <w:sz w:val="22"/>
                <w:szCs w:val="22"/>
              </w:rPr>
              <w:t xml:space="preserve"> </w:t>
            </w:r>
          </w:p>
          <w:p w:rsidR="00CC4B8F" w:rsidRDefault="00CC4B8F">
            <w:pPr>
              <w:jc w:val="both"/>
              <w:rPr>
                <w:lang/>
              </w:rPr>
            </w:pPr>
            <w:r>
              <w:rPr>
                <w:sz w:val="22"/>
                <w:szCs w:val="22"/>
                <w:lang/>
              </w:rPr>
              <w:t xml:space="preserve">Las actividades en el aula se organizan según el esquema tradicional de división en clases teóricas y clases prácticas. Las clases teóricas se sustentan con exposiciones por parte del docente, alentando la intervención de los estudiantes a través de preguntas. Las clases prácticas se organizan en torno a una guía de ejercicios que los alumnos van desarrollando (generalmente trabajando en grupo) , contando con la asistencia de una cantidad suficiente de docentes que les permitan cumplir con las actividades propuestas. </w:t>
            </w:r>
          </w:p>
        </w:tc>
      </w:tr>
      <w:tr w:rsidR="00CC4B8F">
        <w:tblPrEx>
          <w:tblCellMar>
            <w:left w:w="0" w:type="dxa"/>
            <w:right w:w="0" w:type="dxa"/>
          </w:tblCellMar>
        </w:tblPrEx>
        <w:trPr>
          <w:gridAfter w:val="1"/>
          <w:wAfter w:w="20" w:type="dxa"/>
          <w:trHeight w:val="540"/>
        </w:trPr>
        <w:tc>
          <w:tcPr>
            <w:tcW w:w="9465" w:type="dxa"/>
            <w:tcBorders>
              <w:top w:val="single" w:sz="4" w:space="0" w:color="000000"/>
              <w:left w:val="single" w:sz="4" w:space="0" w:color="000000"/>
              <w:bottom w:val="single" w:sz="4" w:space="0" w:color="000000"/>
            </w:tcBorders>
            <w:shd w:val="clear" w:color="auto" w:fill="auto"/>
            <w:vAlign w:val="center"/>
          </w:tcPr>
          <w:p w:rsidR="00CC4B8F" w:rsidRDefault="00CC4B8F">
            <w:pPr>
              <w:pStyle w:val="Ttulo3"/>
              <w:tabs>
                <w:tab w:val="left" w:pos="0"/>
              </w:tabs>
              <w:snapToGrid w:val="0"/>
              <w:rPr>
                <w:sz w:val="22"/>
                <w:szCs w:val="22"/>
                <w:u w:val="single"/>
                <w:lang/>
              </w:rPr>
            </w:pPr>
            <w:r>
              <w:rPr>
                <w:lang/>
              </w:rPr>
              <w:t xml:space="preserve">BIBLIOGRAFÍA </w:t>
            </w:r>
          </w:p>
        </w:tc>
        <w:tc>
          <w:tcPr>
            <w:tcW w:w="71" w:type="dxa"/>
            <w:tcBorders>
              <w:left w:val="single" w:sz="4" w:space="0" w:color="000000"/>
            </w:tcBorders>
            <w:shd w:val="clear" w:color="auto" w:fill="auto"/>
          </w:tcPr>
          <w:p w:rsidR="00CC4B8F" w:rsidRDefault="00CC4B8F">
            <w:pPr>
              <w:snapToGrid w:val="0"/>
              <w:rPr>
                <w:b/>
                <w:sz w:val="22"/>
                <w:szCs w:val="22"/>
                <w:u w:val="single"/>
                <w:lang/>
              </w:rPr>
            </w:pPr>
          </w:p>
        </w:tc>
        <w:tc>
          <w:tcPr>
            <w:tcW w:w="34" w:type="dxa"/>
            <w:shd w:val="clear" w:color="auto" w:fill="auto"/>
          </w:tcPr>
          <w:p w:rsidR="00CC4B8F" w:rsidRDefault="00CC4B8F">
            <w:pPr>
              <w:snapToGrid w:val="0"/>
              <w:rPr>
                <w:b/>
                <w:sz w:val="22"/>
                <w:szCs w:val="22"/>
                <w:u w:val="single"/>
                <w:lang/>
              </w:rPr>
            </w:pPr>
          </w:p>
        </w:tc>
      </w:tr>
      <w:tr w:rsidR="00CC4B8F">
        <w:tblPrEx>
          <w:tblCellMar>
            <w:left w:w="0" w:type="dxa"/>
            <w:right w:w="0" w:type="dxa"/>
          </w:tblCellMar>
        </w:tblPrEx>
        <w:trPr>
          <w:gridAfter w:val="1"/>
          <w:wAfter w:w="20" w:type="dxa"/>
          <w:trHeight w:val="75"/>
        </w:trPr>
        <w:tc>
          <w:tcPr>
            <w:tcW w:w="9465" w:type="dxa"/>
            <w:tcBorders>
              <w:left w:val="single" w:sz="4" w:space="0" w:color="000000"/>
              <w:bottom w:val="single" w:sz="4" w:space="0" w:color="000000"/>
            </w:tcBorders>
            <w:shd w:val="clear" w:color="auto" w:fill="auto"/>
          </w:tcPr>
          <w:p w:rsidR="00CC4B8F" w:rsidRDefault="00CC4B8F">
            <w:pPr>
              <w:snapToGrid w:val="0"/>
              <w:jc w:val="both"/>
              <w:rPr>
                <w:b/>
                <w:sz w:val="22"/>
                <w:szCs w:val="22"/>
                <w:u w:val="single"/>
                <w:lang/>
              </w:rPr>
            </w:pPr>
          </w:p>
          <w:p w:rsidR="00CC4B8F" w:rsidRDefault="00CC4B8F">
            <w:pPr>
              <w:jc w:val="both"/>
              <w:rPr>
                <w:b/>
                <w:sz w:val="22"/>
                <w:szCs w:val="22"/>
                <w:u w:val="single"/>
                <w:lang/>
              </w:rPr>
            </w:pPr>
            <w:r>
              <w:rPr>
                <w:b/>
                <w:sz w:val="22"/>
                <w:szCs w:val="22"/>
                <w:u w:val="single"/>
                <w:lang/>
              </w:rPr>
              <w:t>BIBLIOGRAFÍA BÁSICA</w:t>
            </w:r>
          </w:p>
          <w:p w:rsidR="00CC4B8F" w:rsidRDefault="00CC4B8F">
            <w:pPr>
              <w:jc w:val="both"/>
              <w:rPr>
                <w:b/>
                <w:sz w:val="22"/>
                <w:szCs w:val="22"/>
                <w:u w:val="single"/>
                <w:lang/>
              </w:rPr>
            </w:pPr>
          </w:p>
          <w:p w:rsidR="00CC4B8F" w:rsidRDefault="00CC4B8F">
            <w:pPr>
              <w:numPr>
                <w:ilvl w:val="0"/>
                <w:numId w:val="5"/>
              </w:numPr>
              <w:tabs>
                <w:tab w:val="left" w:pos="360"/>
              </w:tabs>
              <w:jc w:val="both"/>
              <w:rPr>
                <w:sz w:val="22"/>
                <w:szCs w:val="22"/>
                <w:lang w:val="es-ES"/>
              </w:rPr>
            </w:pPr>
            <w:r>
              <w:rPr>
                <w:sz w:val="22"/>
                <w:szCs w:val="22"/>
                <w:lang w:val="es-ES"/>
              </w:rPr>
              <w:t>Apunte de Cátedra: Lenguajes y Áutomatas, Alejandro Tiraboschi y  Pedro Sánchez Terraf.</w:t>
            </w:r>
          </w:p>
          <w:p w:rsidR="00CC4B8F" w:rsidRDefault="00CC4B8F">
            <w:pPr>
              <w:numPr>
                <w:ilvl w:val="0"/>
                <w:numId w:val="5"/>
              </w:numPr>
              <w:tabs>
                <w:tab w:val="left" w:pos="360"/>
              </w:tabs>
              <w:jc w:val="both"/>
              <w:rPr>
                <w:sz w:val="22"/>
                <w:szCs w:val="22"/>
                <w:lang w:val="es-ES"/>
              </w:rPr>
            </w:pPr>
            <w:r>
              <w:rPr>
                <w:sz w:val="22"/>
                <w:szCs w:val="22"/>
                <w:lang w:val="es-ES"/>
              </w:rPr>
              <w:t>Apunte de Cátedra: Lógica, Pedro Sanchez Terraf.</w:t>
            </w:r>
          </w:p>
          <w:p w:rsidR="00CC4B8F" w:rsidRDefault="00CC4B8F">
            <w:pPr>
              <w:numPr>
                <w:ilvl w:val="0"/>
                <w:numId w:val="5"/>
              </w:numPr>
              <w:tabs>
                <w:tab w:val="left" w:pos="360"/>
              </w:tabs>
              <w:jc w:val="both"/>
              <w:rPr>
                <w:b/>
                <w:sz w:val="22"/>
                <w:szCs w:val="22"/>
                <w:u w:val="single"/>
                <w:lang/>
              </w:rPr>
            </w:pPr>
            <w:r>
              <w:rPr>
                <w:sz w:val="22"/>
                <w:szCs w:val="22"/>
                <w:lang w:val="es-ES"/>
              </w:rPr>
              <w:t>Apunte de Cátedra: Reticulados y Álgebras de Boole, Alejandro Tiraboschi  y Héctor Gramaglia.</w:t>
            </w:r>
          </w:p>
          <w:p w:rsidR="00CC4B8F" w:rsidRDefault="00CC4B8F">
            <w:pPr>
              <w:ind w:left="708" w:hanging="708"/>
              <w:jc w:val="both"/>
              <w:rPr>
                <w:b/>
                <w:sz w:val="22"/>
                <w:szCs w:val="22"/>
                <w:u w:val="single"/>
                <w:lang/>
              </w:rPr>
            </w:pPr>
          </w:p>
          <w:p w:rsidR="00CC4B8F" w:rsidRDefault="00CC4B8F">
            <w:pPr>
              <w:ind w:left="708" w:hanging="708"/>
              <w:jc w:val="both"/>
              <w:rPr>
                <w:b/>
                <w:sz w:val="22"/>
                <w:szCs w:val="22"/>
                <w:u w:val="single"/>
                <w:lang/>
              </w:rPr>
            </w:pPr>
            <w:r>
              <w:rPr>
                <w:b/>
                <w:sz w:val="22"/>
                <w:szCs w:val="22"/>
                <w:u w:val="single"/>
                <w:lang/>
              </w:rPr>
              <w:t>BIBLIOGRAFÍA COMPLEMENTARIA</w:t>
            </w:r>
          </w:p>
          <w:p w:rsidR="00CC4B8F" w:rsidRDefault="00CC4B8F">
            <w:pPr>
              <w:ind w:left="708" w:hanging="708"/>
              <w:jc w:val="both"/>
              <w:rPr>
                <w:b/>
                <w:sz w:val="22"/>
                <w:szCs w:val="22"/>
                <w:u w:val="single"/>
                <w:lang/>
              </w:rPr>
            </w:pPr>
          </w:p>
          <w:p w:rsidR="00CC4B8F" w:rsidRDefault="00CC4B8F">
            <w:pPr>
              <w:numPr>
                <w:ilvl w:val="0"/>
                <w:numId w:val="4"/>
              </w:numPr>
              <w:tabs>
                <w:tab w:val="left" w:pos="360"/>
              </w:tabs>
              <w:suppressAutoHyphens w:val="0"/>
              <w:jc w:val="both"/>
              <w:rPr>
                <w:sz w:val="22"/>
                <w:szCs w:val="22"/>
                <w:lang w:val="en-US"/>
              </w:rPr>
            </w:pPr>
            <w:r>
              <w:rPr>
                <w:sz w:val="22"/>
                <w:szCs w:val="22"/>
                <w:lang w:val="en-US"/>
              </w:rPr>
              <w:t>B. Davey, H. Priestley, Introduction to Lattices and Order, Cambridge University Press.</w:t>
            </w:r>
          </w:p>
          <w:p w:rsidR="00CC4B8F" w:rsidRDefault="00CC4B8F">
            <w:pPr>
              <w:numPr>
                <w:ilvl w:val="0"/>
                <w:numId w:val="4"/>
              </w:numPr>
              <w:tabs>
                <w:tab w:val="left" w:pos="360"/>
              </w:tabs>
              <w:suppressAutoHyphens w:val="0"/>
              <w:jc w:val="both"/>
              <w:rPr>
                <w:sz w:val="22"/>
                <w:szCs w:val="22"/>
                <w:lang w:val="en-US"/>
              </w:rPr>
            </w:pPr>
            <w:r>
              <w:rPr>
                <w:sz w:val="22"/>
                <w:szCs w:val="22"/>
                <w:lang w:val="en-US"/>
              </w:rPr>
              <w:t xml:space="preserve">Jeffrey Ullman; John Hopcroft; Rajeev Motwani. </w:t>
            </w:r>
            <w:r>
              <w:rPr>
                <w:sz w:val="22"/>
                <w:szCs w:val="22"/>
                <w:lang w:val="es-ES"/>
              </w:rPr>
              <w:t xml:space="preserve">''Introducción a la teoría de autómatas, lenguajes y </w:t>
            </w:r>
            <w:r>
              <w:rPr>
                <w:sz w:val="22"/>
                <w:szCs w:val="22"/>
                <w:lang w:val="es-ES"/>
              </w:rPr>
              <w:lastRenderedPageBreak/>
              <w:t xml:space="preserve">computación''. </w:t>
            </w:r>
            <w:r>
              <w:rPr>
                <w:sz w:val="22"/>
                <w:szCs w:val="22"/>
                <w:lang w:val="en-US"/>
              </w:rPr>
              <w:t>Prentice Hall, 2002.</w:t>
            </w:r>
          </w:p>
          <w:p w:rsidR="00CC4B8F" w:rsidRDefault="00CC4B8F">
            <w:pPr>
              <w:numPr>
                <w:ilvl w:val="0"/>
                <w:numId w:val="4"/>
              </w:numPr>
              <w:tabs>
                <w:tab w:val="left" w:pos="360"/>
              </w:tabs>
              <w:suppressAutoHyphens w:val="0"/>
              <w:jc w:val="both"/>
            </w:pPr>
            <w:r>
              <w:rPr>
                <w:sz w:val="22"/>
                <w:szCs w:val="22"/>
                <w:lang w:val="en-US"/>
              </w:rPr>
              <w:t>D. Van Dalen, Logic and Structure. Springer Verlag, Berlin</w:t>
            </w:r>
          </w:p>
        </w:tc>
        <w:tc>
          <w:tcPr>
            <w:tcW w:w="71" w:type="dxa"/>
            <w:tcBorders>
              <w:left w:val="single" w:sz="4" w:space="0" w:color="000000"/>
            </w:tcBorders>
            <w:shd w:val="clear" w:color="auto" w:fill="auto"/>
          </w:tcPr>
          <w:p w:rsidR="00CC4B8F" w:rsidRDefault="00CC4B8F">
            <w:pPr>
              <w:snapToGrid w:val="0"/>
            </w:pPr>
          </w:p>
          <w:p w:rsidR="00CC4B8F" w:rsidRDefault="00CC4B8F">
            <w:pPr>
              <w:snapToGrid w:val="0"/>
            </w:pPr>
          </w:p>
        </w:tc>
        <w:tc>
          <w:tcPr>
            <w:tcW w:w="34" w:type="dxa"/>
            <w:shd w:val="clear" w:color="auto" w:fill="auto"/>
          </w:tcPr>
          <w:p w:rsidR="00CC4B8F" w:rsidRDefault="00CC4B8F">
            <w:pPr>
              <w:snapToGrid w:val="0"/>
            </w:pPr>
          </w:p>
        </w:tc>
      </w:tr>
    </w:tbl>
    <w:p w:rsidR="00CC4B8F" w:rsidRDefault="00CC4B8F"/>
    <w:p w:rsidR="00CC4B8F" w:rsidRDefault="00CC4B8F">
      <w:pPr>
        <w:rPr>
          <w:lang w:val="en-US"/>
        </w:rPr>
      </w:pPr>
    </w:p>
    <w:tbl>
      <w:tblPr>
        <w:tblW w:w="0" w:type="auto"/>
        <w:tblInd w:w="70" w:type="dxa"/>
        <w:tblLayout w:type="fixed"/>
        <w:tblCellMar>
          <w:left w:w="70" w:type="dxa"/>
          <w:right w:w="70" w:type="dxa"/>
        </w:tblCellMar>
        <w:tblLook w:val="0000"/>
      </w:tblPr>
      <w:tblGrid>
        <w:gridCol w:w="9616"/>
      </w:tblGrid>
      <w:tr w:rsidR="00CC4B8F">
        <w:trPr>
          <w:trHeight w:val="327"/>
        </w:trPr>
        <w:tc>
          <w:tcPr>
            <w:tcW w:w="96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CC4B8F" w:rsidRDefault="00CC4B8F">
            <w:pPr>
              <w:snapToGrid w:val="0"/>
              <w:rPr>
                <w:b/>
                <w:sz w:val="22"/>
                <w:u w:val="single"/>
                <w:lang/>
              </w:rPr>
            </w:pPr>
            <w:r>
              <w:rPr>
                <w:b/>
                <w:sz w:val="22"/>
                <w:lang/>
              </w:rPr>
              <w:t>EVALUACIÓN</w:t>
            </w:r>
          </w:p>
        </w:tc>
      </w:tr>
      <w:tr w:rsidR="00CC4B8F">
        <w:trPr>
          <w:trHeight w:val="4820"/>
        </w:trPr>
        <w:tc>
          <w:tcPr>
            <w:tcW w:w="9616" w:type="dxa"/>
            <w:tcBorders>
              <w:left w:val="single" w:sz="4" w:space="0" w:color="000000"/>
              <w:bottom w:val="single" w:sz="4" w:space="0" w:color="000000"/>
              <w:right w:val="single" w:sz="4" w:space="0" w:color="000000"/>
            </w:tcBorders>
            <w:shd w:val="clear" w:color="auto" w:fill="auto"/>
          </w:tcPr>
          <w:p w:rsidR="00CC4B8F" w:rsidRDefault="00CC4B8F">
            <w:pPr>
              <w:snapToGrid w:val="0"/>
              <w:jc w:val="both"/>
              <w:rPr>
                <w:b/>
                <w:sz w:val="22"/>
                <w:u w:val="single"/>
                <w:lang/>
              </w:rPr>
            </w:pPr>
          </w:p>
          <w:p w:rsidR="00CC4B8F" w:rsidRDefault="00CC4B8F">
            <w:pPr>
              <w:jc w:val="both"/>
              <w:rPr>
                <w:sz w:val="22"/>
                <w:lang/>
              </w:rPr>
            </w:pPr>
            <w:r>
              <w:rPr>
                <w:b/>
                <w:sz w:val="22"/>
                <w:u w:val="single"/>
                <w:lang/>
              </w:rPr>
              <w:t>FORMAS DE EVALUACIÓN</w:t>
            </w:r>
          </w:p>
          <w:p w:rsidR="00CC4B8F" w:rsidRDefault="00CC4B8F">
            <w:pPr>
              <w:jc w:val="both"/>
              <w:rPr>
                <w:sz w:val="22"/>
                <w:lang/>
              </w:rPr>
            </w:pPr>
          </w:p>
          <w:p w:rsidR="00CC4B8F" w:rsidRDefault="00CC4B8F">
            <w:pPr>
              <w:numPr>
                <w:ilvl w:val="0"/>
                <w:numId w:val="4"/>
              </w:numPr>
              <w:tabs>
                <w:tab w:val="left" w:pos="360"/>
              </w:tabs>
              <w:suppressAutoHyphens w:val="0"/>
              <w:jc w:val="both"/>
              <w:rPr>
                <w:sz w:val="22"/>
                <w:lang/>
              </w:rPr>
            </w:pPr>
            <w:r>
              <w:rPr>
                <w:sz w:val="22"/>
                <w:lang/>
              </w:rPr>
              <w:t>Se tomarán 2 (dos) exámenes parciales, con sus respectivos recuperatorios en la última semana del cursado. Las evaluaciones parciales serán sobre contenidos teórico-prácticos.</w:t>
            </w:r>
          </w:p>
          <w:p w:rsidR="00CC4B8F" w:rsidRDefault="00DB05CC">
            <w:pPr>
              <w:numPr>
                <w:ilvl w:val="0"/>
                <w:numId w:val="4"/>
              </w:numPr>
              <w:tabs>
                <w:tab w:val="left" w:pos="360"/>
              </w:tabs>
              <w:suppressAutoHyphens w:val="0"/>
              <w:jc w:val="both"/>
              <w:rPr>
                <w:sz w:val="22"/>
                <w:lang/>
              </w:rPr>
            </w:pPr>
            <w:r>
              <w:rPr>
                <w:sz w:val="22"/>
                <w:lang/>
              </w:rPr>
              <w:t>S</w:t>
            </w:r>
            <w:r w:rsidR="00CC4B8F">
              <w:rPr>
                <w:sz w:val="22"/>
                <w:lang/>
              </w:rPr>
              <w:t>i la cátedra lo considera necesario se podrán incorporar otras instancias de evaluación formativa.</w:t>
            </w:r>
          </w:p>
          <w:p w:rsidR="00CC4B8F" w:rsidRDefault="00CC4B8F">
            <w:pPr>
              <w:numPr>
                <w:ilvl w:val="0"/>
                <w:numId w:val="3"/>
              </w:numPr>
              <w:tabs>
                <w:tab w:val="left" w:pos="360"/>
              </w:tabs>
              <w:suppressAutoHyphens w:val="0"/>
              <w:ind w:left="360"/>
              <w:jc w:val="both"/>
              <w:rPr>
                <w:sz w:val="22"/>
                <w:lang/>
              </w:rPr>
            </w:pPr>
            <w:r>
              <w:rPr>
                <w:sz w:val="22"/>
                <w:lang/>
              </w:rPr>
              <w:t xml:space="preserve">La materia contempla un  régimen de promoción. </w:t>
            </w:r>
          </w:p>
          <w:p w:rsidR="00CC4B8F" w:rsidRDefault="00CC4B8F">
            <w:pPr>
              <w:numPr>
                <w:ilvl w:val="0"/>
                <w:numId w:val="3"/>
              </w:numPr>
              <w:tabs>
                <w:tab w:val="left" w:pos="360"/>
              </w:tabs>
              <w:suppressAutoHyphens w:val="0"/>
              <w:ind w:left="360"/>
              <w:jc w:val="both"/>
              <w:rPr>
                <w:b/>
                <w:sz w:val="22"/>
                <w:u w:val="single"/>
                <w:lang/>
              </w:rPr>
            </w:pPr>
            <w:r>
              <w:rPr>
                <w:sz w:val="22"/>
                <w:lang/>
              </w:rPr>
              <w:t xml:space="preserve">La aprobación de la materia se dará por promoción, o mediante la aprobación de un examen final en las fechas destinadas a exámenes en el calendario académico. El examen final contará de una evaluación escrita sobre contenidos teórico-prácticos, complementada con una instancia oral si el tribunal lo considera necesario. </w:t>
            </w:r>
          </w:p>
          <w:p w:rsidR="00CC4B8F" w:rsidRDefault="00CC4B8F">
            <w:pPr>
              <w:jc w:val="both"/>
              <w:rPr>
                <w:b/>
                <w:sz w:val="22"/>
                <w:u w:val="single"/>
                <w:lang/>
              </w:rPr>
            </w:pPr>
          </w:p>
          <w:p w:rsidR="00CC4B8F" w:rsidRDefault="00CC4B8F">
            <w:pPr>
              <w:jc w:val="both"/>
              <w:rPr>
                <w:b/>
                <w:sz w:val="22"/>
                <w:u w:val="single"/>
                <w:lang/>
              </w:rPr>
            </w:pPr>
            <w:r>
              <w:rPr>
                <w:b/>
                <w:sz w:val="22"/>
                <w:u w:val="single"/>
                <w:lang/>
              </w:rPr>
              <w:t>CONDICIONES PARA OBTENER LA REGULARIDAD</w:t>
            </w:r>
          </w:p>
          <w:p w:rsidR="00CC4B8F" w:rsidRDefault="00CC4B8F">
            <w:pPr>
              <w:jc w:val="both"/>
              <w:rPr>
                <w:b/>
                <w:sz w:val="22"/>
                <w:u w:val="single"/>
                <w:lang/>
              </w:rPr>
            </w:pPr>
          </w:p>
          <w:p w:rsidR="00CC4B8F" w:rsidRDefault="00CC4B8F">
            <w:pPr>
              <w:numPr>
                <w:ilvl w:val="0"/>
                <w:numId w:val="2"/>
              </w:numPr>
              <w:tabs>
                <w:tab w:val="left" w:pos="810"/>
              </w:tabs>
              <w:suppressAutoHyphens w:val="0"/>
              <w:jc w:val="both"/>
              <w:rPr>
                <w:sz w:val="22"/>
                <w:lang/>
              </w:rPr>
            </w:pPr>
            <w:r>
              <w:rPr>
                <w:sz w:val="22"/>
                <w:lang/>
              </w:rPr>
              <w:t xml:space="preserve">Aprobación de 2 exámenes parciales, con calificación mayor o igual a 4.  Se tomará una instancia de recuperación. </w:t>
            </w:r>
          </w:p>
          <w:p w:rsidR="00CC4B8F" w:rsidRDefault="00CC4B8F">
            <w:pPr>
              <w:jc w:val="both"/>
              <w:rPr>
                <w:sz w:val="22"/>
                <w:lang/>
              </w:rPr>
            </w:pPr>
          </w:p>
          <w:p w:rsidR="00CC4B8F" w:rsidRDefault="00CC4B8F">
            <w:pPr>
              <w:jc w:val="both"/>
              <w:rPr>
                <w:sz w:val="22"/>
                <w:lang/>
              </w:rPr>
            </w:pPr>
            <w:r>
              <w:rPr>
                <w:b/>
                <w:sz w:val="22"/>
                <w:u w:val="single"/>
                <w:lang/>
              </w:rPr>
              <w:t>CONDICIONES PARA OBTENER LA PROMOCIÓN</w:t>
            </w:r>
          </w:p>
          <w:p w:rsidR="00CC4B8F" w:rsidRDefault="00CC4B8F">
            <w:pPr>
              <w:jc w:val="both"/>
              <w:rPr>
                <w:sz w:val="22"/>
                <w:lang/>
              </w:rPr>
            </w:pPr>
          </w:p>
          <w:p w:rsidR="00CC4B8F" w:rsidRDefault="00CC4B8F">
            <w:pPr>
              <w:numPr>
                <w:ilvl w:val="0"/>
                <w:numId w:val="2"/>
              </w:numPr>
              <w:tabs>
                <w:tab w:val="left" w:pos="810"/>
              </w:tabs>
              <w:suppressAutoHyphens w:val="0"/>
              <w:jc w:val="both"/>
              <w:rPr>
                <w:sz w:val="22"/>
                <w:lang/>
              </w:rPr>
            </w:pPr>
            <w:r>
              <w:rPr>
                <w:sz w:val="22"/>
                <w:lang/>
              </w:rPr>
              <w:t>Aprobación de los 2 exámenes parciales, con una calificación mayor o igual a 6 y promedio mínimo 7.</w:t>
            </w:r>
          </w:p>
          <w:p w:rsidR="00CC4B8F" w:rsidRDefault="00CC4B8F">
            <w:pPr>
              <w:numPr>
                <w:ilvl w:val="0"/>
                <w:numId w:val="2"/>
              </w:numPr>
              <w:tabs>
                <w:tab w:val="left" w:pos="810"/>
              </w:tabs>
              <w:suppressAutoHyphens w:val="0"/>
              <w:jc w:val="both"/>
              <w:rPr>
                <w:sz w:val="22"/>
                <w:lang/>
              </w:rPr>
            </w:pPr>
            <w:r>
              <w:rPr>
                <w:sz w:val="22"/>
                <w:lang/>
              </w:rPr>
              <w:t xml:space="preserve">Aprobar </w:t>
            </w:r>
            <w:r w:rsidR="00DB05CC">
              <w:rPr>
                <w:sz w:val="22"/>
                <w:lang/>
              </w:rPr>
              <w:t>un coloquio final, que se tomará durante la última semana de clase</w:t>
            </w:r>
            <w:r>
              <w:rPr>
                <w:sz w:val="22"/>
                <w:lang/>
              </w:rPr>
              <w:t>.</w:t>
            </w:r>
          </w:p>
          <w:p w:rsidR="00CC4B8F" w:rsidRDefault="00CC4B8F">
            <w:pPr>
              <w:tabs>
                <w:tab w:val="left" w:pos="3240"/>
              </w:tabs>
              <w:suppressAutoHyphens w:val="0"/>
              <w:ind w:left="810"/>
              <w:jc w:val="both"/>
            </w:pPr>
            <w:r>
              <w:rPr>
                <w:sz w:val="22"/>
                <w:lang/>
              </w:rPr>
              <w:t xml:space="preserve"> </w:t>
            </w:r>
          </w:p>
        </w:tc>
      </w:tr>
    </w:tbl>
    <w:p w:rsidR="00CC4B8F" w:rsidRDefault="00CC4B8F"/>
    <w:p w:rsidR="00CC4B8F" w:rsidRDefault="00CC4B8F"/>
    <w:p w:rsidR="00CC4B8F" w:rsidRDefault="00CC4B8F"/>
    <w:p w:rsidR="00CC4B8F" w:rsidRDefault="00CC4B8F"/>
    <w:p w:rsidR="00CC4B8F" w:rsidRDefault="00CC4B8F"/>
    <w:sectPr w:rsidR="00CC4B8F">
      <w:headerReference w:type="default" r:id="rId7"/>
      <w:footerReference w:type="even" r:id="rId8"/>
      <w:footerReference w:type="default" r:id="rId9"/>
      <w:headerReference w:type="first" r:id="rId10"/>
      <w:footerReference w:type="first" r:id="rId11"/>
      <w:pgSz w:w="11906" w:h="16838"/>
      <w:pgMar w:top="1134" w:right="1134" w:bottom="1247" w:left="1701" w:header="851" w:footer="9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A56" w:rsidRDefault="00871A56">
      <w:r>
        <w:separator/>
      </w:r>
    </w:p>
  </w:endnote>
  <w:endnote w:type="continuationSeparator" w:id="1">
    <w:p w:rsidR="00871A56" w:rsidRDefault="00871A5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Bitstream Vera Sans">
    <w:charset w:val="00"/>
    <w:family w:val="auto"/>
    <w:pitch w:val="variable"/>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B8F" w:rsidRDefault="00CC4B8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B8F" w:rsidRDefault="00CC4B8F">
    <w:pPr>
      <w:pStyle w:val="Piedepgina"/>
      <w:tabs>
        <w:tab w:val="clear" w:pos="4419"/>
        <w:tab w:val="clear" w:pos="8838"/>
        <w:tab w:val="center" w:pos="1985"/>
      </w:tabs>
      <w:rPr>
        <w:sz w:val="20"/>
        <w:lang w:val="es-ES_tradn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B8F" w:rsidRDefault="00CC4B8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A56" w:rsidRDefault="00871A56">
      <w:r>
        <w:separator/>
      </w:r>
    </w:p>
  </w:footnote>
  <w:footnote w:type="continuationSeparator" w:id="1">
    <w:p w:rsidR="00871A56" w:rsidRDefault="00871A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B8F" w:rsidRDefault="00CB70A4">
    <w:pPr>
      <w:pStyle w:val="Encabezado"/>
      <w:tabs>
        <w:tab w:val="clear" w:pos="4419"/>
        <w:tab w:val="clear" w:pos="8838"/>
        <w:tab w:val="center" w:pos="851"/>
        <w:tab w:val="right" w:pos="4253"/>
      </w:tabs>
      <w:rPr>
        <w:lang w:val="es-ES_tradnl"/>
      </w:rPr>
    </w:pPr>
    <w:r>
      <w:rPr>
        <w:noProof/>
        <w:lang w:eastAsia="es-AR"/>
      </w:rPr>
      <w:drawing>
        <wp:anchor distT="0" distB="0" distL="114935" distR="114935" simplePos="0" relativeHeight="251658240" behindDoc="1" locked="0" layoutInCell="1" allowOverlap="1">
          <wp:simplePos x="0" y="0"/>
          <wp:positionH relativeFrom="column">
            <wp:posOffset>-69850</wp:posOffset>
          </wp:positionH>
          <wp:positionV relativeFrom="paragraph">
            <wp:posOffset>-21590</wp:posOffset>
          </wp:positionV>
          <wp:extent cx="617220" cy="772160"/>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17220" cy="772160"/>
                  </a:xfrm>
                  <a:prstGeom prst="rect">
                    <a:avLst/>
                  </a:prstGeom>
                  <a:solidFill>
                    <a:srgbClr val="FFFFFF"/>
                  </a:solidFill>
                  <a:ln w="9525">
                    <a:noFill/>
                    <a:miter lim="800000"/>
                    <a:headEnd/>
                    <a:tailEnd/>
                  </a:ln>
                </pic:spPr>
              </pic:pic>
            </a:graphicData>
          </a:graphic>
        </wp:anchor>
      </w:drawing>
    </w:r>
    <w:r w:rsidR="00CC4B8F">
      <w:rPr>
        <w:lang w:val="es-ES_tradnl"/>
      </w:rPr>
      <w:tab/>
    </w:r>
  </w:p>
  <w:p w:rsidR="00CC4B8F" w:rsidRDefault="00CC4B8F">
    <w:pPr>
      <w:pStyle w:val="Encabezado"/>
      <w:tabs>
        <w:tab w:val="clear" w:pos="4419"/>
        <w:tab w:val="clear" w:pos="8838"/>
        <w:tab w:val="center" w:pos="851"/>
        <w:tab w:val="right" w:pos="4253"/>
      </w:tabs>
      <w:rPr>
        <w:lang w:val="es-ES_tradnl"/>
      </w:rPr>
    </w:pPr>
    <w:r>
      <w:rPr>
        <w:lang w:val="es-ES_tradnl"/>
      </w:rPr>
      <w:tab/>
    </w:r>
  </w:p>
  <w:p w:rsidR="00CC4B8F" w:rsidRDefault="00CC4B8F">
    <w:pPr>
      <w:pStyle w:val="Encabezado"/>
      <w:tabs>
        <w:tab w:val="clear" w:pos="4419"/>
        <w:tab w:val="clear" w:pos="8838"/>
        <w:tab w:val="left" w:pos="4395"/>
        <w:tab w:val="center" w:pos="7821"/>
        <w:tab w:val="right" w:pos="12240"/>
      </w:tabs>
      <w:spacing w:line="312" w:lineRule="auto"/>
      <w:ind w:left="567"/>
      <w:rPr>
        <w:b/>
        <w:lang w:val="es-ES_tradnl"/>
      </w:rPr>
    </w:pPr>
    <w:r>
      <w:rPr>
        <w:lang w:val="es-ES_tradnl"/>
      </w:rPr>
      <w:tab/>
      <w:t>Universidad Nacional de Córdoba</w:t>
    </w:r>
  </w:p>
  <w:p w:rsidR="00CC4B8F" w:rsidRDefault="00CC4B8F">
    <w:pPr>
      <w:pStyle w:val="Encabezado"/>
      <w:tabs>
        <w:tab w:val="clear" w:pos="4419"/>
        <w:tab w:val="clear" w:pos="8838"/>
        <w:tab w:val="left" w:pos="4395"/>
        <w:tab w:val="center" w:pos="7821"/>
        <w:tab w:val="right" w:pos="12240"/>
      </w:tabs>
      <w:spacing w:line="312" w:lineRule="auto"/>
      <w:ind w:left="567"/>
    </w:pPr>
    <w:r>
      <w:rPr>
        <w:b/>
        <w:lang w:val="es-ES_tradnl"/>
      </w:rPr>
      <w:tab/>
    </w:r>
    <w:r>
      <w:rPr>
        <w:sz w:val="20"/>
        <w:lang w:val="es-ES_tradnl"/>
      </w:rPr>
      <w:t xml:space="preserve">FACULTAD DE MATEMÁTICA ASTRONOMÍA Y </w:t>
    </w:r>
    <w:r>
      <w:rPr>
        <w:sz w:val="20"/>
        <w:lang w:val="es-ES_tradnl"/>
      </w:rPr>
      <w:tab/>
      <w:t>FÍSICA</w:t>
    </w:r>
    <w:r>
      <w:rPr>
        <w:sz w:val="22"/>
        <w:lang w:val="es-ES_tradnl"/>
      </w:rPr>
      <w:tab/>
      <w:t xml:space="preserve">     </w:t>
    </w:r>
    <w:r>
      <w:rPr>
        <w:sz w:val="22"/>
        <w:lang w:val="es-ES_tradnl"/>
      </w:rPr>
      <w:tab/>
      <w:t xml:space="preserve">     </w:t>
    </w:r>
  </w:p>
  <w:p w:rsidR="00CC4B8F" w:rsidRDefault="00CC4B8F">
    <w:pPr>
      <w:pStyle w:val="Encabezado"/>
      <w:tabs>
        <w:tab w:val="clear" w:pos="4419"/>
        <w:tab w:val="clear" w:pos="8838"/>
        <w:tab w:val="center" w:pos="1134"/>
        <w:tab w:val="right" w:pos="4253"/>
      </w:tabs>
      <w:jc w:val="right"/>
      <w:rPr>
        <w:b/>
        <w:sz w:val="20"/>
        <w:lang w:val="es-ES_tradnl"/>
      </w:rPr>
    </w:pPr>
    <w:r>
      <w:pict>
        <v:line id="_x0000_s1025" style="position:absolute;left:0;text-align:left;z-index:-251659264" from=".55pt,-.35pt" to="454.15pt,-.35pt" strokeweight=".26mm">
          <v:stroke joinstyle="miter" endcap="squar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B8F" w:rsidRDefault="00CC4B8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810"/>
        </w:tabs>
        <w:ind w:left="810" w:hanging="360"/>
      </w:pPr>
      <w:rPr>
        <w:rFonts w:ascii="Wingdings" w:hAnsi="Wingdings"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fillcolor="none [4]" strokecolor="none [1]" shadowcolor="none [2]"/>
    </o: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F61BB6"/>
    <w:rsid w:val="0056332E"/>
    <w:rsid w:val="006122AC"/>
    <w:rsid w:val="00674938"/>
    <w:rsid w:val="00871A56"/>
    <w:rsid w:val="0095170A"/>
    <w:rsid w:val="00CB0E1A"/>
    <w:rsid w:val="00CB70A4"/>
    <w:rsid w:val="00CC4B8F"/>
    <w:rsid w:val="00DB05CC"/>
    <w:rsid w:val="00F61BB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lang/>
    </w:rPr>
  </w:style>
  <w:style w:type="paragraph" w:styleId="Ttulo1">
    <w:name w:val="heading 1"/>
    <w:basedOn w:val="Normal"/>
    <w:next w:val="Normal"/>
    <w:qFormat/>
    <w:pPr>
      <w:keepNext/>
      <w:numPr>
        <w:numId w:val="1"/>
      </w:numPr>
      <w:jc w:val="right"/>
      <w:outlineLvl w:val="0"/>
    </w:pPr>
    <w:rPr>
      <w:b/>
      <w:u w:val="single"/>
      <w:lang w:val="es-MX"/>
    </w:rPr>
  </w:style>
  <w:style w:type="paragraph" w:styleId="Ttulo2">
    <w:name w:val="heading 2"/>
    <w:basedOn w:val="Normal"/>
    <w:next w:val="Normal"/>
    <w:qFormat/>
    <w:pPr>
      <w:keepNext/>
      <w:numPr>
        <w:ilvl w:val="1"/>
        <w:numId w:val="1"/>
      </w:numPr>
      <w:jc w:val="both"/>
      <w:outlineLvl w:val="1"/>
    </w:pPr>
    <w:rPr>
      <w:b/>
      <w:lang w:val="es-MX"/>
    </w:rPr>
  </w:style>
  <w:style w:type="paragraph" w:styleId="Ttulo3">
    <w:name w:val="heading 3"/>
    <w:basedOn w:val="Normal"/>
    <w:next w:val="Normal"/>
    <w:qFormat/>
    <w:pPr>
      <w:keepNext/>
      <w:numPr>
        <w:ilvl w:val="2"/>
        <w:numId w:val="1"/>
      </w:numPr>
      <w:jc w:val="center"/>
      <w:outlineLvl w:val="2"/>
    </w:pPr>
    <w:rPr>
      <w:b/>
      <w:lang w:val="es-MX"/>
    </w:rPr>
  </w:style>
  <w:style w:type="paragraph" w:styleId="Ttulo4">
    <w:name w:val="heading 4"/>
    <w:basedOn w:val="Normal"/>
    <w:next w:val="Normal"/>
    <w:qFormat/>
    <w:pPr>
      <w:keepNext/>
      <w:numPr>
        <w:ilvl w:val="3"/>
        <w:numId w:val="1"/>
      </w:numPr>
      <w:outlineLvl w:val="3"/>
    </w:pPr>
    <w:rPr>
      <w:b/>
      <w:lang w:val="es-MX"/>
    </w:rPr>
  </w:style>
  <w:style w:type="paragraph" w:styleId="Ttulo5">
    <w:name w:val="heading 5"/>
    <w:basedOn w:val="Normal"/>
    <w:next w:val="Normal"/>
    <w:qFormat/>
    <w:pPr>
      <w:keepNext/>
      <w:numPr>
        <w:ilvl w:val="4"/>
        <w:numId w:val="1"/>
      </w:numPr>
      <w:jc w:val="both"/>
      <w:outlineLvl w:val="4"/>
    </w:pPr>
    <w:rPr>
      <w:b/>
      <w:lang w:val="es-MX"/>
    </w:rPr>
  </w:style>
  <w:style w:type="paragraph" w:styleId="Ttulo6">
    <w:name w:val="heading 6"/>
    <w:basedOn w:val="Normal"/>
    <w:next w:val="Normal"/>
    <w:qFormat/>
    <w:pPr>
      <w:keepNext/>
      <w:numPr>
        <w:ilvl w:val="5"/>
        <w:numId w:val="1"/>
      </w:numPr>
      <w:jc w:val="center"/>
      <w:outlineLvl w:val="5"/>
    </w:pPr>
    <w:rPr>
      <w:b/>
      <w:u w:val="single"/>
    </w:rPr>
  </w:style>
  <w:style w:type="paragraph" w:styleId="Ttulo7">
    <w:name w:val="heading 7"/>
    <w:basedOn w:val="Normal"/>
    <w:next w:val="Normal"/>
    <w:qFormat/>
    <w:pPr>
      <w:keepNext/>
      <w:numPr>
        <w:ilvl w:val="6"/>
        <w:numId w:val="1"/>
      </w:numPr>
      <w:jc w:val="both"/>
      <w:outlineLvl w:val="6"/>
    </w:pPr>
    <w:rPr>
      <w:u w:val="single"/>
      <w:lang w:val="es-MX"/>
    </w:rPr>
  </w:style>
  <w:style w:type="paragraph" w:styleId="Ttulo8">
    <w:name w:val="heading 8"/>
    <w:basedOn w:val="Normal"/>
    <w:next w:val="Normal"/>
    <w:qFormat/>
    <w:pPr>
      <w:keepNext/>
      <w:numPr>
        <w:ilvl w:val="7"/>
        <w:numId w:val="1"/>
      </w:numPr>
      <w:jc w:val="both"/>
      <w:outlineLvl w:val="7"/>
    </w:pPr>
    <w:rPr>
      <w:b/>
      <w:u w:val="single"/>
    </w:rPr>
  </w:style>
  <w:style w:type="paragraph" w:styleId="Ttulo9">
    <w:name w:val="heading 9"/>
    <w:basedOn w:val="Normal"/>
    <w:next w:val="Normal"/>
    <w:qFormat/>
    <w:pPr>
      <w:keepNext/>
      <w:numPr>
        <w:ilvl w:val="8"/>
        <w:numId w:val="1"/>
      </w:numPr>
      <w:jc w:val="center"/>
      <w:outlineLvl w:val="8"/>
    </w:pPr>
    <w:rPr>
      <w:b/>
      <w:sz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Fuentedeprrafopredeter3">
    <w:name w:val="Fuente de párrafo predeter.3"/>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Fuentedeprrafopredeter2">
    <w:name w:val="Fuente de párrafo predeter.2"/>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6z1">
    <w:name w:val="WW8Num6z1"/>
    <w:rPr>
      <w:rFonts w:ascii="Symbol" w:hAnsi="Symbol" w:cs="Symbol"/>
    </w:rPr>
  </w:style>
  <w:style w:type="character" w:customStyle="1" w:styleId="Fuentedeprrafopredeter1">
    <w:name w:val="Fuente de párrafo predeter.1"/>
  </w:style>
  <w:style w:type="character" w:customStyle="1" w:styleId="WW-Fuentedeprrafopredeter">
    <w:name w:val="WW-Fuente de párrafo predeter."/>
  </w:style>
  <w:style w:type="character" w:styleId="Hipervnculo">
    <w:name w:val="Hyperlink"/>
    <w:basedOn w:val="WW-Fuentedeprrafopredeter"/>
    <w:rPr>
      <w:color w:val="0000FF"/>
      <w:u w:val="single"/>
    </w:rPr>
  </w:style>
  <w:style w:type="character" w:styleId="Hipervnculovisitado">
    <w:name w:val="FollowedHyperlink"/>
    <w:basedOn w:val="WW-Fuentedeprrafopredeter"/>
    <w:rPr>
      <w:color w:val="800080"/>
      <w:u w:val="single"/>
    </w:rPr>
  </w:style>
  <w:style w:type="character" w:customStyle="1" w:styleId="Bullets">
    <w:name w:val="Bullets"/>
    <w:rPr>
      <w:rFonts w:ascii="OpenSymbol" w:eastAsia="OpenSymbol" w:hAnsi="OpenSymbol" w:cs="OpenSymbol"/>
    </w:rPr>
  </w:style>
  <w:style w:type="paragraph" w:customStyle="1" w:styleId="Encabezado3">
    <w:name w:val="Encabezado3"/>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b/>
      <w:u w:val="single"/>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Heading">
    <w:name w:val="Heading"/>
    <w:basedOn w:val="Normal"/>
    <w:next w:val="Textoindependiente"/>
    <w:pPr>
      <w:keepNext/>
      <w:spacing w:before="240" w:after="120"/>
    </w:pPr>
    <w:rPr>
      <w:rFonts w:ascii="Arial" w:eastAsia="Bitstream Vera Sans" w:hAnsi="Arial" w:cs="Bitstream Vera Sans"/>
      <w:sz w:val="28"/>
      <w:szCs w:val="28"/>
    </w:rPr>
  </w:style>
  <w:style w:type="paragraph" w:customStyle="1" w:styleId="Caption">
    <w:name w:val="Caption"/>
    <w:basedOn w:val="Normal"/>
    <w:pPr>
      <w:suppressLineNumbers/>
      <w:spacing w:before="120" w:after="120"/>
    </w:pPr>
    <w:rPr>
      <w:i/>
      <w:iCs/>
      <w:szCs w:val="24"/>
    </w:rPr>
  </w:style>
  <w:style w:type="paragraph" w:customStyle="1" w:styleId="Index">
    <w:name w:val="Index"/>
    <w:basedOn w:val="Normal"/>
    <w:pPr>
      <w:suppressLineNumbers/>
    </w:pPr>
  </w:style>
  <w:style w:type="paragraph" w:customStyle="1" w:styleId="Epgrafe1">
    <w:name w:val="Epígrafe1"/>
    <w:basedOn w:val="Normal"/>
    <w:pPr>
      <w:suppressLineNumbers/>
      <w:spacing w:before="120" w:after="120"/>
    </w:pPr>
    <w:rPr>
      <w:i/>
      <w:iCs/>
      <w:szCs w:val="24"/>
    </w:rPr>
  </w:style>
  <w:style w:type="paragraph" w:customStyle="1" w:styleId="Encabezado2">
    <w:name w:val="Encabezado2"/>
    <w:basedOn w:val="Normal"/>
    <w:next w:val="Textoindependiente"/>
    <w:pPr>
      <w:keepNext/>
      <w:spacing w:before="240" w:after="120"/>
    </w:pPr>
    <w:rPr>
      <w:rFonts w:ascii="Liberation Sans" w:eastAsia="DejaVu Sans" w:hAnsi="Liberation Sans" w:cs="DejaVu Sans"/>
      <w:sz w:val="28"/>
      <w:szCs w:val="28"/>
    </w:rPr>
  </w:style>
  <w:style w:type="paragraph" w:customStyle="1" w:styleId="Encabezado1">
    <w:name w:val="Encabezado1"/>
    <w:basedOn w:val="Normal"/>
    <w:next w:val="Textoindependiente"/>
    <w:pPr>
      <w:keepNext/>
      <w:spacing w:before="240" w:after="120"/>
    </w:pPr>
    <w:rPr>
      <w:rFonts w:ascii="Arial" w:eastAsia="Mincho" w:hAnsi="Arial" w:cs="Tahoma"/>
      <w:sz w:val="28"/>
      <w:szCs w:val="28"/>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Sangradetextonormal">
    <w:name w:val="Body Text Indent"/>
    <w:basedOn w:val="Normal"/>
    <w:pPr>
      <w:ind w:firstLine="2127"/>
      <w:jc w:val="both"/>
    </w:pPr>
    <w:rPr>
      <w:lang w:val="es-MX"/>
    </w:rPr>
  </w:style>
  <w:style w:type="paragraph" w:customStyle="1" w:styleId="WW-Sangra2detindependiente">
    <w:name w:val="WW-Sangría 2 de t. independiente"/>
    <w:basedOn w:val="Normal"/>
    <w:pPr>
      <w:ind w:firstLine="1985"/>
      <w:jc w:val="both"/>
    </w:pPr>
  </w:style>
  <w:style w:type="paragraph" w:customStyle="1" w:styleId="WW-Sangra3detindependiente">
    <w:name w:val="WW-Sangría 3 de t. independiente"/>
    <w:basedOn w:val="Normal"/>
    <w:pPr>
      <w:ind w:firstLine="1134"/>
      <w:jc w:val="both"/>
    </w:pPr>
  </w:style>
  <w:style w:type="paragraph" w:customStyle="1" w:styleId="WW-Textoindependiente2">
    <w:name w:val="WW-Texto independiente 2"/>
    <w:basedOn w:val="Normal"/>
    <w:pPr>
      <w:jc w:val="both"/>
    </w:pPr>
  </w:style>
  <w:style w:type="paragraph" w:customStyle="1" w:styleId="Textoindependiente21">
    <w:name w:val="Texto independiente 21"/>
    <w:basedOn w:val="Normal"/>
    <w:pPr>
      <w:spacing w:after="120" w:line="480" w:lineRule="auto"/>
    </w:pPr>
  </w:style>
  <w:style w:type="paragraph" w:customStyle="1" w:styleId="WW-Textoindependiente3">
    <w:name w:val="WW-Texto independiente 3"/>
    <w:basedOn w:val="Normal"/>
    <w:pPr>
      <w:jc w:val="both"/>
    </w:pPr>
    <w:rPr>
      <w:b/>
    </w:rPr>
  </w:style>
  <w:style w:type="paragraph" w:styleId="Ttulo">
    <w:name w:val="Title"/>
    <w:basedOn w:val="Normal"/>
    <w:next w:val="Subttulo"/>
    <w:qFormat/>
    <w:pPr>
      <w:suppressAutoHyphens w:val="0"/>
      <w:jc w:val="center"/>
    </w:pPr>
    <w:rPr>
      <w:b/>
      <w:shadow/>
      <w:lang w:val="es-AR"/>
    </w:rPr>
  </w:style>
  <w:style w:type="paragraph" w:styleId="Subttulo">
    <w:name w:val="Subtitle"/>
    <w:basedOn w:val="Encabezado2"/>
    <w:next w:val="Textoindependiente"/>
    <w:qFormat/>
    <w:pPr>
      <w:jc w:val="center"/>
    </w:pPr>
    <w:rPr>
      <w:i/>
      <w:i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957</Words>
  <Characters>5266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RESOLUCION HCD N° 67/00</vt:lpstr>
    </vt:vector>
  </TitlesOfParts>
  <Company>RevolucionUnattended</Company>
  <LinksUpToDate>false</LinksUpToDate>
  <CharactersWithSpaces>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RESOLUCION HCD N° 67/00</dc:title>
  <dc:creator>Walter Dal Lago</dc:creator>
  <cp:lastModifiedBy>Usuario</cp:lastModifiedBy>
  <cp:revision>3</cp:revision>
  <cp:lastPrinted>2013-08-13T15:37:00Z</cp:lastPrinted>
  <dcterms:created xsi:type="dcterms:W3CDTF">2017-08-11T15:32:00Z</dcterms:created>
  <dcterms:modified xsi:type="dcterms:W3CDTF">2017-08-11T15:34:00Z</dcterms:modified>
</cp:coreProperties>
</file>