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672C7" w14:textId="60FBD018" w:rsidR="00A2009C" w:rsidRPr="00A2009C" w:rsidRDefault="00A2009C" w:rsidP="00A2009C">
      <w:pPr>
        <w:rPr>
          <w:rFonts w:ascii="Times New Roman" w:hAnsi="Times New Roman" w:cs="Times New Roman"/>
          <w:b/>
          <w:bCs/>
          <w:sz w:val="24"/>
          <w:szCs w:val="24"/>
        </w:rPr>
      </w:pPr>
      <w:r w:rsidRPr="00A2009C">
        <w:rPr>
          <w:rFonts w:ascii="Times New Roman" w:hAnsi="Times New Roman" w:cs="Times New Roman"/>
          <w:noProof/>
          <w:sz w:val="24"/>
          <w:szCs w:val="24"/>
        </w:rPr>
        <w:drawing>
          <wp:anchor distT="0" distB="0" distL="114300" distR="114300" simplePos="0" relativeHeight="251671040" behindDoc="0" locked="0" layoutInCell="1" allowOverlap="1" wp14:anchorId="12F939AF" wp14:editId="2118BFEE">
            <wp:simplePos x="0" y="0"/>
            <wp:positionH relativeFrom="margin">
              <wp:posOffset>-174625</wp:posOffset>
            </wp:positionH>
            <wp:positionV relativeFrom="paragraph">
              <wp:posOffset>288290</wp:posOffset>
            </wp:positionV>
            <wp:extent cx="1855470" cy="2792095"/>
            <wp:effectExtent l="0" t="0" r="0" b="8255"/>
            <wp:wrapSquare wrapText="bothSides"/>
            <wp:docPr id="2"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put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55470" cy="2792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009C">
        <w:rPr>
          <w:rFonts w:ascii="Times New Roman" w:hAnsi="Times New Roman" w:cs="Times New Roman"/>
          <w:noProof/>
          <w:sz w:val="24"/>
          <w:szCs w:val="24"/>
        </w:rPr>
        <w:drawing>
          <wp:anchor distT="0" distB="0" distL="114300" distR="114300" simplePos="0" relativeHeight="251657728" behindDoc="0" locked="0" layoutInCell="1" allowOverlap="1" wp14:anchorId="05F8E0E7" wp14:editId="4C84E382">
            <wp:simplePos x="0" y="0"/>
            <wp:positionH relativeFrom="column">
              <wp:posOffset>1719580</wp:posOffset>
            </wp:positionH>
            <wp:positionV relativeFrom="paragraph">
              <wp:posOffset>313509</wp:posOffset>
            </wp:positionV>
            <wp:extent cx="3589020" cy="1421765"/>
            <wp:effectExtent l="0" t="0" r="0" b="6985"/>
            <wp:wrapSquare wrapText="bothSides"/>
            <wp:docPr id="1762971422"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89020" cy="1421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009C">
        <w:rPr>
          <w:rFonts w:ascii="Times New Roman" w:hAnsi="Times New Roman" w:cs="Times New Roman"/>
          <w:b/>
          <w:bCs/>
          <w:sz w:val="24"/>
          <w:szCs w:val="24"/>
        </w:rPr>
        <w:t>2019 F</w:t>
      </w:r>
      <w:r w:rsidRPr="00A2009C">
        <w:rPr>
          <w:rFonts w:ascii="Times New Roman" w:hAnsi="Times New Roman" w:cs="Times New Roman"/>
          <w:b/>
          <w:bCs/>
          <w:sz w:val="24"/>
          <w:szCs w:val="24"/>
        </w:rPr>
        <w:t xml:space="preserve">lood Analysis Report: </w:t>
      </w:r>
      <w:r w:rsidRPr="00A2009C">
        <w:rPr>
          <w:rFonts w:ascii="Times New Roman" w:hAnsi="Times New Roman" w:cs="Times New Roman"/>
          <w:b/>
          <w:bCs/>
          <w:sz w:val="24"/>
          <w:szCs w:val="24"/>
        </w:rPr>
        <w:t>Damage by Structure Type</w:t>
      </w:r>
    </w:p>
    <w:p w14:paraId="56ED21DB" w14:textId="77777777" w:rsidR="00A2009C" w:rsidRPr="00A2009C" w:rsidRDefault="00A2009C" w:rsidP="00A2009C">
      <w:pPr>
        <w:rPr>
          <w:rFonts w:ascii="Times New Roman" w:hAnsi="Times New Roman" w:cs="Times New Roman"/>
          <w:b/>
          <w:bCs/>
          <w:sz w:val="24"/>
          <w:szCs w:val="24"/>
        </w:rPr>
      </w:pPr>
    </w:p>
    <w:p w14:paraId="364758B2" w14:textId="77777777" w:rsidR="00A2009C" w:rsidRPr="00A2009C" w:rsidRDefault="00A2009C" w:rsidP="00A2009C">
      <w:pPr>
        <w:rPr>
          <w:rFonts w:ascii="Times New Roman" w:hAnsi="Times New Roman" w:cs="Times New Roman"/>
          <w:b/>
          <w:bCs/>
          <w:sz w:val="24"/>
          <w:szCs w:val="24"/>
        </w:rPr>
      </w:pPr>
    </w:p>
    <w:p w14:paraId="48CC077E" w14:textId="77777777" w:rsidR="00A2009C" w:rsidRPr="00A2009C" w:rsidRDefault="00A2009C" w:rsidP="00A2009C">
      <w:pPr>
        <w:rPr>
          <w:rFonts w:ascii="Times New Roman" w:hAnsi="Times New Roman" w:cs="Times New Roman"/>
          <w:b/>
          <w:bCs/>
          <w:sz w:val="24"/>
          <w:szCs w:val="24"/>
        </w:rPr>
      </w:pPr>
    </w:p>
    <w:p w14:paraId="3B162F2D" w14:textId="77777777" w:rsidR="00A2009C" w:rsidRPr="00A2009C" w:rsidRDefault="00A2009C" w:rsidP="00A2009C">
      <w:pPr>
        <w:rPr>
          <w:rFonts w:ascii="Times New Roman" w:hAnsi="Times New Roman" w:cs="Times New Roman"/>
          <w:b/>
          <w:bCs/>
          <w:sz w:val="24"/>
          <w:szCs w:val="24"/>
        </w:rPr>
      </w:pPr>
    </w:p>
    <w:p w14:paraId="30309E7D" w14:textId="77777777" w:rsidR="00A2009C" w:rsidRPr="00A2009C" w:rsidRDefault="00A2009C" w:rsidP="00A2009C">
      <w:pPr>
        <w:rPr>
          <w:rFonts w:ascii="Times New Roman" w:hAnsi="Times New Roman" w:cs="Times New Roman"/>
          <w:b/>
          <w:bCs/>
          <w:sz w:val="24"/>
          <w:szCs w:val="24"/>
        </w:rPr>
      </w:pPr>
    </w:p>
    <w:p w14:paraId="4262D937" w14:textId="77777777" w:rsidR="00A2009C" w:rsidRPr="00A2009C" w:rsidRDefault="00A2009C" w:rsidP="00A2009C">
      <w:pPr>
        <w:rPr>
          <w:rFonts w:ascii="Times New Roman" w:hAnsi="Times New Roman" w:cs="Times New Roman"/>
          <w:b/>
          <w:bCs/>
          <w:sz w:val="24"/>
          <w:szCs w:val="24"/>
        </w:rPr>
      </w:pPr>
    </w:p>
    <w:p w14:paraId="146D01D3" w14:textId="77777777" w:rsidR="00A2009C" w:rsidRPr="00A2009C" w:rsidRDefault="00A2009C" w:rsidP="00A2009C">
      <w:pPr>
        <w:rPr>
          <w:rFonts w:ascii="Times New Roman" w:hAnsi="Times New Roman" w:cs="Times New Roman"/>
          <w:b/>
          <w:bCs/>
          <w:sz w:val="24"/>
          <w:szCs w:val="24"/>
        </w:rPr>
      </w:pPr>
    </w:p>
    <w:p w14:paraId="53D4F230" w14:textId="77777777" w:rsidR="00A2009C" w:rsidRPr="00A2009C" w:rsidRDefault="00A2009C" w:rsidP="00A2009C">
      <w:pPr>
        <w:rPr>
          <w:rFonts w:ascii="Times New Roman" w:hAnsi="Times New Roman" w:cs="Times New Roman"/>
          <w:b/>
          <w:bCs/>
          <w:sz w:val="24"/>
          <w:szCs w:val="24"/>
        </w:rPr>
      </w:pPr>
    </w:p>
    <w:p w14:paraId="05DCC86E" w14:textId="77777777" w:rsidR="00A2009C" w:rsidRPr="00A2009C" w:rsidRDefault="00A2009C" w:rsidP="00A2009C">
      <w:pPr>
        <w:rPr>
          <w:rFonts w:ascii="Times New Roman" w:hAnsi="Times New Roman" w:cs="Times New Roman"/>
          <w:b/>
          <w:bCs/>
          <w:sz w:val="24"/>
          <w:szCs w:val="24"/>
        </w:rPr>
      </w:pPr>
    </w:p>
    <w:p w14:paraId="1A3D062D" w14:textId="77777777" w:rsidR="00A2009C" w:rsidRPr="00A2009C" w:rsidRDefault="00A2009C" w:rsidP="00A2009C">
      <w:pPr>
        <w:rPr>
          <w:rFonts w:ascii="Times New Roman" w:hAnsi="Times New Roman" w:cs="Times New Roman"/>
          <w:b/>
          <w:bCs/>
          <w:sz w:val="24"/>
          <w:szCs w:val="24"/>
        </w:rPr>
      </w:pPr>
    </w:p>
    <w:p w14:paraId="52EE21F9" w14:textId="0201CDB3" w:rsidR="00A2009C" w:rsidRPr="00A2009C" w:rsidRDefault="00A2009C" w:rsidP="00A2009C">
      <w:pPr>
        <w:rPr>
          <w:rFonts w:ascii="Times New Roman" w:hAnsi="Times New Roman" w:cs="Times New Roman"/>
          <w:b/>
          <w:bCs/>
          <w:sz w:val="24"/>
          <w:szCs w:val="24"/>
        </w:rPr>
      </w:pPr>
      <w:r w:rsidRPr="00A2009C">
        <w:rPr>
          <w:rFonts w:ascii="Times New Roman" w:hAnsi="Times New Roman" w:cs="Times New Roman"/>
          <w:b/>
          <w:bCs/>
          <w:sz w:val="24"/>
          <w:szCs w:val="24"/>
        </w:rPr>
        <w:t>Introduction</w:t>
      </w:r>
    </w:p>
    <w:p w14:paraId="149A213B" w14:textId="1E3DBB8D"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This report analyzes the impact of the 2019 Nebraska flooding on various types of structures based on FEMA anonymized claim reports.</w:t>
      </w:r>
    </w:p>
    <w:p w14:paraId="77F98AC1" w14:textId="77777777" w:rsidR="00A2009C" w:rsidRPr="00A2009C" w:rsidRDefault="00A2009C" w:rsidP="00A2009C">
      <w:pPr>
        <w:rPr>
          <w:rFonts w:ascii="Times New Roman" w:hAnsi="Times New Roman" w:cs="Times New Roman"/>
          <w:i/>
          <w:iCs/>
          <w:sz w:val="24"/>
          <w:szCs w:val="24"/>
        </w:rPr>
      </w:pPr>
      <w:r w:rsidRPr="00A2009C">
        <w:rPr>
          <w:rFonts w:ascii="Times New Roman" w:hAnsi="Times New Roman" w:cs="Times New Roman"/>
          <w:i/>
          <w:iCs/>
          <w:sz w:val="24"/>
          <w:szCs w:val="24"/>
        </w:rPr>
        <w:t>Data Overview</w:t>
      </w:r>
    </w:p>
    <w:p w14:paraId="3B4D0267"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The dataset comprises 1,165 flood-damaged structures across Nebraska.</w:t>
      </w:r>
    </w:p>
    <w:p w14:paraId="1461FFAA" w14:textId="4D485B76" w:rsidR="00A2009C" w:rsidRPr="00A2009C" w:rsidRDefault="00A2009C" w:rsidP="00A2009C">
      <w:pPr>
        <w:rPr>
          <w:rFonts w:ascii="Times New Roman" w:hAnsi="Times New Roman" w:cs="Times New Roman"/>
          <w:b/>
          <w:bCs/>
          <w:sz w:val="24"/>
          <w:szCs w:val="24"/>
        </w:rPr>
      </w:pPr>
      <w:r w:rsidRPr="00A2009C">
        <w:rPr>
          <w:rFonts w:ascii="Times New Roman" w:hAnsi="Times New Roman" w:cs="Times New Roman"/>
          <w:b/>
          <w:bCs/>
          <w:sz w:val="24"/>
          <w:szCs w:val="24"/>
        </w:rPr>
        <w:t>Summary of Structure Types by Primary Use</w:t>
      </w:r>
    </w:p>
    <w:tbl>
      <w:tblPr>
        <w:tblW w:w="0" w:type="auto"/>
        <w:tblCellSpacing w:w="15" w:type="dxa"/>
        <w:tblBorders>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970"/>
        <w:gridCol w:w="1111"/>
      </w:tblGrid>
      <w:tr w:rsidR="00A2009C" w:rsidRPr="00A2009C" w14:paraId="77B9D227" w14:textId="77777777" w:rsidTr="00A2009C">
        <w:trPr>
          <w:trHeight w:val="479"/>
          <w:tblHeader/>
          <w:tblCellSpacing w:w="15" w:type="dxa"/>
        </w:trPr>
        <w:tc>
          <w:tcPr>
            <w:tcW w:w="2925" w:type="dxa"/>
            <w:vAlign w:val="center"/>
            <w:hideMark/>
          </w:tcPr>
          <w:p w14:paraId="0E99D2DC"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Structure Type</w:t>
            </w:r>
          </w:p>
        </w:tc>
        <w:tc>
          <w:tcPr>
            <w:tcW w:w="1066" w:type="dxa"/>
            <w:vAlign w:val="center"/>
            <w:hideMark/>
          </w:tcPr>
          <w:p w14:paraId="3E3AFAF1"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Count</w:t>
            </w:r>
          </w:p>
        </w:tc>
      </w:tr>
      <w:tr w:rsidR="00A2009C" w:rsidRPr="00A2009C" w14:paraId="0173D227" w14:textId="77777777" w:rsidTr="00A2009C">
        <w:trPr>
          <w:trHeight w:val="479"/>
          <w:tblCellSpacing w:w="15" w:type="dxa"/>
        </w:trPr>
        <w:tc>
          <w:tcPr>
            <w:tcW w:w="2925" w:type="dxa"/>
            <w:vAlign w:val="center"/>
            <w:hideMark/>
          </w:tcPr>
          <w:p w14:paraId="2EC023DF"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Single-family Residential</w:t>
            </w:r>
          </w:p>
        </w:tc>
        <w:tc>
          <w:tcPr>
            <w:tcW w:w="1066" w:type="dxa"/>
            <w:vAlign w:val="center"/>
            <w:hideMark/>
          </w:tcPr>
          <w:p w14:paraId="1C2CE5AD"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1,040</w:t>
            </w:r>
          </w:p>
        </w:tc>
      </w:tr>
      <w:tr w:rsidR="00A2009C" w:rsidRPr="00A2009C" w14:paraId="68A9A7EA" w14:textId="77777777" w:rsidTr="00A2009C">
        <w:trPr>
          <w:trHeight w:val="469"/>
          <w:tblCellSpacing w:w="15" w:type="dxa"/>
        </w:trPr>
        <w:tc>
          <w:tcPr>
            <w:tcW w:w="2925" w:type="dxa"/>
            <w:vAlign w:val="center"/>
            <w:hideMark/>
          </w:tcPr>
          <w:p w14:paraId="5351CD67"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Multi-family (2-4 units)</w:t>
            </w:r>
          </w:p>
        </w:tc>
        <w:tc>
          <w:tcPr>
            <w:tcW w:w="1066" w:type="dxa"/>
            <w:vAlign w:val="center"/>
            <w:hideMark/>
          </w:tcPr>
          <w:p w14:paraId="0441BAD8"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6</w:t>
            </w:r>
          </w:p>
        </w:tc>
      </w:tr>
      <w:tr w:rsidR="00A2009C" w:rsidRPr="00A2009C" w14:paraId="10D51A14" w14:textId="77777777" w:rsidTr="00A2009C">
        <w:trPr>
          <w:trHeight w:val="479"/>
          <w:tblCellSpacing w:w="15" w:type="dxa"/>
        </w:trPr>
        <w:tc>
          <w:tcPr>
            <w:tcW w:w="2925" w:type="dxa"/>
            <w:vAlign w:val="center"/>
            <w:hideMark/>
          </w:tcPr>
          <w:p w14:paraId="4F9BA5BB"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Multi-family (5+ units)</w:t>
            </w:r>
          </w:p>
        </w:tc>
        <w:tc>
          <w:tcPr>
            <w:tcW w:w="1066" w:type="dxa"/>
            <w:vAlign w:val="center"/>
            <w:hideMark/>
          </w:tcPr>
          <w:p w14:paraId="2131DC17"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11</w:t>
            </w:r>
          </w:p>
        </w:tc>
      </w:tr>
      <w:tr w:rsidR="00A2009C" w:rsidRPr="00A2009C" w14:paraId="399E7311" w14:textId="77777777" w:rsidTr="00A2009C">
        <w:trPr>
          <w:trHeight w:val="469"/>
          <w:tblCellSpacing w:w="15" w:type="dxa"/>
        </w:trPr>
        <w:tc>
          <w:tcPr>
            <w:tcW w:w="2925" w:type="dxa"/>
            <w:tcBorders>
              <w:top w:val="single" w:sz="4" w:space="0" w:color="auto"/>
              <w:left w:val="single" w:sz="4" w:space="0" w:color="auto"/>
              <w:bottom w:val="single" w:sz="4" w:space="0" w:color="auto"/>
            </w:tcBorders>
            <w:vAlign w:val="center"/>
            <w:hideMark/>
          </w:tcPr>
          <w:p w14:paraId="5A561BD3"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Non-residential Building</w:t>
            </w:r>
          </w:p>
        </w:tc>
        <w:tc>
          <w:tcPr>
            <w:tcW w:w="1066" w:type="dxa"/>
            <w:vAlign w:val="center"/>
            <w:hideMark/>
          </w:tcPr>
          <w:p w14:paraId="34764E16"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15</w:t>
            </w:r>
          </w:p>
        </w:tc>
      </w:tr>
      <w:tr w:rsidR="00A2009C" w:rsidRPr="00A2009C" w14:paraId="51B26709" w14:textId="77777777" w:rsidTr="00A2009C">
        <w:trPr>
          <w:trHeight w:val="479"/>
          <w:tblCellSpacing w:w="15" w:type="dxa"/>
        </w:trPr>
        <w:tc>
          <w:tcPr>
            <w:tcW w:w="2925" w:type="dxa"/>
            <w:vAlign w:val="center"/>
            <w:hideMark/>
          </w:tcPr>
          <w:p w14:paraId="0EB11B2F"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Non-residential Business</w:t>
            </w:r>
          </w:p>
        </w:tc>
        <w:tc>
          <w:tcPr>
            <w:tcW w:w="1066" w:type="dxa"/>
            <w:vAlign w:val="center"/>
            <w:hideMark/>
          </w:tcPr>
          <w:p w14:paraId="3B6CA2E8"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93</w:t>
            </w:r>
          </w:p>
        </w:tc>
      </w:tr>
    </w:tbl>
    <w:p w14:paraId="4427AC6C" w14:textId="62024BF9" w:rsidR="00A2009C" w:rsidRPr="00A2009C" w:rsidRDefault="00A2009C" w:rsidP="00A2009C">
      <w:pPr>
        <w:rPr>
          <w:rFonts w:ascii="Times New Roman" w:hAnsi="Times New Roman" w:cs="Times New Roman"/>
          <w:b/>
          <w:bCs/>
          <w:sz w:val="24"/>
          <w:szCs w:val="24"/>
        </w:rPr>
      </w:pPr>
    </w:p>
    <w:tbl>
      <w:tblPr>
        <w:tblW w:w="326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9"/>
        <w:gridCol w:w="940"/>
      </w:tblGrid>
      <w:tr w:rsidR="00A2009C" w:rsidRPr="00A2009C" w14:paraId="357D08E0" w14:textId="77777777" w:rsidTr="00A2009C">
        <w:trPr>
          <w:trHeight w:val="485"/>
          <w:tblHeader/>
          <w:tblCellSpacing w:w="15" w:type="dxa"/>
        </w:trPr>
        <w:tc>
          <w:tcPr>
            <w:tcW w:w="0" w:type="auto"/>
            <w:vAlign w:val="center"/>
            <w:hideMark/>
          </w:tcPr>
          <w:p w14:paraId="410E7125" w14:textId="77777777" w:rsidR="00A2009C" w:rsidRPr="00A2009C" w:rsidRDefault="00A2009C" w:rsidP="00A2009C">
            <w:pPr>
              <w:rPr>
                <w:rFonts w:ascii="Times New Roman" w:hAnsi="Times New Roman" w:cs="Times New Roman"/>
                <w:b/>
                <w:bCs/>
                <w:sz w:val="24"/>
                <w:szCs w:val="24"/>
              </w:rPr>
            </w:pPr>
            <w:r w:rsidRPr="00A2009C">
              <w:rPr>
                <w:rFonts w:ascii="Times New Roman" w:hAnsi="Times New Roman" w:cs="Times New Roman"/>
                <w:b/>
                <w:bCs/>
                <w:sz w:val="24"/>
                <w:szCs w:val="24"/>
              </w:rPr>
              <w:t>Agricultural Use</w:t>
            </w:r>
          </w:p>
        </w:tc>
        <w:tc>
          <w:tcPr>
            <w:tcW w:w="0" w:type="auto"/>
            <w:vAlign w:val="center"/>
            <w:hideMark/>
          </w:tcPr>
          <w:p w14:paraId="62175DF9" w14:textId="77777777" w:rsidR="00A2009C" w:rsidRPr="00A2009C" w:rsidRDefault="00A2009C" w:rsidP="00A2009C">
            <w:pPr>
              <w:rPr>
                <w:rFonts w:ascii="Times New Roman" w:hAnsi="Times New Roman" w:cs="Times New Roman"/>
                <w:b/>
                <w:bCs/>
                <w:sz w:val="24"/>
                <w:szCs w:val="24"/>
              </w:rPr>
            </w:pPr>
            <w:r w:rsidRPr="00A2009C">
              <w:rPr>
                <w:rFonts w:ascii="Times New Roman" w:hAnsi="Times New Roman" w:cs="Times New Roman"/>
                <w:b/>
                <w:bCs/>
                <w:sz w:val="24"/>
                <w:szCs w:val="24"/>
              </w:rPr>
              <w:t>Count</w:t>
            </w:r>
          </w:p>
        </w:tc>
      </w:tr>
      <w:tr w:rsidR="00A2009C" w:rsidRPr="00A2009C" w14:paraId="4D2F967B" w14:textId="77777777" w:rsidTr="00A2009C">
        <w:trPr>
          <w:trHeight w:val="485"/>
          <w:tblCellSpacing w:w="15" w:type="dxa"/>
        </w:trPr>
        <w:tc>
          <w:tcPr>
            <w:tcW w:w="0" w:type="auto"/>
            <w:vAlign w:val="center"/>
            <w:hideMark/>
          </w:tcPr>
          <w:p w14:paraId="18CA570A"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Agricultural</w:t>
            </w:r>
          </w:p>
        </w:tc>
        <w:tc>
          <w:tcPr>
            <w:tcW w:w="0" w:type="auto"/>
            <w:vAlign w:val="center"/>
            <w:hideMark/>
          </w:tcPr>
          <w:p w14:paraId="2579D00F"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18</w:t>
            </w:r>
          </w:p>
        </w:tc>
      </w:tr>
      <w:tr w:rsidR="00A2009C" w:rsidRPr="00A2009C" w14:paraId="5888B726" w14:textId="77777777" w:rsidTr="00A2009C">
        <w:trPr>
          <w:trHeight w:val="485"/>
          <w:tblCellSpacing w:w="15" w:type="dxa"/>
        </w:trPr>
        <w:tc>
          <w:tcPr>
            <w:tcW w:w="0" w:type="auto"/>
            <w:vAlign w:val="center"/>
            <w:hideMark/>
          </w:tcPr>
          <w:p w14:paraId="35ACCE04"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lastRenderedPageBreak/>
              <w:t>Non-Agricultural</w:t>
            </w:r>
          </w:p>
        </w:tc>
        <w:tc>
          <w:tcPr>
            <w:tcW w:w="0" w:type="auto"/>
            <w:vAlign w:val="center"/>
            <w:hideMark/>
          </w:tcPr>
          <w:p w14:paraId="4168476B"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1,147</w:t>
            </w:r>
          </w:p>
        </w:tc>
      </w:tr>
    </w:tbl>
    <w:p w14:paraId="30D66CFF"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Structures were categorized based on primary use. Additionally, an agricultural use indicator was applied across all primary use categories. The primary metric for flood impact is the building damage amount, measured in dollars.</w:t>
      </w:r>
    </w:p>
    <w:p w14:paraId="4AB85AC7" w14:textId="6523DF75"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 xml:space="preserve">Damage </w:t>
      </w:r>
      <w:r w:rsidRPr="00A2009C">
        <w:rPr>
          <w:rFonts w:ascii="Times New Roman" w:hAnsi="Times New Roman" w:cs="Times New Roman"/>
          <w:sz w:val="24"/>
          <w:szCs w:val="24"/>
        </w:rPr>
        <w:t>by</w:t>
      </w:r>
      <w:r w:rsidRPr="00A2009C">
        <w:rPr>
          <w:rFonts w:ascii="Times New Roman" w:hAnsi="Times New Roman" w:cs="Times New Roman"/>
          <w:sz w:val="24"/>
          <w:szCs w:val="24"/>
        </w:rPr>
        <w:t xml:space="preserve"> Structure Type</w:t>
      </w:r>
    </w:p>
    <w:tbl>
      <w:tblPr>
        <w:tblW w:w="8751"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11"/>
        <w:gridCol w:w="794"/>
        <w:gridCol w:w="2612"/>
        <w:gridCol w:w="1371"/>
        <w:gridCol w:w="963"/>
      </w:tblGrid>
      <w:tr w:rsidR="00A2009C" w:rsidRPr="00A2009C" w14:paraId="04486E9B" w14:textId="77777777" w:rsidTr="00A2009C">
        <w:trPr>
          <w:trHeight w:val="444"/>
          <w:tblHeader/>
          <w:tblCellSpacing w:w="15" w:type="dxa"/>
        </w:trPr>
        <w:tc>
          <w:tcPr>
            <w:tcW w:w="0" w:type="auto"/>
            <w:vAlign w:val="center"/>
            <w:hideMark/>
          </w:tcPr>
          <w:p w14:paraId="1D7F5CB6"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Structure Type</w:t>
            </w:r>
          </w:p>
        </w:tc>
        <w:tc>
          <w:tcPr>
            <w:tcW w:w="764" w:type="dxa"/>
            <w:vAlign w:val="center"/>
            <w:hideMark/>
          </w:tcPr>
          <w:p w14:paraId="3A14727B"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Count</w:t>
            </w:r>
          </w:p>
        </w:tc>
        <w:tc>
          <w:tcPr>
            <w:tcW w:w="2582" w:type="dxa"/>
            <w:vAlign w:val="center"/>
            <w:hideMark/>
          </w:tcPr>
          <w:p w14:paraId="3D78B3A6" w14:textId="08B3B880"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 xml:space="preserve">Mean Damage </w:t>
            </w:r>
          </w:p>
        </w:tc>
        <w:tc>
          <w:tcPr>
            <w:tcW w:w="0" w:type="auto"/>
            <w:vAlign w:val="center"/>
            <w:hideMark/>
          </w:tcPr>
          <w:p w14:paraId="5A90AE69" w14:textId="038AF7E5"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 xml:space="preserve">Std Dev </w:t>
            </w:r>
          </w:p>
        </w:tc>
        <w:tc>
          <w:tcPr>
            <w:tcW w:w="0" w:type="auto"/>
            <w:vAlign w:val="center"/>
            <w:hideMark/>
          </w:tcPr>
          <w:p w14:paraId="72EC1B42" w14:textId="7FA334AC"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 xml:space="preserve">Median </w:t>
            </w:r>
          </w:p>
        </w:tc>
      </w:tr>
      <w:tr w:rsidR="00A2009C" w:rsidRPr="00A2009C" w14:paraId="54D56326" w14:textId="77777777" w:rsidTr="00A2009C">
        <w:trPr>
          <w:trHeight w:val="444"/>
          <w:tblCellSpacing w:w="15" w:type="dxa"/>
        </w:trPr>
        <w:tc>
          <w:tcPr>
            <w:tcW w:w="0" w:type="auto"/>
            <w:vAlign w:val="center"/>
            <w:hideMark/>
          </w:tcPr>
          <w:p w14:paraId="69C7E368"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Single-family Residential</w:t>
            </w:r>
          </w:p>
        </w:tc>
        <w:tc>
          <w:tcPr>
            <w:tcW w:w="764" w:type="dxa"/>
            <w:vAlign w:val="center"/>
            <w:hideMark/>
          </w:tcPr>
          <w:p w14:paraId="346C0857"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1,040</w:t>
            </w:r>
          </w:p>
        </w:tc>
        <w:tc>
          <w:tcPr>
            <w:tcW w:w="2582" w:type="dxa"/>
            <w:vAlign w:val="center"/>
            <w:hideMark/>
          </w:tcPr>
          <w:p w14:paraId="2F88B93D"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36,890.43</w:t>
            </w:r>
          </w:p>
        </w:tc>
        <w:tc>
          <w:tcPr>
            <w:tcW w:w="0" w:type="auto"/>
            <w:vAlign w:val="center"/>
            <w:hideMark/>
          </w:tcPr>
          <w:p w14:paraId="2B372584"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42,216.43</w:t>
            </w:r>
          </w:p>
        </w:tc>
        <w:tc>
          <w:tcPr>
            <w:tcW w:w="0" w:type="auto"/>
            <w:vAlign w:val="center"/>
            <w:hideMark/>
          </w:tcPr>
          <w:p w14:paraId="0850238F"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19,961</w:t>
            </w:r>
          </w:p>
        </w:tc>
      </w:tr>
      <w:tr w:rsidR="00A2009C" w:rsidRPr="00A2009C" w14:paraId="0665C3B7" w14:textId="77777777" w:rsidTr="00A2009C">
        <w:trPr>
          <w:trHeight w:val="435"/>
          <w:tblCellSpacing w:w="15" w:type="dxa"/>
        </w:trPr>
        <w:tc>
          <w:tcPr>
            <w:tcW w:w="0" w:type="auto"/>
            <w:vAlign w:val="center"/>
            <w:hideMark/>
          </w:tcPr>
          <w:p w14:paraId="19498ABD"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Multi-family (2-4 units)</w:t>
            </w:r>
          </w:p>
        </w:tc>
        <w:tc>
          <w:tcPr>
            <w:tcW w:w="764" w:type="dxa"/>
            <w:vAlign w:val="center"/>
            <w:hideMark/>
          </w:tcPr>
          <w:p w14:paraId="355C37A6"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6</w:t>
            </w:r>
          </w:p>
        </w:tc>
        <w:tc>
          <w:tcPr>
            <w:tcW w:w="2582" w:type="dxa"/>
            <w:vAlign w:val="center"/>
            <w:hideMark/>
          </w:tcPr>
          <w:p w14:paraId="2DCF9D9E"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20,097.60</w:t>
            </w:r>
          </w:p>
        </w:tc>
        <w:tc>
          <w:tcPr>
            <w:tcW w:w="0" w:type="auto"/>
            <w:vAlign w:val="center"/>
            <w:hideMark/>
          </w:tcPr>
          <w:p w14:paraId="10DE86BA"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18,544.31</w:t>
            </w:r>
          </w:p>
        </w:tc>
        <w:tc>
          <w:tcPr>
            <w:tcW w:w="0" w:type="auto"/>
            <w:vAlign w:val="center"/>
            <w:hideMark/>
          </w:tcPr>
          <w:p w14:paraId="7EA54DA7"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16,772</w:t>
            </w:r>
          </w:p>
        </w:tc>
      </w:tr>
      <w:tr w:rsidR="00A2009C" w:rsidRPr="00A2009C" w14:paraId="57298632" w14:textId="77777777" w:rsidTr="00A2009C">
        <w:trPr>
          <w:trHeight w:val="444"/>
          <w:tblCellSpacing w:w="15" w:type="dxa"/>
        </w:trPr>
        <w:tc>
          <w:tcPr>
            <w:tcW w:w="0" w:type="auto"/>
            <w:vAlign w:val="center"/>
            <w:hideMark/>
          </w:tcPr>
          <w:p w14:paraId="0911F83C"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Multi-family (5+ units)</w:t>
            </w:r>
          </w:p>
        </w:tc>
        <w:tc>
          <w:tcPr>
            <w:tcW w:w="764" w:type="dxa"/>
            <w:vAlign w:val="center"/>
            <w:hideMark/>
          </w:tcPr>
          <w:p w14:paraId="116CC47B"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11</w:t>
            </w:r>
          </w:p>
        </w:tc>
        <w:tc>
          <w:tcPr>
            <w:tcW w:w="2582" w:type="dxa"/>
            <w:vAlign w:val="center"/>
            <w:hideMark/>
          </w:tcPr>
          <w:p w14:paraId="14BA5C62"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123,345.00</w:t>
            </w:r>
          </w:p>
        </w:tc>
        <w:tc>
          <w:tcPr>
            <w:tcW w:w="0" w:type="auto"/>
            <w:vAlign w:val="center"/>
            <w:hideMark/>
          </w:tcPr>
          <w:p w14:paraId="4C76C9D5"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114,054.05</w:t>
            </w:r>
          </w:p>
        </w:tc>
        <w:tc>
          <w:tcPr>
            <w:tcW w:w="0" w:type="auto"/>
            <w:vAlign w:val="center"/>
            <w:hideMark/>
          </w:tcPr>
          <w:p w14:paraId="52A9F33B"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81,939</w:t>
            </w:r>
          </w:p>
        </w:tc>
      </w:tr>
      <w:tr w:rsidR="00A2009C" w:rsidRPr="00A2009C" w14:paraId="4E94F6A6" w14:textId="77777777" w:rsidTr="00A2009C">
        <w:trPr>
          <w:trHeight w:val="435"/>
          <w:tblCellSpacing w:w="15" w:type="dxa"/>
        </w:trPr>
        <w:tc>
          <w:tcPr>
            <w:tcW w:w="0" w:type="auto"/>
            <w:vAlign w:val="center"/>
            <w:hideMark/>
          </w:tcPr>
          <w:p w14:paraId="6F0E0F11"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Non-residential Building</w:t>
            </w:r>
          </w:p>
        </w:tc>
        <w:tc>
          <w:tcPr>
            <w:tcW w:w="764" w:type="dxa"/>
            <w:vAlign w:val="center"/>
            <w:hideMark/>
          </w:tcPr>
          <w:p w14:paraId="0964F664"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15</w:t>
            </w:r>
          </w:p>
        </w:tc>
        <w:tc>
          <w:tcPr>
            <w:tcW w:w="2582" w:type="dxa"/>
            <w:vAlign w:val="center"/>
            <w:hideMark/>
          </w:tcPr>
          <w:p w14:paraId="014D0D82"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21,275.77</w:t>
            </w:r>
          </w:p>
        </w:tc>
        <w:tc>
          <w:tcPr>
            <w:tcW w:w="0" w:type="auto"/>
            <w:vAlign w:val="center"/>
            <w:hideMark/>
          </w:tcPr>
          <w:p w14:paraId="040BEA07"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30,501.02</w:t>
            </w:r>
          </w:p>
        </w:tc>
        <w:tc>
          <w:tcPr>
            <w:tcW w:w="0" w:type="auto"/>
            <w:vAlign w:val="center"/>
            <w:hideMark/>
          </w:tcPr>
          <w:p w14:paraId="0B103B50"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8,848</w:t>
            </w:r>
          </w:p>
        </w:tc>
      </w:tr>
      <w:tr w:rsidR="00A2009C" w:rsidRPr="00A2009C" w14:paraId="6DCABFBF" w14:textId="77777777" w:rsidTr="00A2009C">
        <w:trPr>
          <w:trHeight w:val="444"/>
          <w:tblCellSpacing w:w="15" w:type="dxa"/>
        </w:trPr>
        <w:tc>
          <w:tcPr>
            <w:tcW w:w="0" w:type="auto"/>
            <w:vAlign w:val="center"/>
            <w:hideMark/>
          </w:tcPr>
          <w:p w14:paraId="43C713F3"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Non-residential Business</w:t>
            </w:r>
          </w:p>
        </w:tc>
        <w:tc>
          <w:tcPr>
            <w:tcW w:w="764" w:type="dxa"/>
            <w:vAlign w:val="center"/>
            <w:hideMark/>
          </w:tcPr>
          <w:p w14:paraId="47551C5B"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93</w:t>
            </w:r>
          </w:p>
        </w:tc>
        <w:tc>
          <w:tcPr>
            <w:tcW w:w="2582" w:type="dxa"/>
            <w:vAlign w:val="center"/>
            <w:hideMark/>
          </w:tcPr>
          <w:p w14:paraId="272DA90D"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122,592.95</w:t>
            </w:r>
          </w:p>
        </w:tc>
        <w:tc>
          <w:tcPr>
            <w:tcW w:w="0" w:type="auto"/>
            <w:vAlign w:val="center"/>
            <w:hideMark/>
          </w:tcPr>
          <w:p w14:paraId="1DBB10F8"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176,415.92</w:t>
            </w:r>
          </w:p>
        </w:tc>
        <w:tc>
          <w:tcPr>
            <w:tcW w:w="0" w:type="auto"/>
            <w:vAlign w:val="center"/>
            <w:hideMark/>
          </w:tcPr>
          <w:p w14:paraId="4A2FD87F"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39,274</w:t>
            </w:r>
          </w:p>
        </w:tc>
      </w:tr>
    </w:tbl>
    <w:p w14:paraId="5853B9EF" w14:textId="77777777" w:rsidR="00A2009C" w:rsidRPr="00A2009C" w:rsidRDefault="00A2009C" w:rsidP="00A2009C">
      <w:pPr>
        <w:rPr>
          <w:rFonts w:ascii="Times New Roman" w:hAnsi="Times New Roman" w:cs="Times New Roman"/>
          <w:sz w:val="24"/>
          <w:szCs w:val="24"/>
        </w:rPr>
      </w:pPr>
    </w:p>
    <w:p w14:paraId="162AE705" w14:textId="1103C2C5"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 xml:space="preserve">Damage </w:t>
      </w:r>
      <w:r w:rsidRPr="00A2009C">
        <w:rPr>
          <w:rFonts w:ascii="Times New Roman" w:hAnsi="Times New Roman" w:cs="Times New Roman"/>
          <w:sz w:val="24"/>
          <w:szCs w:val="24"/>
        </w:rPr>
        <w:t xml:space="preserve">for </w:t>
      </w:r>
      <w:r w:rsidRPr="00A2009C">
        <w:rPr>
          <w:rFonts w:ascii="Times New Roman" w:hAnsi="Times New Roman" w:cs="Times New Roman"/>
          <w:sz w:val="24"/>
          <w:szCs w:val="24"/>
        </w:rPr>
        <w:t>Agricultural Use</w:t>
      </w:r>
      <w:r w:rsidRPr="00A2009C">
        <w:rPr>
          <w:rFonts w:ascii="Times New Roman" w:hAnsi="Times New Roman" w:cs="Times New Roman"/>
          <w:sz w:val="24"/>
          <w:szCs w:val="24"/>
        </w:rPr>
        <w: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5"/>
        <w:gridCol w:w="875"/>
      </w:tblGrid>
      <w:tr w:rsidR="00A2009C" w:rsidRPr="00A2009C" w14:paraId="46125FD2" w14:textId="77777777" w:rsidTr="00A2009C">
        <w:trPr>
          <w:tblHeader/>
          <w:tblCellSpacing w:w="15" w:type="dxa"/>
        </w:trPr>
        <w:tc>
          <w:tcPr>
            <w:tcW w:w="0" w:type="auto"/>
            <w:vAlign w:val="center"/>
            <w:hideMark/>
          </w:tcPr>
          <w:p w14:paraId="06ED5C33" w14:textId="76C87B38"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Statistic</w:t>
            </w:r>
          </w:p>
        </w:tc>
        <w:tc>
          <w:tcPr>
            <w:tcW w:w="0" w:type="auto"/>
            <w:vAlign w:val="center"/>
            <w:hideMark/>
          </w:tcPr>
          <w:p w14:paraId="5AF6B88A" w14:textId="3D4DC923"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 xml:space="preserve">Value </w:t>
            </w:r>
          </w:p>
        </w:tc>
      </w:tr>
      <w:tr w:rsidR="00A2009C" w:rsidRPr="00A2009C" w14:paraId="4F26030F" w14:textId="77777777" w:rsidTr="00A2009C">
        <w:trPr>
          <w:tblCellSpacing w:w="15" w:type="dxa"/>
        </w:trPr>
        <w:tc>
          <w:tcPr>
            <w:tcW w:w="0" w:type="auto"/>
            <w:vAlign w:val="center"/>
            <w:hideMark/>
          </w:tcPr>
          <w:p w14:paraId="49F2E563"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Mean</w:t>
            </w:r>
          </w:p>
        </w:tc>
        <w:tc>
          <w:tcPr>
            <w:tcW w:w="0" w:type="auto"/>
            <w:vAlign w:val="center"/>
            <w:hideMark/>
          </w:tcPr>
          <w:p w14:paraId="0656E89A" w14:textId="2D6B5D2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23,136</w:t>
            </w:r>
          </w:p>
        </w:tc>
      </w:tr>
      <w:tr w:rsidR="00A2009C" w:rsidRPr="00A2009C" w14:paraId="43CC3741" w14:textId="77777777" w:rsidTr="00A2009C">
        <w:trPr>
          <w:tblCellSpacing w:w="15" w:type="dxa"/>
        </w:trPr>
        <w:tc>
          <w:tcPr>
            <w:tcW w:w="0" w:type="auto"/>
            <w:vAlign w:val="center"/>
            <w:hideMark/>
          </w:tcPr>
          <w:p w14:paraId="00502940" w14:textId="124E543C"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StDev</w:t>
            </w:r>
          </w:p>
        </w:tc>
        <w:tc>
          <w:tcPr>
            <w:tcW w:w="0" w:type="auto"/>
            <w:vAlign w:val="center"/>
            <w:hideMark/>
          </w:tcPr>
          <w:p w14:paraId="1E4B24B7" w14:textId="567F934D"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33,440</w:t>
            </w:r>
          </w:p>
        </w:tc>
      </w:tr>
      <w:tr w:rsidR="00A2009C" w:rsidRPr="00A2009C" w14:paraId="469DDB50" w14:textId="77777777" w:rsidTr="00A2009C">
        <w:trPr>
          <w:tblCellSpacing w:w="15" w:type="dxa"/>
        </w:trPr>
        <w:tc>
          <w:tcPr>
            <w:tcW w:w="0" w:type="auto"/>
            <w:vAlign w:val="center"/>
            <w:hideMark/>
          </w:tcPr>
          <w:p w14:paraId="0C709860"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Minimum</w:t>
            </w:r>
          </w:p>
        </w:tc>
        <w:tc>
          <w:tcPr>
            <w:tcW w:w="0" w:type="auto"/>
            <w:vAlign w:val="center"/>
            <w:hideMark/>
          </w:tcPr>
          <w:p w14:paraId="56925398"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784</w:t>
            </w:r>
          </w:p>
        </w:tc>
      </w:tr>
      <w:tr w:rsidR="00A2009C" w:rsidRPr="00A2009C" w14:paraId="63876001" w14:textId="77777777" w:rsidTr="00A2009C">
        <w:trPr>
          <w:tblCellSpacing w:w="15" w:type="dxa"/>
        </w:trPr>
        <w:tc>
          <w:tcPr>
            <w:tcW w:w="0" w:type="auto"/>
            <w:vAlign w:val="center"/>
            <w:hideMark/>
          </w:tcPr>
          <w:p w14:paraId="30F377E3"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Maximum</w:t>
            </w:r>
          </w:p>
        </w:tc>
        <w:tc>
          <w:tcPr>
            <w:tcW w:w="0" w:type="auto"/>
            <w:vAlign w:val="center"/>
            <w:hideMark/>
          </w:tcPr>
          <w:p w14:paraId="074B018E"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107,168</w:t>
            </w:r>
          </w:p>
        </w:tc>
      </w:tr>
    </w:tbl>
    <w:p w14:paraId="77DA2300" w14:textId="77777777" w:rsidR="00A2009C" w:rsidRPr="00A2009C" w:rsidRDefault="00A2009C" w:rsidP="00A2009C">
      <w:pPr>
        <w:rPr>
          <w:rFonts w:ascii="Times New Roman" w:hAnsi="Times New Roman" w:cs="Times New Roman"/>
          <w:sz w:val="24"/>
          <w:szCs w:val="24"/>
        </w:rPr>
      </w:pPr>
    </w:p>
    <w:p w14:paraId="5B7AE1C6" w14:textId="7E35FA8E"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Single-family homes, the most common structure type, show an average damage of $36,890.43. Multi-family residences with 5+ units experienced higher average damage at $123,345.00. Non-residential businesses had the highest average damage at $122,592.95 and the widest range, from $420 to $731,679.</w:t>
      </w:r>
    </w:p>
    <w:p w14:paraId="143459DA"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Structures classified for agricultural use show a mean damage amount of $23,136.78, with a range from $784 to $107,168.</w:t>
      </w:r>
    </w:p>
    <w:p w14:paraId="34DA1F1C" w14:textId="77777777" w:rsidR="00A2009C" w:rsidRDefault="00A2009C" w:rsidP="00A2009C">
      <w:pPr>
        <w:rPr>
          <w:rFonts w:ascii="Times New Roman" w:hAnsi="Times New Roman" w:cs="Times New Roman"/>
          <w:sz w:val="24"/>
          <w:szCs w:val="24"/>
        </w:rPr>
      </w:pPr>
    </w:p>
    <w:p w14:paraId="208DDEE0" w14:textId="77777777" w:rsidR="00A2009C" w:rsidRDefault="00A2009C" w:rsidP="00A2009C">
      <w:pPr>
        <w:rPr>
          <w:rFonts w:ascii="Times New Roman" w:hAnsi="Times New Roman" w:cs="Times New Roman"/>
          <w:sz w:val="24"/>
          <w:szCs w:val="24"/>
        </w:rPr>
      </w:pPr>
    </w:p>
    <w:p w14:paraId="3767A968" w14:textId="2EE84AE4" w:rsidR="00A2009C" w:rsidRPr="00A2009C" w:rsidRDefault="00A2009C" w:rsidP="00A2009C">
      <w:pPr>
        <w:rPr>
          <w:rFonts w:ascii="Times New Roman" w:hAnsi="Times New Roman" w:cs="Times New Roman"/>
          <w:b/>
          <w:bCs/>
          <w:sz w:val="24"/>
          <w:szCs w:val="24"/>
        </w:rPr>
      </w:pPr>
      <w:r w:rsidRPr="00A2009C">
        <w:rPr>
          <w:rFonts w:ascii="Times New Roman" w:hAnsi="Times New Roman" w:cs="Times New Roman"/>
          <w:b/>
          <w:bCs/>
          <w:sz w:val="24"/>
          <w:szCs w:val="24"/>
        </w:rPr>
        <w:lastRenderedPageBreak/>
        <w:t>Key Observations</w:t>
      </w:r>
    </w:p>
    <w:p w14:paraId="1EDAD0E0" w14:textId="77777777" w:rsidR="00A2009C" w:rsidRPr="00A2009C" w:rsidRDefault="00A2009C" w:rsidP="00A2009C">
      <w:pPr>
        <w:numPr>
          <w:ilvl w:val="0"/>
          <w:numId w:val="6"/>
        </w:numPr>
        <w:rPr>
          <w:rFonts w:ascii="Times New Roman" w:hAnsi="Times New Roman" w:cs="Times New Roman"/>
          <w:sz w:val="24"/>
          <w:szCs w:val="24"/>
        </w:rPr>
      </w:pPr>
      <w:r w:rsidRPr="00A2009C">
        <w:rPr>
          <w:rFonts w:ascii="Times New Roman" w:hAnsi="Times New Roman" w:cs="Times New Roman"/>
          <w:sz w:val="24"/>
          <w:szCs w:val="24"/>
        </w:rPr>
        <w:t>Single-family homes constitute 89.3% of the dataset.</w:t>
      </w:r>
    </w:p>
    <w:p w14:paraId="4B8BEFE6" w14:textId="77777777" w:rsidR="00A2009C" w:rsidRPr="00A2009C" w:rsidRDefault="00A2009C" w:rsidP="00A2009C">
      <w:pPr>
        <w:numPr>
          <w:ilvl w:val="0"/>
          <w:numId w:val="6"/>
        </w:numPr>
        <w:rPr>
          <w:rFonts w:ascii="Times New Roman" w:hAnsi="Times New Roman" w:cs="Times New Roman"/>
          <w:sz w:val="24"/>
          <w:szCs w:val="24"/>
        </w:rPr>
      </w:pPr>
      <w:r w:rsidRPr="00A2009C">
        <w:rPr>
          <w:rFonts w:ascii="Times New Roman" w:hAnsi="Times New Roman" w:cs="Times New Roman"/>
          <w:sz w:val="24"/>
          <w:szCs w:val="24"/>
        </w:rPr>
        <w:t>Non-residential structures, particularly businesses, show the highest variability in damage amounts.</w:t>
      </w:r>
    </w:p>
    <w:p w14:paraId="527F322E" w14:textId="77777777" w:rsidR="00A2009C" w:rsidRPr="00A2009C" w:rsidRDefault="00A2009C" w:rsidP="00A2009C">
      <w:pPr>
        <w:numPr>
          <w:ilvl w:val="0"/>
          <w:numId w:val="6"/>
        </w:numPr>
        <w:rPr>
          <w:rFonts w:ascii="Times New Roman" w:hAnsi="Times New Roman" w:cs="Times New Roman"/>
          <w:sz w:val="24"/>
          <w:szCs w:val="24"/>
        </w:rPr>
      </w:pPr>
      <w:r w:rsidRPr="00A2009C">
        <w:rPr>
          <w:rFonts w:ascii="Times New Roman" w:hAnsi="Times New Roman" w:cs="Times New Roman"/>
          <w:sz w:val="24"/>
          <w:szCs w:val="24"/>
        </w:rPr>
        <w:t>Larger multi-family residences (5+ units) show high average damage amounts.</w:t>
      </w:r>
    </w:p>
    <w:p w14:paraId="74B4F090" w14:textId="77777777" w:rsidR="00A2009C" w:rsidRPr="00A2009C" w:rsidRDefault="00A2009C" w:rsidP="00A2009C">
      <w:pPr>
        <w:numPr>
          <w:ilvl w:val="0"/>
          <w:numId w:val="6"/>
        </w:numPr>
        <w:rPr>
          <w:rFonts w:ascii="Times New Roman" w:hAnsi="Times New Roman" w:cs="Times New Roman"/>
          <w:sz w:val="24"/>
          <w:szCs w:val="24"/>
        </w:rPr>
      </w:pPr>
      <w:r w:rsidRPr="00A2009C">
        <w:rPr>
          <w:rFonts w:ascii="Times New Roman" w:hAnsi="Times New Roman" w:cs="Times New Roman"/>
          <w:sz w:val="24"/>
          <w:szCs w:val="24"/>
        </w:rPr>
        <w:t>Agricultural use structures show lower average damage compared to most other categories.</w:t>
      </w:r>
    </w:p>
    <w:p w14:paraId="5C7DCD0E"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Data Insights</w:t>
      </w:r>
    </w:p>
    <w:p w14:paraId="61307EF4" w14:textId="77777777" w:rsidR="00A2009C" w:rsidRPr="00A2009C" w:rsidRDefault="00A2009C" w:rsidP="00A2009C">
      <w:pPr>
        <w:rPr>
          <w:rFonts w:ascii="Times New Roman" w:hAnsi="Times New Roman" w:cs="Times New Roman"/>
          <w:sz w:val="24"/>
          <w:szCs w:val="24"/>
        </w:rPr>
      </w:pPr>
      <w:r w:rsidRPr="00A2009C">
        <w:rPr>
          <w:rFonts w:ascii="Times New Roman" w:hAnsi="Times New Roman" w:cs="Times New Roman"/>
          <w:sz w:val="24"/>
          <w:szCs w:val="24"/>
        </w:rPr>
        <w:t>The agricultural use classification applies across primary structure types, providing an additional dimension to the analysis. The wide range of damage amounts within each category suggests factors beyond primary use or agricultural classification influence flood damage.</w:t>
      </w:r>
    </w:p>
    <w:p w14:paraId="6C79719F" w14:textId="77777777" w:rsidR="00A2009C" w:rsidRPr="00A2009C" w:rsidRDefault="00A2009C" w:rsidP="00A2009C"/>
    <w:sectPr w:rsidR="00A2009C" w:rsidRPr="00A20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E554C"/>
    <w:multiLevelType w:val="multilevel"/>
    <w:tmpl w:val="3EAE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F7448"/>
    <w:multiLevelType w:val="multilevel"/>
    <w:tmpl w:val="A426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A25DD"/>
    <w:multiLevelType w:val="multilevel"/>
    <w:tmpl w:val="AA9EE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452042"/>
    <w:multiLevelType w:val="multilevel"/>
    <w:tmpl w:val="808AB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0D1F98"/>
    <w:multiLevelType w:val="multilevel"/>
    <w:tmpl w:val="6ABAD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5A45F7"/>
    <w:multiLevelType w:val="multilevel"/>
    <w:tmpl w:val="B734D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865403"/>
    <w:multiLevelType w:val="multilevel"/>
    <w:tmpl w:val="76BA2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2968866">
    <w:abstractNumId w:val="2"/>
  </w:num>
  <w:num w:numId="2" w16cid:durableId="758141039">
    <w:abstractNumId w:val="0"/>
  </w:num>
  <w:num w:numId="3" w16cid:durableId="1641808680">
    <w:abstractNumId w:val="1"/>
  </w:num>
  <w:num w:numId="4" w16cid:durableId="1737630990">
    <w:abstractNumId w:val="4"/>
  </w:num>
  <w:num w:numId="5" w16cid:durableId="1226405546">
    <w:abstractNumId w:val="3"/>
  </w:num>
  <w:num w:numId="6" w16cid:durableId="945959845">
    <w:abstractNumId w:val="5"/>
  </w:num>
  <w:num w:numId="7" w16cid:durableId="21447326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3NDMxNzIxMDW0MDZT0lEKTi0uzszPAykwrAUAKw4WhiwAAAA="/>
  </w:docVars>
  <w:rsids>
    <w:rsidRoot w:val="00A2009C"/>
    <w:rsid w:val="00856B09"/>
    <w:rsid w:val="009935CD"/>
    <w:rsid w:val="009E68D5"/>
    <w:rsid w:val="00A2009C"/>
    <w:rsid w:val="00D97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9142087"/>
  <w15:chartTrackingRefBased/>
  <w15:docId w15:val="{F382C80E-904D-4A5B-BEF7-FB79BD678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0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00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0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0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0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0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0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0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0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0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00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0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0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0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0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0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0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09C"/>
    <w:rPr>
      <w:rFonts w:eastAsiaTheme="majorEastAsia" w:cstheme="majorBidi"/>
      <w:color w:val="272727" w:themeColor="text1" w:themeTint="D8"/>
    </w:rPr>
  </w:style>
  <w:style w:type="paragraph" w:styleId="Title">
    <w:name w:val="Title"/>
    <w:basedOn w:val="Normal"/>
    <w:next w:val="Normal"/>
    <w:link w:val="TitleChar"/>
    <w:uiPriority w:val="10"/>
    <w:qFormat/>
    <w:rsid w:val="00A200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0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0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09C"/>
    <w:pPr>
      <w:spacing w:before="160"/>
      <w:jc w:val="center"/>
    </w:pPr>
    <w:rPr>
      <w:i/>
      <w:iCs/>
      <w:color w:val="404040" w:themeColor="text1" w:themeTint="BF"/>
    </w:rPr>
  </w:style>
  <w:style w:type="character" w:customStyle="1" w:styleId="QuoteChar">
    <w:name w:val="Quote Char"/>
    <w:basedOn w:val="DefaultParagraphFont"/>
    <w:link w:val="Quote"/>
    <w:uiPriority w:val="29"/>
    <w:rsid w:val="00A2009C"/>
    <w:rPr>
      <w:i/>
      <w:iCs/>
      <w:color w:val="404040" w:themeColor="text1" w:themeTint="BF"/>
    </w:rPr>
  </w:style>
  <w:style w:type="paragraph" w:styleId="ListParagraph">
    <w:name w:val="List Paragraph"/>
    <w:basedOn w:val="Normal"/>
    <w:uiPriority w:val="34"/>
    <w:qFormat/>
    <w:rsid w:val="00A2009C"/>
    <w:pPr>
      <w:ind w:left="720"/>
      <w:contextualSpacing/>
    </w:pPr>
  </w:style>
  <w:style w:type="character" w:styleId="IntenseEmphasis">
    <w:name w:val="Intense Emphasis"/>
    <w:basedOn w:val="DefaultParagraphFont"/>
    <w:uiPriority w:val="21"/>
    <w:qFormat/>
    <w:rsid w:val="00A2009C"/>
    <w:rPr>
      <w:i/>
      <w:iCs/>
      <w:color w:val="0F4761" w:themeColor="accent1" w:themeShade="BF"/>
    </w:rPr>
  </w:style>
  <w:style w:type="paragraph" w:styleId="IntenseQuote">
    <w:name w:val="Intense Quote"/>
    <w:basedOn w:val="Normal"/>
    <w:next w:val="Normal"/>
    <w:link w:val="IntenseQuoteChar"/>
    <w:uiPriority w:val="30"/>
    <w:qFormat/>
    <w:rsid w:val="00A200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09C"/>
    <w:rPr>
      <w:i/>
      <w:iCs/>
      <w:color w:val="0F4761" w:themeColor="accent1" w:themeShade="BF"/>
    </w:rPr>
  </w:style>
  <w:style w:type="character" w:styleId="IntenseReference">
    <w:name w:val="Intense Reference"/>
    <w:basedOn w:val="DefaultParagraphFont"/>
    <w:uiPriority w:val="32"/>
    <w:qFormat/>
    <w:rsid w:val="00A2009C"/>
    <w:rPr>
      <w:b/>
      <w:bCs/>
      <w:smallCaps/>
      <w:color w:val="0F4761" w:themeColor="accent1" w:themeShade="BF"/>
      <w:spacing w:val="5"/>
    </w:rPr>
  </w:style>
  <w:style w:type="table" w:styleId="TableGrid">
    <w:name w:val="Table Grid"/>
    <w:basedOn w:val="TableNormal"/>
    <w:uiPriority w:val="39"/>
    <w:rsid w:val="00A20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896648">
      <w:bodyDiv w:val="1"/>
      <w:marLeft w:val="0"/>
      <w:marRight w:val="0"/>
      <w:marTop w:val="0"/>
      <w:marBottom w:val="0"/>
      <w:divBdr>
        <w:top w:val="none" w:sz="0" w:space="0" w:color="auto"/>
        <w:left w:val="none" w:sz="0" w:space="0" w:color="auto"/>
        <w:bottom w:val="none" w:sz="0" w:space="0" w:color="auto"/>
        <w:right w:val="none" w:sz="0" w:space="0" w:color="auto"/>
      </w:divBdr>
      <w:divsChild>
        <w:div w:id="464200540">
          <w:marLeft w:val="0"/>
          <w:marRight w:val="0"/>
          <w:marTop w:val="0"/>
          <w:marBottom w:val="0"/>
          <w:divBdr>
            <w:top w:val="single" w:sz="2" w:space="0" w:color="auto"/>
            <w:left w:val="single" w:sz="2" w:space="0" w:color="auto"/>
            <w:bottom w:val="single" w:sz="2" w:space="0" w:color="auto"/>
            <w:right w:val="single" w:sz="2" w:space="0" w:color="auto"/>
          </w:divBdr>
          <w:divsChild>
            <w:div w:id="1790509163">
              <w:marLeft w:val="0"/>
              <w:marRight w:val="0"/>
              <w:marTop w:val="0"/>
              <w:marBottom w:val="0"/>
              <w:divBdr>
                <w:top w:val="single" w:sz="2" w:space="0" w:color="auto"/>
                <w:left w:val="single" w:sz="2" w:space="0" w:color="auto"/>
                <w:bottom w:val="single" w:sz="2" w:space="0" w:color="auto"/>
                <w:right w:val="single" w:sz="2" w:space="0" w:color="auto"/>
              </w:divBdr>
              <w:divsChild>
                <w:div w:id="550306589">
                  <w:marLeft w:val="0"/>
                  <w:marRight w:val="0"/>
                  <w:marTop w:val="0"/>
                  <w:marBottom w:val="0"/>
                  <w:divBdr>
                    <w:top w:val="single" w:sz="2" w:space="0" w:color="auto"/>
                    <w:left w:val="single" w:sz="2" w:space="0" w:color="auto"/>
                    <w:bottom w:val="single" w:sz="2" w:space="0" w:color="auto"/>
                    <w:right w:val="single" w:sz="2" w:space="0" w:color="auto"/>
                  </w:divBdr>
                  <w:divsChild>
                    <w:div w:id="1838382984">
                      <w:marLeft w:val="0"/>
                      <w:marRight w:val="0"/>
                      <w:marTop w:val="0"/>
                      <w:marBottom w:val="0"/>
                      <w:divBdr>
                        <w:top w:val="single" w:sz="2" w:space="0" w:color="auto"/>
                        <w:left w:val="single" w:sz="2" w:space="0" w:color="auto"/>
                        <w:bottom w:val="single" w:sz="2" w:space="0" w:color="auto"/>
                        <w:right w:val="single" w:sz="2" w:space="0" w:color="auto"/>
                      </w:divBdr>
                      <w:divsChild>
                        <w:div w:id="690380426">
                          <w:marLeft w:val="0"/>
                          <w:marRight w:val="0"/>
                          <w:marTop w:val="0"/>
                          <w:marBottom w:val="0"/>
                          <w:divBdr>
                            <w:top w:val="single" w:sz="2" w:space="0" w:color="auto"/>
                            <w:left w:val="single" w:sz="2" w:space="0" w:color="auto"/>
                            <w:bottom w:val="single" w:sz="2" w:space="0" w:color="auto"/>
                            <w:right w:val="single" w:sz="2" w:space="0" w:color="auto"/>
                          </w:divBdr>
                          <w:divsChild>
                            <w:div w:id="552429129">
                              <w:marLeft w:val="0"/>
                              <w:marRight w:val="0"/>
                              <w:marTop w:val="0"/>
                              <w:marBottom w:val="0"/>
                              <w:divBdr>
                                <w:top w:val="single" w:sz="2" w:space="0" w:color="auto"/>
                                <w:left w:val="single" w:sz="2" w:space="0" w:color="auto"/>
                                <w:bottom w:val="single" w:sz="2" w:space="0" w:color="auto"/>
                                <w:right w:val="single" w:sz="2" w:space="0" w:color="auto"/>
                              </w:divBdr>
                              <w:divsChild>
                                <w:div w:id="436829030">
                                  <w:marLeft w:val="0"/>
                                  <w:marRight w:val="225"/>
                                  <w:marTop w:val="0"/>
                                  <w:marBottom w:val="0"/>
                                  <w:divBdr>
                                    <w:top w:val="single" w:sz="2" w:space="0" w:color="auto"/>
                                    <w:left w:val="single" w:sz="2" w:space="0" w:color="auto"/>
                                    <w:bottom w:val="single" w:sz="2" w:space="0" w:color="auto"/>
                                    <w:right w:val="single" w:sz="2" w:space="0" w:color="auto"/>
                                  </w:divBdr>
                                  <w:divsChild>
                                    <w:div w:id="627710251">
                                      <w:marLeft w:val="0"/>
                                      <w:marRight w:val="0"/>
                                      <w:marTop w:val="0"/>
                                      <w:marBottom w:val="0"/>
                                      <w:divBdr>
                                        <w:top w:val="single" w:sz="2" w:space="0" w:color="auto"/>
                                        <w:left w:val="single" w:sz="2" w:space="0" w:color="auto"/>
                                        <w:bottom w:val="single" w:sz="2" w:space="0" w:color="auto"/>
                                        <w:right w:val="single" w:sz="2" w:space="0" w:color="auto"/>
                                      </w:divBdr>
                                      <w:divsChild>
                                        <w:div w:id="1497039826">
                                          <w:marLeft w:val="0"/>
                                          <w:marRight w:val="0"/>
                                          <w:marTop w:val="0"/>
                                          <w:marBottom w:val="0"/>
                                          <w:divBdr>
                                            <w:top w:val="single" w:sz="2" w:space="0" w:color="auto"/>
                                            <w:left w:val="single" w:sz="2" w:space="0" w:color="auto"/>
                                            <w:bottom w:val="single" w:sz="2" w:space="0" w:color="auto"/>
                                            <w:right w:val="single" w:sz="2" w:space="0" w:color="auto"/>
                                          </w:divBdr>
                                          <w:divsChild>
                                            <w:div w:id="561411413">
                                              <w:marLeft w:val="0"/>
                                              <w:marRight w:val="0"/>
                                              <w:marTop w:val="0"/>
                                              <w:marBottom w:val="0"/>
                                              <w:divBdr>
                                                <w:top w:val="single" w:sz="2" w:space="0" w:color="auto"/>
                                                <w:left w:val="single" w:sz="2" w:space="0" w:color="auto"/>
                                                <w:bottom w:val="single" w:sz="2" w:space="0" w:color="auto"/>
                                                <w:right w:val="single" w:sz="2" w:space="0" w:color="auto"/>
                                              </w:divBdr>
                                              <w:divsChild>
                                                <w:div w:id="42023540">
                                                  <w:marLeft w:val="0"/>
                                                  <w:marRight w:val="0"/>
                                                  <w:marTop w:val="0"/>
                                                  <w:marBottom w:val="0"/>
                                                  <w:divBdr>
                                                    <w:top w:val="single" w:sz="2" w:space="0" w:color="auto"/>
                                                    <w:left w:val="single" w:sz="2" w:space="0" w:color="auto"/>
                                                    <w:bottom w:val="single" w:sz="2" w:space="0" w:color="auto"/>
                                                    <w:right w:val="single" w:sz="2" w:space="0" w:color="auto"/>
                                                  </w:divBdr>
                                                  <w:divsChild>
                                                    <w:div w:id="1727801130">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268730929">
                                                  <w:marLeft w:val="0"/>
                                                  <w:marRight w:val="0"/>
                                                  <w:marTop w:val="0"/>
                                                  <w:marBottom w:val="0"/>
                                                  <w:divBdr>
                                                    <w:top w:val="single" w:sz="6" w:space="0" w:color="auto"/>
                                                    <w:left w:val="single" w:sz="2" w:space="0" w:color="auto"/>
                                                    <w:bottom w:val="single" w:sz="2" w:space="0" w:color="auto"/>
                                                    <w:right w:val="single" w:sz="2" w:space="0" w:color="auto"/>
                                                  </w:divBdr>
                                                  <w:divsChild>
                                                    <w:div w:id="585963423">
                                                      <w:marLeft w:val="0"/>
                                                      <w:marRight w:val="0"/>
                                                      <w:marTop w:val="0"/>
                                                      <w:marBottom w:val="0"/>
                                                      <w:divBdr>
                                                        <w:top w:val="single" w:sz="2" w:space="0" w:color="auto"/>
                                                        <w:left w:val="single" w:sz="2" w:space="0" w:color="auto"/>
                                                        <w:bottom w:val="single" w:sz="2" w:space="0" w:color="auto"/>
                                                        <w:right w:val="single" w:sz="2" w:space="0" w:color="auto"/>
                                                      </w:divBdr>
                                                      <w:divsChild>
                                                        <w:div w:id="2651911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 w:id="581984510">
      <w:bodyDiv w:val="1"/>
      <w:marLeft w:val="0"/>
      <w:marRight w:val="0"/>
      <w:marTop w:val="0"/>
      <w:marBottom w:val="0"/>
      <w:divBdr>
        <w:top w:val="none" w:sz="0" w:space="0" w:color="auto"/>
        <w:left w:val="none" w:sz="0" w:space="0" w:color="auto"/>
        <w:bottom w:val="none" w:sz="0" w:space="0" w:color="auto"/>
        <w:right w:val="none" w:sz="0" w:space="0" w:color="auto"/>
      </w:divBdr>
    </w:div>
    <w:div w:id="901868861">
      <w:bodyDiv w:val="1"/>
      <w:marLeft w:val="0"/>
      <w:marRight w:val="0"/>
      <w:marTop w:val="0"/>
      <w:marBottom w:val="0"/>
      <w:divBdr>
        <w:top w:val="none" w:sz="0" w:space="0" w:color="auto"/>
        <w:left w:val="none" w:sz="0" w:space="0" w:color="auto"/>
        <w:bottom w:val="none" w:sz="0" w:space="0" w:color="auto"/>
        <w:right w:val="none" w:sz="0" w:space="0" w:color="auto"/>
      </w:divBdr>
      <w:divsChild>
        <w:div w:id="179006233">
          <w:marLeft w:val="0"/>
          <w:marRight w:val="0"/>
          <w:marTop w:val="0"/>
          <w:marBottom w:val="0"/>
          <w:divBdr>
            <w:top w:val="single" w:sz="2" w:space="0" w:color="auto"/>
            <w:left w:val="single" w:sz="2" w:space="0" w:color="auto"/>
            <w:bottom w:val="single" w:sz="2" w:space="0" w:color="auto"/>
            <w:right w:val="single" w:sz="2" w:space="0" w:color="auto"/>
          </w:divBdr>
          <w:divsChild>
            <w:div w:id="2054770440">
              <w:marLeft w:val="0"/>
              <w:marRight w:val="0"/>
              <w:marTop w:val="0"/>
              <w:marBottom w:val="0"/>
              <w:divBdr>
                <w:top w:val="single" w:sz="2" w:space="0" w:color="auto"/>
                <w:left w:val="single" w:sz="2" w:space="0" w:color="auto"/>
                <w:bottom w:val="single" w:sz="2" w:space="0" w:color="auto"/>
                <w:right w:val="single" w:sz="2" w:space="0" w:color="auto"/>
              </w:divBdr>
              <w:divsChild>
                <w:div w:id="622616496">
                  <w:marLeft w:val="0"/>
                  <w:marRight w:val="0"/>
                  <w:marTop w:val="0"/>
                  <w:marBottom w:val="0"/>
                  <w:divBdr>
                    <w:top w:val="single" w:sz="2" w:space="0" w:color="auto"/>
                    <w:left w:val="single" w:sz="2" w:space="0" w:color="auto"/>
                    <w:bottom w:val="single" w:sz="2" w:space="0" w:color="auto"/>
                    <w:right w:val="single" w:sz="2" w:space="0" w:color="auto"/>
                  </w:divBdr>
                  <w:divsChild>
                    <w:div w:id="84763999">
                      <w:marLeft w:val="0"/>
                      <w:marRight w:val="0"/>
                      <w:marTop w:val="0"/>
                      <w:marBottom w:val="0"/>
                      <w:divBdr>
                        <w:top w:val="single" w:sz="2" w:space="0" w:color="auto"/>
                        <w:left w:val="single" w:sz="2" w:space="0" w:color="auto"/>
                        <w:bottom w:val="single" w:sz="2" w:space="0" w:color="auto"/>
                        <w:right w:val="single" w:sz="2" w:space="0" w:color="auto"/>
                      </w:divBdr>
                      <w:divsChild>
                        <w:div w:id="708578725">
                          <w:marLeft w:val="0"/>
                          <w:marRight w:val="0"/>
                          <w:marTop w:val="0"/>
                          <w:marBottom w:val="0"/>
                          <w:divBdr>
                            <w:top w:val="single" w:sz="2" w:space="0" w:color="auto"/>
                            <w:left w:val="single" w:sz="2" w:space="0" w:color="auto"/>
                            <w:bottom w:val="single" w:sz="2" w:space="0" w:color="auto"/>
                            <w:right w:val="single" w:sz="2" w:space="0" w:color="auto"/>
                          </w:divBdr>
                          <w:divsChild>
                            <w:div w:id="1427336921">
                              <w:marLeft w:val="0"/>
                              <w:marRight w:val="0"/>
                              <w:marTop w:val="0"/>
                              <w:marBottom w:val="0"/>
                              <w:divBdr>
                                <w:top w:val="single" w:sz="2" w:space="0" w:color="auto"/>
                                <w:left w:val="single" w:sz="2" w:space="0" w:color="auto"/>
                                <w:bottom w:val="single" w:sz="2" w:space="0" w:color="auto"/>
                                <w:right w:val="single" w:sz="2" w:space="0" w:color="auto"/>
                              </w:divBdr>
                              <w:divsChild>
                                <w:div w:id="442457460">
                                  <w:marLeft w:val="0"/>
                                  <w:marRight w:val="225"/>
                                  <w:marTop w:val="0"/>
                                  <w:marBottom w:val="0"/>
                                  <w:divBdr>
                                    <w:top w:val="single" w:sz="2" w:space="0" w:color="auto"/>
                                    <w:left w:val="single" w:sz="2" w:space="0" w:color="auto"/>
                                    <w:bottom w:val="single" w:sz="2" w:space="0" w:color="auto"/>
                                    <w:right w:val="single" w:sz="2" w:space="0" w:color="auto"/>
                                  </w:divBdr>
                                  <w:divsChild>
                                    <w:div w:id="952663243">
                                      <w:marLeft w:val="0"/>
                                      <w:marRight w:val="0"/>
                                      <w:marTop w:val="0"/>
                                      <w:marBottom w:val="0"/>
                                      <w:divBdr>
                                        <w:top w:val="single" w:sz="2" w:space="0" w:color="auto"/>
                                        <w:left w:val="single" w:sz="2" w:space="0" w:color="auto"/>
                                        <w:bottom w:val="single" w:sz="2" w:space="0" w:color="auto"/>
                                        <w:right w:val="single" w:sz="2" w:space="0" w:color="auto"/>
                                      </w:divBdr>
                                      <w:divsChild>
                                        <w:div w:id="217908930">
                                          <w:marLeft w:val="0"/>
                                          <w:marRight w:val="0"/>
                                          <w:marTop w:val="0"/>
                                          <w:marBottom w:val="0"/>
                                          <w:divBdr>
                                            <w:top w:val="single" w:sz="2" w:space="0" w:color="auto"/>
                                            <w:left w:val="single" w:sz="2" w:space="0" w:color="auto"/>
                                            <w:bottom w:val="single" w:sz="2" w:space="0" w:color="auto"/>
                                            <w:right w:val="single" w:sz="2" w:space="0" w:color="auto"/>
                                          </w:divBdr>
                                          <w:divsChild>
                                            <w:div w:id="1685552204">
                                              <w:marLeft w:val="0"/>
                                              <w:marRight w:val="0"/>
                                              <w:marTop w:val="0"/>
                                              <w:marBottom w:val="0"/>
                                              <w:divBdr>
                                                <w:top w:val="single" w:sz="2" w:space="0" w:color="auto"/>
                                                <w:left w:val="single" w:sz="2" w:space="0" w:color="auto"/>
                                                <w:bottom w:val="single" w:sz="2" w:space="0" w:color="auto"/>
                                                <w:right w:val="single" w:sz="2" w:space="0" w:color="auto"/>
                                              </w:divBdr>
                                              <w:divsChild>
                                                <w:div w:id="2142651266">
                                                  <w:marLeft w:val="0"/>
                                                  <w:marRight w:val="0"/>
                                                  <w:marTop w:val="0"/>
                                                  <w:marBottom w:val="0"/>
                                                  <w:divBdr>
                                                    <w:top w:val="single" w:sz="2" w:space="0" w:color="auto"/>
                                                    <w:left w:val="single" w:sz="2" w:space="0" w:color="auto"/>
                                                    <w:bottom w:val="single" w:sz="2" w:space="0" w:color="auto"/>
                                                    <w:right w:val="single" w:sz="2" w:space="0" w:color="auto"/>
                                                  </w:divBdr>
                                                  <w:divsChild>
                                                    <w:div w:id="322704322">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1780029824">
                                                  <w:marLeft w:val="0"/>
                                                  <w:marRight w:val="0"/>
                                                  <w:marTop w:val="0"/>
                                                  <w:marBottom w:val="0"/>
                                                  <w:divBdr>
                                                    <w:top w:val="single" w:sz="6" w:space="0" w:color="auto"/>
                                                    <w:left w:val="single" w:sz="2" w:space="0" w:color="auto"/>
                                                    <w:bottom w:val="single" w:sz="2" w:space="0" w:color="auto"/>
                                                    <w:right w:val="single" w:sz="2" w:space="0" w:color="auto"/>
                                                  </w:divBdr>
                                                  <w:divsChild>
                                                    <w:div w:id="49962193">
                                                      <w:marLeft w:val="0"/>
                                                      <w:marRight w:val="0"/>
                                                      <w:marTop w:val="0"/>
                                                      <w:marBottom w:val="0"/>
                                                      <w:divBdr>
                                                        <w:top w:val="single" w:sz="2" w:space="0" w:color="auto"/>
                                                        <w:left w:val="single" w:sz="2" w:space="0" w:color="auto"/>
                                                        <w:bottom w:val="single" w:sz="2" w:space="0" w:color="auto"/>
                                                        <w:right w:val="single" w:sz="2" w:space="0" w:color="auto"/>
                                                      </w:divBdr>
                                                      <w:divsChild>
                                                        <w:div w:id="16513264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 w:id="137842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344</Words>
  <Characters>1967</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R. Andrews</dc:creator>
  <cp:keywords/>
  <dc:description/>
  <cp:lastModifiedBy>Jesse R. Andrews</cp:lastModifiedBy>
  <cp:revision>3</cp:revision>
  <dcterms:created xsi:type="dcterms:W3CDTF">2024-06-24T16:25:00Z</dcterms:created>
  <dcterms:modified xsi:type="dcterms:W3CDTF">2024-06-24T16:26:00Z</dcterms:modified>
</cp:coreProperties>
</file>