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ED06E" w14:textId="77777777" w:rsidR="00CA71AE" w:rsidRPr="00FE51CC" w:rsidRDefault="00CA71AE" w:rsidP="00FA06E6">
      <w:pPr>
        <w:pStyle w:val="NormalWeb"/>
        <w:spacing w:before="0" w:beforeAutospacing="0"/>
        <w:rPr>
          <w:b/>
          <w:bCs/>
          <w:color w:val="000000"/>
          <w:sz w:val="22"/>
          <w:szCs w:val="22"/>
        </w:rPr>
      </w:pPr>
      <w:r w:rsidRPr="00FE51CC">
        <w:rPr>
          <w:b/>
          <w:bCs/>
          <w:sz w:val="22"/>
          <w:szCs w:val="22"/>
        </w:rPr>
        <w:t>Who Owns the Floodplain? Organizational Form, Portfolio Scale, and Regulatory Flood Exposure in Douglas County, Nebraska</w:t>
      </w:r>
      <w:r w:rsidRPr="00FE51CC">
        <w:rPr>
          <w:b/>
          <w:bCs/>
          <w:color w:val="000000"/>
          <w:sz w:val="22"/>
          <w:szCs w:val="22"/>
        </w:rPr>
        <w:br/>
      </w:r>
    </w:p>
    <w:p w14:paraId="45EF1873" w14:textId="5731B2B4" w:rsidR="006C5D7F" w:rsidRPr="00F1329A" w:rsidRDefault="006C5D7F" w:rsidP="00FA06E6">
      <w:pPr>
        <w:rPr>
          <w:rFonts w:ascii="Times New Roman" w:hAnsi="Times New Roman" w:cs="Times New Roman"/>
          <w:b/>
          <w:bCs/>
          <w:i/>
          <w:iCs/>
        </w:rPr>
      </w:pPr>
      <w:r w:rsidRPr="00F1329A">
        <w:rPr>
          <w:rFonts w:ascii="Times New Roman" w:hAnsi="Times New Roman" w:cs="Times New Roman"/>
          <w:b/>
          <w:bCs/>
          <w:i/>
          <w:iCs/>
        </w:rPr>
        <w:t>Abstract</w:t>
      </w:r>
    </w:p>
    <w:p w14:paraId="70323258" w14:textId="757B172F" w:rsidR="004138CC" w:rsidRDefault="004138CC" w:rsidP="004138CC">
      <w:pPr>
        <w:rPr>
          <w:rFonts w:ascii="Times New Roman" w:hAnsi="Times New Roman" w:cs="Times New Roman"/>
        </w:rPr>
      </w:pPr>
      <w:r w:rsidRPr="00753C1D">
        <w:rPr>
          <w:rFonts w:ascii="Times New Roman" w:hAnsi="Times New Roman" w:cs="Times New Roman"/>
        </w:rPr>
        <w:t>This study develops a novel analytics pipeline to address a critical gap in urban flood governance: understanding who owns flood-exposed properties, not just where they are located. Using all single-family residential parcels in Douglas County, Nebraska, we link property ownership to regulatory floodplains as defined by FEMA's Special Flood Hazard Areas. The methodology classifies owners into five organizational forms—Individual, LLC, Corporation, Trust, and Government/Nonprofit—and by portfolio scale using a fine-tuned BERT transformer model. A modified Poisson regression with neighborhood fixed effects is used to estimate the association between owner type and flood exposure, controlling for parcel attributes and micro-spatial heterogeneity.</w:t>
      </w:r>
      <w:r>
        <w:rPr>
          <w:rFonts w:ascii="Times New Roman" w:hAnsi="Times New Roman" w:cs="Times New Roman"/>
        </w:rPr>
        <w:t xml:space="preserve"> Our </w:t>
      </w:r>
      <w:r w:rsidRPr="00753C1D">
        <w:rPr>
          <w:rFonts w:ascii="Times New Roman" w:hAnsi="Times New Roman" w:cs="Times New Roman"/>
        </w:rPr>
        <w:t>findings reveal that ownership structure is a significant correlate of flood</w:t>
      </w:r>
      <w:r>
        <w:rPr>
          <w:rFonts w:ascii="Times New Roman" w:hAnsi="Times New Roman" w:cs="Times New Roman"/>
        </w:rPr>
        <w:t xml:space="preserve"> </w:t>
      </w:r>
      <w:r w:rsidRPr="00753C1D">
        <w:rPr>
          <w:rFonts w:ascii="Times New Roman" w:hAnsi="Times New Roman" w:cs="Times New Roman"/>
        </w:rPr>
        <w:t>expos</w:t>
      </w:r>
      <w:r>
        <w:rPr>
          <w:rFonts w:ascii="Times New Roman" w:hAnsi="Times New Roman" w:cs="Times New Roman"/>
        </w:rPr>
        <w:t>ure at the</w:t>
      </w:r>
      <w:r w:rsidRPr="00753C1D">
        <w:rPr>
          <w:rFonts w:ascii="Times New Roman" w:hAnsi="Times New Roman" w:cs="Times New Roman"/>
        </w:rPr>
        <w:t xml:space="preserve"> parcel</w:t>
      </w:r>
      <w:r>
        <w:rPr>
          <w:rFonts w:ascii="Times New Roman" w:hAnsi="Times New Roman" w:cs="Times New Roman"/>
        </w:rPr>
        <w:t xml:space="preserve"> level</w:t>
      </w:r>
      <w:r w:rsidRPr="00753C1D">
        <w:rPr>
          <w:rFonts w:ascii="Times New Roman" w:hAnsi="Times New Roman" w:cs="Times New Roman"/>
        </w:rPr>
        <w:t>. After adjusting for confounders, single</w:t>
      </w:r>
      <w:r>
        <w:rPr>
          <w:rFonts w:ascii="Times New Roman" w:hAnsi="Times New Roman" w:cs="Times New Roman"/>
        </w:rPr>
        <w:t xml:space="preserve"> </w:t>
      </w:r>
      <w:r w:rsidRPr="00753C1D">
        <w:rPr>
          <w:rFonts w:ascii="Times New Roman" w:hAnsi="Times New Roman" w:cs="Times New Roman"/>
        </w:rPr>
        <w:t xml:space="preserve">parcel LLCs exhibit the highest risk of exposure, with a 72% higher risk than single-parcel Individuals. Multi-parcel Corporations and multi-parcel LLCs also show significantly elevated exposure. </w:t>
      </w:r>
      <w:r>
        <w:rPr>
          <w:rFonts w:ascii="Times New Roman" w:hAnsi="Times New Roman" w:cs="Times New Roman"/>
        </w:rPr>
        <w:t>S</w:t>
      </w:r>
      <w:r w:rsidRPr="00753C1D">
        <w:rPr>
          <w:rFonts w:ascii="Times New Roman" w:hAnsi="Times New Roman" w:cs="Times New Roman"/>
        </w:rPr>
        <w:t>ingle</w:t>
      </w:r>
      <w:r>
        <w:rPr>
          <w:rFonts w:ascii="Times New Roman" w:hAnsi="Times New Roman" w:cs="Times New Roman"/>
        </w:rPr>
        <w:t xml:space="preserve"> </w:t>
      </w:r>
      <w:r w:rsidRPr="00753C1D">
        <w:rPr>
          <w:rFonts w:ascii="Times New Roman" w:hAnsi="Times New Roman" w:cs="Times New Roman"/>
        </w:rPr>
        <w:t>parcel LLCs have greater exposure than their multi-parcel counterparts, whereas multi-parcel Corporations have greater exposure than single-parcel ones. This reproducible framework provides a nuanced, transferable tool for making ownership visible, enabling more precise and equitable floodplain governance.</w:t>
      </w:r>
    </w:p>
    <w:p w14:paraId="071C9E0B" w14:textId="67285145" w:rsidR="003666C4" w:rsidRDefault="00F57440" w:rsidP="00FA06E6">
      <w:pPr>
        <w:rPr>
          <w:rFonts w:ascii="Times New Roman" w:hAnsi="Times New Roman" w:cs="Times New Roman"/>
          <w:b/>
          <w:bCs/>
        </w:rPr>
      </w:pPr>
      <w:r w:rsidRPr="00CB1A01">
        <w:rPr>
          <w:rFonts w:ascii="Times New Roman" w:hAnsi="Times New Roman" w:cs="Times New Roman"/>
          <w:b/>
          <w:bCs/>
        </w:rPr>
        <w:t>Keywords</w:t>
      </w:r>
      <w:r>
        <w:rPr>
          <w:rFonts w:ascii="Times New Roman" w:hAnsi="Times New Roman" w:cs="Times New Roman"/>
        </w:rPr>
        <w:t xml:space="preserve">: </w:t>
      </w:r>
      <w:r w:rsidR="009D26A8" w:rsidRPr="009D26A8">
        <w:rPr>
          <w:rFonts w:ascii="Times New Roman" w:hAnsi="Times New Roman" w:cs="Times New Roman"/>
        </w:rPr>
        <w:t>Flood Exposure; Ownership Structure; Urban Analytics; Limited Liability Companies (LLCs);</w:t>
      </w:r>
      <w:r w:rsidR="009D26A8">
        <w:rPr>
          <w:rFonts w:ascii="Times New Roman" w:hAnsi="Times New Roman" w:cs="Times New Roman"/>
        </w:rPr>
        <w:t xml:space="preserve"> </w:t>
      </w:r>
      <w:r w:rsidR="009D26A8" w:rsidRPr="009D26A8">
        <w:rPr>
          <w:rFonts w:ascii="Times New Roman" w:hAnsi="Times New Roman" w:cs="Times New Roman"/>
        </w:rPr>
        <w:t>Floodplain Management</w:t>
      </w:r>
      <w:r w:rsidR="006C5D7F">
        <w:rPr>
          <w:rFonts w:ascii="Times New Roman" w:hAnsi="Times New Roman" w:cs="Times New Roman"/>
        </w:rPr>
        <w:br/>
      </w:r>
    </w:p>
    <w:p w14:paraId="2A16006A" w14:textId="6FE7B3C8" w:rsidR="006C5D7F" w:rsidRPr="006C5D7F" w:rsidRDefault="006C5D7F" w:rsidP="00FA06E6">
      <w:pPr>
        <w:rPr>
          <w:rFonts w:ascii="Times New Roman" w:hAnsi="Times New Roman" w:cs="Times New Roman"/>
        </w:rPr>
      </w:pPr>
      <w:r w:rsidRPr="006C5D7F">
        <w:rPr>
          <w:rFonts w:ascii="Times New Roman" w:hAnsi="Times New Roman" w:cs="Times New Roman"/>
          <w:b/>
          <w:bCs/>
        </w:rPr>
        <w:t>1. Introduction</w:t>
      </w:r>
    </w:p>
    <w:p w14:paraId="291ABE85" w14:textId="77777777" w:rsidR="006C5D7F" w:rsidRPr="006C5D7F" w:rsidRDefault="006C5D7F" w:rsidP="00FA06E6">
      <w:pPr>
        <w:rPr>
          <w:rFonts w:ascii="Times New Roman" w:hAnsi="Times New Roman" w:cs="Times New Roman"/>
        </w:rPr>
      </w:pPr>
      <w:r w:rsidRPr="006C5D7F">
        <w:rPr>
          <w:rFonts w:ascii="Times New Roman" w:hAnsi="Times New Roman" w:cs="Times New Roman"/>
        </w:rPr>
        <w:t>Flooding is the most common and among the costliest natural disasters in the United States (FEMA 2025). While regulatory flood maps can identify where risk is located, they reveal little about who holds that risk—a critical blind spot for disclosure, mitigation, insurance, and recovery. The need to link mapped hazard to owners is made more urgent by evidence that flood risk is not fully priced into property values: recent national estimates of housing overvaluation in flood‑exposed areas suggest that many market participants misperceive or discount the hazard they are acquiring (</w:t>
      </w:r>
      <w:proofErr w:type="spellStart"/>
      <w:r w:rsidRPr="006C5D7F">
        <w:rPr>
          <w:rFonts w:ascii="Times New Roman" w:hAnsi="Times New Roman" w:cs="Times New Roman"/>
        </w:rPr>
        <w:t>Gourevitch</w:t>
      </w:r>
      <w:proofErr w:type="spellEnd"/>
      <w:r w:rsidRPr="006C5D7F">
        <w:rPr>
          <w:rFonts w:ascii="Times New Roman" w:hAnsi="Times New Roman" w:cs="Times New Roman"/>
        </w:rPr>
        <w:t xml:space="preserve"> et al., 2023). In short, effective urban flood governance requires visibility into both the geography of hazard and the ownership of that hazard. This paper addresses that measurement challenge with a city‑scale analytics pipeline and applies it to all single‑family residential (SFR) parcels in Douglas County, Nebraska. </w:t>
      </w:r>
    </w:p>
    <w:p w14:paraId="020BD042" w14:textId="2E2DCD49" w:rsidR="006C5D7F" w:rsidRPr="006C5D7F" w:rsidRDefault="006C5D7F" w:rsidP="00FA06E6">
      <w:pPr>
        <w:rPr>
          <w:rFonts w:ascii="Times New Roman" w:hAnsi="Times New Roman" w:cs="Times New Roman"/>
        </w:rPr>
      </w:pPr>
      <w:r w:rsidRPr="006C5D7F">
        <w:rPr>
          <w:rFonts w:ascii="Times New Roman" w:hAnsi="Times New Roman" w:cs="Times New Roman"/>
        </w:rPr>
        <w:t>A</w:t>
      </w:r>
      <w:r w:rsidR="00486428">
        <w:rPr>
          <w:rFonts w:ascii="Times New Roman" w:hAnsi="Times New Roman" w:cs="Times New Roman"/>
        </w:rPr>
        <w:t>n</w:t>
      </w:r>
      <w:r w:rsidRPr="006C5D7F">
        <w:rPr>
          <w:rFonts w:ascii="Times New Roman" w:hAnsi="Times New Roman" w:cs="Times New Roman"/>
        </w:rPr>
        <w:t xml:space="preserve"> obstacle</w:t>
      </w:r>
      <w:r w:rsidR="00486428">
        <w:rPr>
          <w:rFonts w:ascii="Times New Roman" w:hAnsi="Times New Roman" w:cs="Times New Roman"/>
        </w:rPr>
        <w:t xml:space="preserve"> in this type of research</w:t>
      </w:r>
      <w:r w:rsidRPr="006C5D7F">
        <w:rPr>
          <w:rFonts w:ascii="Times New Roman" w:hAnsi="Times New Roman" w:cs="Times New Roman"/>
        </w:rPr>
        <w:t xml:space="preserve"> is that common operational definitions—such as absentee flags based on mailing</w:t>
      </w:r>
      <w:r w:rsidR="00941C02">
        <w:rPr>
          <w:rFonts w:ascii="Times New Roman" w:hAnsi="Times New Roman" w:cs="Times New Roman"/>
        </w:rPr>
        <w:t xml:space="preserve"> </w:t>
      </w:r>
      <w:r w:rsidRPr="006C5D7F">
        <w:rPr>
          <w:rFonts w:ascii="Times New Roman" w:hAnsi="Times New Roman" w:cs="Times New Roman"/>
        </w:rPr>
        <w:t>address mismatches or neighborhood‑level renter shares—flatten heterogeneity among owners and risk conflating distance with exposure (Petrzelka et al., 2013; Ulrich‑Schad et al., 2016). These proxies can obscure differences in objectives, information sets, and liability structures between, for example, Individuals, Trusts, and business entities. Building on a decision‑based view of owners, we therefore replace generic absentee measures with a tractable taxonomy defined at the owner‑of‑record level. We classify owners into five mutually exclusive organizational forms—Individual, LLC, Corporation, Trust, Government/Nonprofit—and cross this with portfolio scale measured via an exact name match</w:t>
      </w:r>
      <w:r w:rsidR="00F034F9">
        <w:rPr>
          <w:rFonts w:ascii="Times New Roman" w:hAnsi="Times New Roman" w:cs="Times New Roman"/>
        </w:rPr>
        <w:t xml:space="preserve">. </w:t>
      </w:r>
      <w:r w:rsidRPr="006C5D7F">
        <w:rPr>
          <w:rFonts w:ascii="Times New Roman" w:hAnsi="Times New Roman" w:cs="Times New Roman"/>
        </w:rPr>
        <w:t xml:space="preserve">Organizational form and scale together encode distinct incentives and capacities and can be </w:t>
      </w:r>
      <w:r w:rsidRPr="006C5D7F">
        <w:rPr>
          <w:rFonts w:ascii="Times New Roman" w:hAnsi="Times New Roman" w:cs="Times New Roman"/>
        </w:rPr>
        <w:lastRenderedPageBreak/>
        <w:t>observed consistently in assessor files at city scale (</w:t>
      </w:r>
      <w:proofErr w:type="spellStart"/>
      <w:r w:rsidRPr="006C5D7F">
        <w:rPr>
          <w:rFonts w:ascii="Times New Roman" w:hAnsi="Times New Roman" w:cs="Times New Roman"/>
        </w:rPr>
        <w:t>Robsky</w:t>
      </w:r>
      <w:proofErr w:type="spellEnd"/>
      <w:r w:rsidRPr="006C5D7F">
        <w:rPr>
          <w:rFonts w:ascii="Times New Roman" w:hAnsi="Times New Roman" w:cs="Times New Roman"/>
        </w:rPr>
        <w:t xml:space="preserve"> Huntley et al., 2022; An et al., 2024; Cook et al., 2024). </w:t>
      </w:r>
    </w:p>
    <w:p w14:paraId="1A412296" w14:textId="3BA5CACA" w:rsidR="006C5D7F" w:rsidRPr="006C5D7F" w:rsidRDefault="006C5D7F" w:rsidP="00FA06E6">
      <w:pPr>
        <w:rPr>
          <w:rFonts w:ascii="Times New Roman" w:hAnsi="Times New Roman" w:cs="Times New Roman"/>
        </w:rPr>
      </w:pPr>
      <w:r w:rsidRPr="006C5D7F">
        <w:rPr>
          <w:rFonts w:ascii="Times New Roman" w:hAnsi="Times New Roman" w:cs="Times New Roman"/>
        </w:rPr>
        <w:t>Our contribution is methodological as well as substantive. We assemble an pipeline that: (</w:t>
      </w:r>
      <w:proofErr w:type="spellStart"/>
      <w:r w:rsidRPr="006C5D7F">
        <w:rPr>
          <w:rFonts w:ascii="Times New Roman" w:hAnsi="Times New Roman" w:cs="Times New Roman"/>
        </w:rPr>
        <w:t>i</w:t>
      </w:r>
      <w:proofErr w:type="spellEnd"/>
      <w:r w:rsidRPr="006C5D7F">
        <w:rPr>
          <w:rFonts w:ascii="Times New Roman" w:hAnsi="Times New Roman" w:cs="Times New Roman"/>
        </w:rPr>
        <w:t xml:space="preserve">) uses a fine‑tuned transformer to assign organizational form from owner‑of‑record strings; (ii) aggregates parcels to the legal name to measure portfolio scale; (iii) overlays assessor parcels with FEMA Special Flood Hazard Areas (SFHAs) to define regulatory exposure; and (iv) estimates parcel‑level associations using a modified Poisson model with a log link (Zou, 2004) and neighborhood fixed effects to absorb micro‑spatial heterogeneity. </w:t>
      </w:r>
      <w:r w:rsidR="00836294" w:rsidRPr="006C5D7F">
        <w:rPr>
          <w:rFonts w:ascii="Times New Roman" w:hAnsi="Times New Roman" w:cs="Times New Roman"/>
        </w:rPr>
        <w:t>Spatial</w:t>
      </w:r>
      <w:r w:rsidR="00836294">
        <w:rPr>
          <w:rFonts w:ascii="Times New Roman" w:hAnsi="Times New Roman" w:cs="Times New Roman"/>
        </w:rPr>
        <w:t xml:space="preserve"> autocorrelation</w:t>
      </w:r>
      <w:r w:rsidRPr="006C5D7F">
        <w:rPr>
          <w:rFonts w:ascii="Times New Roman" w:hAnsi="Times New Roman" w:cs="Times New Roman"/>
        </w:rPr>
        <w:t xml:space="preserve"> motivate</w:t>
      </w:r>
      <w:r w:rsidR="00DB46DE">
        <w:rPr>
          <w:rFonts w:ascii="Times New Roman" w:hAnsi="Times New Roman" w:cs="Times New Roman"/>
        </w:rPr>
        <w:t>s</w:t>
      </w:r>
      <w:r w:rsidRPr="006C5D7F">
        <w:rPr>
          <w:rFonts w:ascii="Times New Roman" w:hAnsi="Times New Roman" w:cs="Times New Roman"/>
        </w:rPr>
        <w:t xml:space="preserve"> the use of fixed effects, and a concentration module quantifies how</w:t>
      </w:r>
      <w:r w:rsidR="00122026">
        <w:rPr>
          <w:rFonts w:ascii="Times New Roman" w:hAnsi="Times New Roman" w:cs="Times New Roman"/>
        </w:rPr>
        <w:t xml:space="preserve"> parcels </w:t>
      </w:r>
      <w:r w:rsidRPr="006C5D7F">
        <w:rPr>
          <w:rFonts w:ascii="Times New Roman" w:hAnsi="Times New Roman" w:cs="Times New Roman"/>
        </w:rPr>
        <w:t>located</w:t>
      </w:r>
      <w:r w:rsidR="00122026">
        <w:rPr>
          <w:rFonts w:ascii="Times New Roman" w:hAnsi="Times New Roman" w:cs="Times New Roman"/>
        </w:rPr>
        <w:t xml:space="preserve"> in SFHAs</w:t>
      </w:r>
      <w:r w:rsidRPr="006C5D7F">
        <w:rPr>
          <w:rFonts w:ascii="Times New Roman" w:hAnsi="Times New Roman" w:cs="Times New Roman"/>
        </w:rPr>
        <w:t xml:space="preserve"> are distributed across owners within each form via Lorenz curves and Gini coefficients. We retain the legal shell as the unit of analysis—rather than fully consolidating to beneficial owners—to preserve the ability to test liability‑siloing mechanisms associated with single‑asset LLCs; registry‑based linkage can be layered as an extension where appropriate (Hangen &amp; O’Brien, 2024; Travis, 2019). </w:t>
      </w:r>
    </w:p>
    <w:p w14:paraId="234C6BC8" w14:textId="6FC7588B" w:rsidR="00750BC5" w:rsidRPr="006A7163" w:rsidRDefault="006A7163" w:rsidP="006A7163">
      <w:pPr>
        <w:rPr>
          <w:rFonts w:ascii="Times New Roman" w:hAnsi="Times New Roman" w:cs="Times New Roman"/>
        </w:rPr>
      </w:pPr>
      <w:r w:rsidRPr="006A7163">
        <w:rPr>
          <w:rFonts w:ascii="Times New Roman" w:hAnsi="Times New Roman" w:cs="Times New Roman"/>
        </w:rPr>
        <w:t xml:space="preserve">Our expectations draw from three strands of scholarship. First, when hazard is discounted or imperfectly capitalized, more transactional or return-seeking owners may sort into higher‑risk assets if expected returns compensate for losses. Evidence from property markets and post-disaster single‑family rental strategies suggest systematic targeting of lower cost or distressed submarkets and differences in yield across places (Bin &amp; Polasky, 2004; Atreya &amp; Ferreira, 2015; </w:t>
      </w:r>
      <w:proofErr w:type="spellStart"/>
      <w:r w:rsidRPr="006A7163">
        <w:rPr>
          <w:rFonts w:ascii="Times New Roman" w:hAnsi="Times New Roman" w:cs="Times New Roman"/>
        </w:rPr>
        <w:t>Immergluck</w:t>
      </w:r>
      <w:proofErr w:type="spellEnd"/>
      <w:r w:rsidRPr="006A7163">
        <w:rPr>
          <w:rFonts w:ascii="Times New Roman" w:hAnsi="Times New Roman" w:cs="Times New Roman"/>
        </w:rPr>
        <w:t xml:space="preserve"> &amp; Law, 2014a, 2014b; Colburn et al., 2021; Demers &amp; Eisfeldt, 2022; </w:t>
      </w:r>
      <w:proofErr w:type="spellStart"/>
      <w:r w:rsidRPr="006A7163">
        <w:rPr>
          <w:rFonts w:ascii="Times New Roman" w:hAnsi="Times New Roman" w:cs="Times New Roman"/>
        </w:rPr>
        <w:t>Gourevitch</w:t>
      </w:r>
      <w:proofErr w:type="spellEnd"/>
      <w:r w:rsidRPr="006A7163">
        <w:rPr>
          <w:rFonts w:ascii="Times New Roman" w:hAnsi="Times New Roman" w:cs="Times New Roman"/>
        </w:rPr>
        <w:t xml:space="preserve"> et al., 2023). Second, information frictions can disadvantage remote owners with proximity shaping both acquisition and ongoing management (Petrzelka et al., 2013; Ulrich‑Schad et al., 2016; Fields, 2022; </w:t>
      </w:r>
      <w:proofErr w:type="spellStart"/>
      <w:r w:rsidRPr="006A7163">
        <w:rPr>
          <w:rFonts w:ascii="Times New Roman" w:hAnsi="Times New Roman" w:cs="Times New Roman"/>
        </w:rPr>
        <w:t>D’Lima</w:t>
      </w:r>
      <w:proofErr w:type="spellEnd"/>
      <w:r w:rsidRPr="006A7163">
        <w:rPr>
          <w:rFonts w:ascii="Times New Roman" w:hAnsi="Times New Roman" w:cs="Times New Roman"/>
        </w:rPr>
        <w:t xml:space="preserve"> &amp; Schultz, 2021). Third, in rental settings</w:t>
      </w:r>
      <w:r w:rsidR="00750BC5">
        <w:rPr>
          <w:rFonts w:ascii="Times New Roman" w:hAnsi="Times New Roman" w:cs="Times New Roman"/>
        </w:rPr>
        <w:t>,</w:t>
      </w:r>
      <w:r w:rsidRPr="006A7163">
        <w:rPr>
          <w:rFonts w:ascii="Times New Roman" w:hAnsi="Times New Roman" w:cs="Times New Roman"/>
        </w:rPr>
        <w:t xml:space="preserve"> principal–agent problems and compliance dynamics interact with legal form: landlords do not directly bear tenant losses from flooding; code maintenance varies with investor type; and single-asset LLCs can fragment liability in ways that complicate enforcement (Ellen et al., 2013; Rose &amp; Harris, 2022; Harrison et al., 2025; Travis, 2019). These mechanisms motivate contrasts across LLC and Corporation portfolios versus Individual and Trust holdings, and, crucially, comparisons within each form between single-parcel and multi‑parcel entities.</w:t>
      </w:r>
    </w:p>
    <w:p w14:paraId="4520F1C0" w14:textId="28D02987" w:rsidR="006A7163" w:rsidRDefault="006A7163" w:rsidP="006A7163">
      <w:pPr>
        <w:rPr>
          <w:rFonts w:ascii="Times New Roman" w:hAnsi="Times New Roman" w:cs="Times New Roman"/>
        </w:rPr>
      </w:pPr>
      <w:r w:rsidRPr="006A7163">
        <w:rPr>
          <w:rFonts w:ascii="Times New Roman" w:hAnsi="Times New Roman" w:cs="Times New Roman"/>
        </w:rPr>
        <w:t xml:space="preserve">To operationalize these theoretical expectations, our study investigates the systematic patterns linking ownership structure to flood exposure. We organize the analysis around three questions. </w:t>
      </w:r>
      <w:r w:rsidR="00750BC5">
        <w:rPr>
          <w:rFonts w:ascii="Times New Roman" w:hAnsi="Times New Roman" w:cs="Times New Roman"/>
        </w:rPr>
        <w:t>(</w:t>
      </w:r>
      <w:proofErr w:type="spellStart"/>
      <w:r w:rsidR="00750BC5">
        <w:rPr>
          <w:rFonts w:ascii="Times New Roman" w:hAnsi="Times New Roman" w:cs="Times New Roman"/>
        </w:rPr>
        <w:t>i</w:t>
      </w:r>
      <w:proofErr w:type="spellEnd"/>
      <w:r w:rsidR="00750BC5">
        <w:rPr>
          <w:rFonts w:ascii="Times New Roman" w:hAnsi="Times New Roman" w:cs="Times New Roman"/>
        </w:rPr>
        <w:t xml:space="preserve">) </w:t>
      </w:r>
      <w:r w:rsidRPr="006A7163">
        <w:rPr>
          <w:rFonts w:ascii="Times New Roman" w:hAnsi="Times New Roman" w:cs="Times New Roman"/>
        </w:rPr>
        <w:t xml:space="preserve">First, how do unadjusted rates of location within SFHAs differ across organizational forms—Individual, LLC, Corporation, Trust, and Government/Nonprofit—and between single-parcel and multi‑parcel owners, and do these patterns differ for vacant versus improved parcels? </w:t>
      </w:r>
      <w:r w:rsidR="00750BC5">
        <w:rPr>
          <w:rFonts w:ascii="Times New Roman" w:hAnsi="Times New Roman" w:cs="Times New Roman"/>
        </w:rPr>
        <w:t xml:space="preserve">(ii) </w:t>
      </w:r>
      <w:r w:rsidRPr="006A7163">
        <w:rPr>
          <w:rFonts w:ascii="Times New Roman" w:hAnsi="Times New Roman" w:cs="Times New Roman"/>
        </w:rPr>
        <w:t xml:space="preserve">Second, conditional on parcel attributes and neighborhood context, do organizational form and portfolio scale remain associated with SFHA exposure when estimated in a modified Poisson framework that reports interpretable risk ratios? </w:t>
      </w:r>
      <w:r w:rsidR="00750BC5">
        <w:rPr>
          <w:rFonts w:ascii="Times New Roman" w:hAnsi="Times New Roman" w:cs="Times New Roman"/>
        </w:rPr>
        <w:t xml:space="preserve">(iii) </w:t>
      </w:r>
      <w:r w:rsidRPr="006A7163">
        <w:rPr>
          <w:rFonts w:ascii="Times New Roman" w:hAnsi="Times New Roman" w:cs="Times New Roman"/>
        </w:rPr>
        <w:t>Third, within each organizational form, do single-parcel owners differ from multi‑parcel owners in how often their parcels fall within SFHAs, consistent with liability siloing among single-asset LLCs and scale dynamics among corporations?</w:t>
      </w:r>
    </w:p>
    <w:p w14:paraId="0D8E9FD5" w14:textId="7B92ADC2" w:rsidR="0021473D" w:rsidRPr="00AA111C" w:rsidRDefault="006C5D7F" w:rsidP="006A7163">
      <w:pPr>
        <w:rPr>
          <w:rFonts w:ascii="Times New Roman" w:hAnsi="Times New Roman" w:cs="Times New Roman"/>
          <w:b/>
          <w:bCs/>
        </w:rPr>
      </w:pPr>
      <w:r w:rsidRPr="006C5D7F">
        <w:rPr>
          <w:rFonts w:ascii="Times New Roman" w:hAnsi="Times New Roman" w:cs="Times New Roman"/>
        </w:rPr>
        <w:t xml:space="preserve">By centering organizational form and portfolio scale—and by embedding these dimensions in a transparent, reproducible city‑scale pipeline—this study moves beyond a binary absentee/local lens to a measurement framework that connects legal structures and operating scale to the geography of regulatory flood exposure. The approach is designed to be </w:t>
      </w:r>
      <w:r w:rsidR="00074513" w:rsidRPr="006C5D7F">
        <w:rPr>
          <w:rFonts w:ascii="Times New Roman" w:hAnsi="Times New Roman" w:cs="Times New Roman"/>
        </w:rPr>
        <w:t>transferable</w:t>
      </w:r>
      <w:r w:rsidRPr="006C5D7F">
        <w:rPr>
          <w:rFonts w:ascii="Times New Roman" w:hAnsi="Times New Roman" w:cs="Times New Roman"/>
        </w:rPr>
        <w:t xml:space="preserve">: it relies on widely available assessor </w:t>
      </w:r>
      <w:r w:rsidR="005E4C98">
        <w:rPr>
          <w:rFonts w:ascii="Times New Roman" w:hAnsi="Times New Roman" w:cs="Times New Roman"/>
        </w:rPr>
        <w:t>data</w:t>
      </w:r>
      <w:r w:rsidRPr="006C5D7F">
        <w:rPr>
          <w:rFonts w:ascii="Times New Roman" w:hAnsi="Times New Roman" w:cs="Times New Roman"/>
        </w:rPr>
        <w:t xml:space="preserve">, an auditable classification step, and neighborhood fixed effects that hold micro‑spatial heterogeneity constant while preserving policy‑relevant interpretability. In doing so, we aim to make who holds mapped </w:t>
      </w:r>
      <w:r w:rsidRPr="006C5D7F">
        <w:rPr>
          <w:rFonts w:ascii="Times New Roman" w:hAnsi="Times New Roman" w:cs="Times New Roman"/>
        </w:rPr>
        <w:lastRenderedPageBreak/>
        <w:t>flood exposure empirically visible in a way that supports both urban analytics and actionable governance.</w:t>
      </w:r>
      <w:r w:rsidR="0021473D">
        <w:rPr>
          <w:rFonts w:ascii="Times New Roman" w:hAnsi="Times New Roman" w:cs="Times New Roman"/>
        </w:rPr>
        <w:br/>
      </w:r>
      <w:r w:rsidR="0021473D">
        <w:rPr>
          <w:rFonts w:ascii="Times New Roman" w:hAnsi="Times New Roman" w:cs="Times New Roman"/>
        </w:rPr>
        <w:br/>
      </w:r>
      <w:r w:rsidR="0021473D" w:rsidRPr="00AA111C">
        <w:rPr>
          <w:rFonts w:ascii="Times New Roman" w:hAnsi="Times New Roman" w:cs="Times New Roman"/>
          <w:b/>
          <w:bCs/>
        </w:rPr>
        <w:t>2. Literature Review</w:t>
      </w:r>
    </w:p>
    <w:p w14:paraId="33965F9C" w14:textId="187CA13D" w:rsidR="0021473D" w:rsidRPr="00AA111C" w:rsidRDefault="0021473D" w:rsidP="00FA06E6">
      <w:pPr>
        <w:rPr>
          <w:rFonts w:ascii="Times New Roman" w:hAnsi="Times New Roman" w:cs="Times New Roman"/>
          <w:b/>
          <w:bCs/>
        </w:rPr>
      </w:pPr>
      <w:r w:rsidRPr="00AA111C">
        <w:rPr>
          <w:rFonts w:ascii="Times New Roman" w:hAnsi="Times New Roman" w:cs="Times New Roman"/>
          <w:b/>
          <w:bCs/>
        </w:rPr>
        <w:t xml:space="preserve">2.1 </w:t>
      </w:r>
      <w:r w:rsidR="00AA111C" w:rsidRPr="00AA111C">
        <w:rPr>
          <w:rFonts w:ascii="Times New Roman" w:hAnsi="Times New Roman" w:cs="Times New Roman"/>
          <w:b/>
          <w:bCs/>
        </w:rPr>
        <w:t>National Context: Flood Risk and Information</w:t>
      </w:r>
    </w:p>
    <w:p w14:paraId="2ADEBB1D" w14:textId="77777777" w:rsidR="0021473D" w:rsidRPr="0021473D" w:rsidRDefault="0021473D" w:rsidP="00FA06E6">
      <w:pPr>
        <w:rPr>
          <w:rFonts w:ascii="Times New Roman" w:hAnsi="Times New Roman" w:cs="Times New Roman"/>
        </w:rPr>
      </w:pPr>
      <w:r w:rsidRPr="0021473D">
        <w:rPr>
          <w:rFonts w:ascii="Times New Roman" w:hAnsi="Times New Roman" w:cs="Times New Roman"/>
        </w:rPr>
        <w:t>Flooding is among the costliest weather‑related hazards in the United States (FEMA, 2025). A consistent national finding is that regulatory flood risk is imperfectly capitalized in property prices: recent estimates place the overvaluation of flood‑exposed homes between $121–$237 billion, implying systematic information gaps among buyers and lenders (</w:t>
      </w:r>
      <w:proofErr w:type="spellStart"/>
      <w:r w:rsidRPr="0021473D">
        <w:rPr>
          <w:rFonts w:ascii="Times New Roman" w:hAnsi="Times New Roman" w:cs="Times New Roman"/>
        </w:rPr>
        <w:t>Gourevitch</w:t>
      </w:r>
      <w:proofErr w:type="spellEnd"/>
      <w:r w:rsidRPr="0021473D">
        <w:rPr>
          <w:rFonts w:ascii="Times New Roman" w:hAnsi="Times New Roman" w:cs="Times New Roman"/>
        </w:rPr>
        <w:t xml:space="preserve"> et al., 2023). These conditions make who holds mapped risk—not just where it lies—central for disclosure, mitigation, insurance take‑up, and recovery policy. </w:t>
      </w:r>
    </w:p>
    <w:p w14:paraId="23156538" w14:textId="1111A45A" w:rsidR="00EA3D6E" w:rsidRPr="00EA3D6E" w:rsidRDefault="00EA3D6E" w:rsidP="00FA06E6">
      <w:pPr>
        <w:rPr>
          <w:rFonts w:ascii="Times New Roman" w:hAnsi="Times New Roman" w:cs="Times New Roman"/>
          <w:b/>
          <w:bCs/>
        </w:rPr>
      </w:pPr>
      <w:r w:rsidRPr="00EA3D6E">
        <w:rPr>
          <w:rFonts w:ascii="Times New Roman" w:hAnsi="Times New Roman" w:cs="Times New Roman"/>
          <w:b/>
          <w:bCs/>
        </w:rPr>
        <w:t xml:space="preserve">2.2 Ownership </w:t>
      </w:r>
      <w:r>
        <w:rPr>
          <w:rFonts w:ascii="Times New Roman" w:hAnsi="Times New Roman" w:cs="Times New Roman"/>
          <w:b/>
          <w:bCs/>
        </w:rPr>
        <w:t>&amp;</w:t>
      </w:r>
      <w:r w:rsidRPr="00EA3D6E">
        <w:rPr>
          <w:rFonts w:ascii="Times New Roman" w:hAnsi="Times New Roman" w:cs="Times New Roman"/>
          <w:b/>
          <w:bCs/>
        </w:rPr>
        <w:t xml:space="preserve"> Flood Exposure Mechanisms</w:t>
      </w:r>
    </w:p>
    <w:p w14:paraId="3AF7A7C0" w14:textId="40624A8A" w:rsidR="00B13007" w:rsidRPr="00B13007" w:rsidRDefault="0021473D" w:rsidP="00FA06E6">
      <w:pPr>
        <w:rPr>
          <w:rFonts w:ascii="Times New Roman" w:hAnsi="Times New Roman" w:cs="Times New Roman"/>
          <w:b/>
          <w:bCs/>
          <w:color w:val="000000"/>
        </w:rPr>
      </w:pPr>
      <w:r w:rsidRPr="00B13007">
        <w:rPr>
          <w:rFonts w:ascii="Times New Roman" w:hAnsi="Times New Roman" w:cs="Times New Roman"/>
          <w:b/>
          <w:bCs/>
        </w:rPr>
        <w:t xml:space="preserve">2.2.1 </w:t>
      </w:r>
      <w:r w:rsidR="00B13007" w:rsidRPr="00B13007">
        <w:rPr>
          <w:rFonts w:ascii="Times New Roman" w:hAnsi="Times New Roman" w:cs="Times New Roman"/>
          <w:b/>
          <w:bCs/>
          <w:color w:val="000000"/>
        </w:rPr>
        <w:t>Investor Sorting &amp; Portfolio Strategy</w:t>
      </w:r>
    </w:p>
    <w:p w14:paraId="1E0440AC" w14:textId="59A548C2" w:rsidR="0021473D" w:rsidRPr="0021473D" w:rsidRDefault="0021473D" w:rsidP="00FA06E6">
      <w:pPr>
        <w:rPr>
          <w:rFonts w:ascii="Times New Roman" w:hAnsi="Times New Roman" w:cs="Times New Roman"/>
        </w:rPr>
      </w:pPr>
      <w:r w:rsidRPr="0021473D">
        <w:rPr>
          <w:rFonts w:ascii="Times New Roman" w:hAnsi="Times New Roman" w:cs="Times New Roman"/>
        </w:rPr>
        <w:t>After 2008, professionalized single‑family rental investors concentrated acquisitions in distressed, lower‑price submarkets and scaled up operationally (</w:t>
      </w:r>
      <w:proofErr w:type="spellStart"/>
      <w:r w:rsidRPr="0021473D">
        <w:rPr>
          <w:rFonts w:ascii="Times New Roman" w:hAnsi="Times New Roman" w:cs="Times New Roman"/>
        </w:rPr>
        <w:t>Immergluck</w:t>
      </w:r>
      <w:proofErr w:type="spellEnd"/>
      <w:r w:rsidRPr="0021473D">
        <w:rPr>
          <w:rFonts w:ascii="Times New Roman" w:hAnsi="Times New Roman" w:cs="Times New Roman"/>
        </w:rPr>
        <w:t xml:space="preserve"> &amp; Law, 2014a, 2014b; Colburn et al., 2021). Returns vary with geography and price tier, with yield‑seeking strategies more common in lower‑price areas (Demers &amp; Eisfeldt, 2022). If SFHA locations transact at discounts (Bin &amp; Polasky, 2004; Atreya &amp; Ferreira, 2015) while risk remains imperfectly priced (</w:t>
      </w:r>
      <w:proofErr w:type="spellStart"/>
      <w:r w:rsidRPr="0021473D">
        <w:rPr>
          <w:rFonts w:ascii="Times New Roman" w:hAnsi="Times New Roman" w:cs="Times New Roman"/>
        </w:rPr>
        <w:t>Gourevitch</w:t>
      </w:r>
      <w:proofErr w:type="spellEnd"/>
      <w:r w:rsidRPr="0021473D">
        <w:rPr>
          <w:rFonts w:ascii="Times New Roman" w:hAnsi="Times New Roman" w:cs="Times New Roman"/>
        </w:rPr>
        <w:t xml:space="preserve"> et al., 2023), more transactional or risk‑tolerant owners</w:t>
      </w:r>
      <w:r w:rsidR="005E4C98">
        <w:rPr>
          <w:rFonts w:ascii="Times New Roman" w:hAnsi="Times New Roman" w:cs="Times New Roman"/>
        </w:rPr>
        <w:t xml:space="preserve"> </w:t>
      </w:r>
      <w:r w:rsidRPr="0021473D">
        <w:rPr>
          <w:rFonts w:ascii="Times New Roman" w:hAnsi="Times New Roman" w:cs="Times New Roman"/>
        </w:rPr>
        <w:t>may sort toward flood‑designated parcels when expected returns compensate for expected losses. City‑specific work documenting the footprint of large corporate SFR owners underscores how scale and strategy can shape spatial exposure (Ding</w:t>
      </w:r>
      <w:r>
        <w:rPr>
          <w:rFonts w:ascii="Times New Roman" w:hAnsi="Times New Roman" w:cs="Times New Roman"/>
        </w:rPr>
        <w:t xml:space="preserve"> et al.,</w:t>
      </w:r>
      <w:r w:rsidRPr="0021473D">
        <w:rPr>
          <w:rFonts w:ascii="Times New Roman" w:hAnsi="Times New Roman" w:cs="Times New Roman"/>
        </w:rPr>
        <w:t> 2025).</w:t>
      </w:r>
    </w:p>
    <w:p w14:paraId="6EF4ADD6" w14:textId="77777777" w:rsidR="00B13007" w:rsidRDefault="0021473D" w:rsidP="00FA06E6">
      <w:pPr>
        <w:rPr>
          <w:rFonts w:ascii="-webkit-standard" w:hAnsi="-webkit-standard"/>
          <w:color w:val="000000"/>
          <w:sz w:val="27"/>
          <w:szCs w:val="27"/>
        </w:rPr>
      </w:pPr>
      <w:r w:rsidRPr="00B13007">
        <w:rPr>
          <w:rFonts w:ascii="Times New Roman" w:hAnsi="Times New Roman" w:cs="Times New Roman"/>
          <w:b/>
          <w:bCs/>
        </w:rPr>
        <w:t>2.2.2</w:t>
      </w:r>
      <w:r w:rsidRPr="0021473D">
        <w:rPr>
          <w:rFonts w:ascii="Times New Roman" w:hAnsi="Times New Roman" w:cs="Times New Roman"/>
        </w:rPr>
        <w:t xml:space="preserve"> </w:t>
      </w:r>
      <w:r w:rsidR="00B13007" w:rsidRPr="00B13007">
        <w:rPr>
          <w:rFonts w:ascii="Times New Roman" w:hAnsi="Times New Roman" w:cs="Times New Roman"/>
          <w:b/>
          <w:bCs/>
          <w:color w:val="000000"/>
        </w:rPr>
        <w:t>Proximity and Information Frictions</w:t>
      </w:r>
    </w:p>
    <w:p w14:paraId="25FF3E47" w14:textId="52CA946A" w:rsidR="0021473D" w:rsidRPr="0021473D" w:rsidRDefault="0021473D" w:rsidP="00FA06E6">
      <w:pPr>
        <w:rPr>
          <w:rFonts w:ascii="Times New Roman" w:hAnsi="Times New Roman" w:cs="Times New Roman"/>
        </w:rPr>
      </w:pPr>
      <w:r w:rsidRPr="0021473D">
        <w:rPr>
          <w:rFonts w:ascii="Times New Roman" w:hAnsi="Times New Roman" w:cs="Times New Roman"/>
        </w:rPr>
        <w:t>Platform‑enabled management reduces some costs of distance (Fields, 2022), yet proximity still correlates with information disadvantages: out‑of‑town buyers often underperform locals (</w:t>
      </w:r>
      <w:proofErr w:type="spellStart"/>
      <w:r w:rsidRPr="0021473D">
        <w:rPr>
          <w:rFonts w:ascii="Times New Roman" w:hAnsi="Times New Roman" w:cs="Times New Roman"/>
        </w:rPr>
        <w:t>D’Lima</w:t>
      </w:r>
      <w:proofErr w:type="spellEnd"/>
      <w:r w:rsidRPr="0021473D">
        <w:rPr>
          <w:rFonts w:ascii="Times New Roman" w:hAnsi="Times New Roman" w:cs="Times New Roman"/>
        </w:rPr>
        <w:t xml:space="preserve"> &amp; Schultz, 2021), and non‑local landholders report weaker local knowledge (Petrzelka et al., 2013; Ulrich Schad et al., 2016). In Douglas County specifically, a companion analysis documents a steep proximity gradient in SFR floodplain siting, motivating distance as a secondary robustness control (Andrews et al., 2025). </w:t>
      </w:r>
    </w:p>
    <w:p w14:paraId="64560E13" w14:textId="77777777" w:rsidR="005C6F82" w:rsidRPr="005C6F82" w:rsidRDefault="0021473D" w:rsidP="00FA06E6">
      <w:pPr>
        <w:rPr>
          <w:rFonts w:ascii="Times New Roman" w:hAnsi="Times New Roman" w:cs="Times New Roman"/>
          <w:b/>
          <w:bCs/>
          <w:color w:val="000000"/>
        </w:rPr>
      </w:pPr>
      <w:r w:rsidRPr="005C6F82">
        <w:rPr>
          <w:rFonts w:ascii="Times New Roman" w:hAnsi="Times New Roman" w:cs="Times New Roman"/>
          <w:b/>
          <w:bCs/>
        </w:rPr>
        <w:t xml:space="preserve">2.2.3 </w:t>
      </w:r>
      <w:r w:rsidR="005C6F82" w:rsidRPr="005C6F82">
        <w:rPr>
          <w:rFonts w:ascii="Times New Roman" w:hAnsi="Times New Roman" w:cs="Times New Roman"/>
          <w:b/>
          <w:bCs/>
          <w:color w:val="000000"/>
        </w:rPr>
        <w:t>Operational Factors and Liability</w:t>
      </w:r>
    </w:p>
    <w:p w14:paraId="753B889C" w14:textId="20D3B010" w:rsidR="0021473D" w:rsidRPr="0021473D" w:rsidRDefault="0021473D" w:rsidP="00FA06E6">
      <w:pPr>
        <w:rPr>
          <w:rFonts w:ascii="Times New Roman" w:hAnsi="Times New Roman" w:cs="Times New Roman"/>
        </w:rPr>
      </w:pPr>
      <w:r w:rsidRPr="0021473D">
        <w:rPr>
          <w:rFonts w:ascii="Times New Roman" w:hAnsi="Times New Roman" w:cs="Times New Roman"/>
        </w:rPr>
        <w:t>In rental settings, principal–agent frictions can dampen incentives to mitigate or maintain relative to owner‑occupancy (Wilson et al., 2021). Empirically, non‑owner‑occupied rentals exhibit higher code violations (Ellen et al., 2013; Rose &amp; Harris, 2022), and recent work links investor type to property condition (Harrison et al., 2025). Legal structure also matters. Single</w:t>
      </w:r>
      <w:r w:rsidR="00941C02">
        <w:rPr>
          <w:rFonts w:ascii="Times New Roman" w:hAnsi="Times New Roman" w:cs="Times New Roman"/>
        </w:rPr>
        <w:t xml:space="preserve"> </w:t>
      </w:r>
      <w:r w:rsidRPr="0021473D">
        <w:rPr>
          <w:rFonts w:ascii="Times New Roman" w:hAnsi="Times New Roman" w:cs="Times New Roman"/>
        </w:rPr>
        <w:t>asset LLCs can silo liability, complicating enforcement and potentially concentrating risk (Travis, 2019). If higher‑risk parcels are deliberately parked in single</w:t>
      </w:r>
      <w:r w:rsidR="00047EB7">
        <w:rPr>
          <w:rFonts w:ascii="Times New Roman" w:hAnsi="Times New Roman" w:cs="Times New Roman"/>
        </w:rPr>
        <w:t xml:space="preserve"> </w:t>
      </w:r>
      <w:r w:rsidRPr="0021473D">
        <w:rPr>
          <w:rFonts w:ascii="Times New Roman" w:hAnsi="Times New Roman" w:cs="Times New Roman"/>
        </w:rPr>
        <w:t>parcel LLCs, within‑form contrasts should be informative.</w:t>
      </w:r>
    </w:p>
    <w:p w14:paraId="07F4C249" w14:textId="28E7E61D" w:rsidR="0021473D" w:rsidRPr="005C6F82" w:rsidRDefault="0021473D" w:rsidP="00FA06E6">
      <w:pPr>
        <w:rPr>
          <w:rFonts w:ascii="Times New Roman" w:hAnsi="Times New Roman" w:cs="Times New Roman"/>
          <w:b/>
          <w:bCs/>
        </w:rPr>
      </w:pPr>
      <w:r w:rsidRPr="005C6F82">
        <w:rPr>
          <w:rFonts w:ascii="Times New Roman" w:hAnsi="Times New Roman" w:cs="Times New Roman"/>
          <w:b/>
          <w:bCs/>
        </w:rPr>
        <w:t xml:space="preserve">2.3 </w:t>
      </w:r>
      <w:r w:rsidR="005C6F82" w:rsidRPr="005C6F82">
        <w:rPr>
          <w:rFonts w:ascii="Times New Roman" w:hAnsi="Times New Roman" w:cs="Times New Roman"/>
          <w:b/>
          <w:bCs/>
        </w:rPr>
        <w:t xml:space="preserve">Identifying Owners with </w:t>
      </w:r>
      <w:r w:rsidR="000F54FD">
        <w:rPr>
          <w:rFonts w:ascii="Times New Roman" w:hAnsi="Times New Roman" w:cs="Times New Roman"/>
          <w:b/>
          <w:bCs/>
        </w:rPr>
        <w:t>Natural Language Processing</w:t>
      </w:r>
    </w:p>
    <w:p w14:paraId="21B6C806" w14:textId="41EC9901" w:rsidR="005E02C4" w:rsidRPr="005E02C4" w:rsidRDefault="00B25DA9" w:rsidP="00FA06E6">
      <w:pPr>
        <w:rPr>
          <w:rFonts w:ascii="Times New Roman" w:hAnsi="Times New Roman" w:cs="Times New Roman"/>
        </w:rPr>
      </w:pPr>
      <w:r>
        <w:rPr>
          <w:rFonts w:ascii="Times New Roman" w:hAnsi="Times New Roman" w:cs="Times New Roman"/>
        </w:rPr>
        <w:t xml:space="preserve">Recent </w:t>
      </w:r>
      <w:r w:rsidR="005E02C4" w:rsidRPr="005E02C4">
        <w:rPr>
          <w:rFonts w:ascii="Times New Roman" w:hAnsi="Times New Roman" w:cs="Times New Roman"/>
        </w:rPr>
        <w:t xml:space="preserve">work shows that an owner's legal form can be inferred directly from the name string in public records using transformer-based models. For example, </w:t>
      </w:r>
      <w:proofErr w:type="spellStart"/>
      <w:r w:rsidR="005E02C4" w:rsidRPr="005E02C4">
        <w:rPr>
          <w:rFonts w:ascii="Times New Roman" w:hAnsi="Times New Roman" w:cs="Times New Roman"/>
        </w:rPr>
        <w:t>Arimond</w:t>
      </w:r>
      <w:proofErr w:type="spellEnd"/>
      <w:r w:rsidR="005E02C4" w:rsidRPr="005E02C4">
        <w:rPr>
          <w:rFonts w:ascii="Times New Roman" w:hAnsi="Times New Roman" w:cs="Times New Roman"/>
        </w:rPr>
        <w:t xml:space="preserve"> et al. (2023) fine-tuned BERT-family models on over a million entities defined by ISO 20275 legal</w:t>
      </w:r>
      <w:r w:rsidR="00941C02">
        <w:rPr>
          <w:rFonts w:ascii="Times New Roman" w:hAnsi="Times New Roman" w:cs="Times New Roman"/>
        </w:rPr>
        <w:t xml:space="preserve"> </w:t>
      </w:r>
      <w:r w:rsidR="005E02C4" w:rsidRPr="005E02C4">
        <w:rPr>
          <w:rFonts w:ascii="Times New Roman" w:hAnsi="Times New Roman" w:cs="Times New Roman"/>
        </w:rPr>
        <w:t>form codes. They found that these models were more accurate than traditional baselines, providing strong evidence that modern language models can reliably capture the morphology and tokens of legal entity names, even with varied punctuation and abbreviations.</w:t>
      </w:r>
    </w:p>
    <w:p w14:paraId="2905A047" w14:textId="549B9EEF" w:rsidR="00126D9A" w:rsidRPr="00126D9A" w:rsidRDefault="005E02C4" w:rsidP="00FA06E6">
      <w:pPr>
        <w:rPr>
          <w:rFonts w:ascii="Times New Roman" w:hAnsi="Times New Roman" w:cs="Times New Roman"/>
          <w:b/>
          <w:bCs/>
          <w:color w:val="000000"/>
        </w:rPr>
      </w:pPr>
      <w:r w:rsidRPr="005E02C4">
        <w:rPr>
          <w:rFonts w:ascii="Times New Roman" w:hAnsi="Times New Roman" w:cs="Times New Roman"/>
        </w:rPr>
        <w:lastRenderedPageBreak/>
        <w:t xml:space="preserve">This machine learning approach is further supported by complementary benchmarks showing that a hybrid of machine learning and rules-based systems outperforms rules-only extraction methods (Kruse et al., 2021). These findings encourage a move beyond simple regex heuristics for labeling organizational forms like LLCs, corporations, and trusts. </w:t>
      </w:r>
    </w:p>
    <w:p w14:paraId="2B94DB70" w14:textId="4CE930E5" w:rsidR="0021473D" w:rsidRPr="0021473D" w:rsidRDefault="0021473D" w:rsidP="00FA06E6">
      <w:pPr>
        <w:rPr>
          <w:rFonts w:ascii="Times New Roman" w:hAnsi="Times New Roman" w:cs="Times New Roman"/>
        </w:rPr>
      </w:pPr>
      <w:r w:rsidRPr="0021473D">
        <w:rPr>
          <w:rFonts w:ascii="Times New Roman" w:hAnsi="Times New Roman" w:cs="Times New Roman"/>
        </w:rPr>
        <w:t>NLP is now routine for turning unstructured government records into research data. Thomas et al. (2024) apply OCR and named‑entity recognition to millions of eviction filings, extracting addresses and parties for neighborhood‑level analysis—evidence that county‑scale NLP over administrative text is feasible and portable to assessor contexts.</w:t>
      </w:r>
    </w:p>
    <w:p w14:paraId="61F63980" w14:textId="77777777" w:rsidR="009E5458" w:rsidRPr="009E5458" w:rsidRDefault="0021473D" w:rsidP="00FA06E6">
      <w:pPr>
        <w:rPr>
          <w:rFonts w:ascii="Times New Roman" w:hAnsi="Times New Roman" w:cs="Times New Roman"/>
          <w:b/>
          <w:bCs/>
          <w:color w:val="000000"/>
        </w:rPr>
      </w:pPr>
      <w:r w:rsidRPr="009E5458">
        <w:rPr>
          <w:rFonts w:ascii="Times New Roman" w:hAnsi="Times New Roman" w:cs="Times New Roman"/>
          <w:b/>
          <w:bCs/>
        </w:rPr>
        <w:t xml:space="preserve">2.4 </w:t>
      </w:r>
      <w:r w:rsidR="009E5458" w:rsidRPr="009E5458">
        <w:rPr>
          <w:rFonts w:ascii="Times New Roman" w:hAnsi="Times New Roman" w:cs="Times New Roman"/>
          <w:b/>
          <w:bCs/>
          <w:color w:val="000000"/>
        </w:rPr>
        <w:t>Developing an Owner Typology</w:t>
      </w:r>
    </w:p>
    <w:p w14:paraId="79197A9F" w14:textId="77777777" w:rsidR="000F1292" w:rsidRPr="000F1292" w:rsidRDefault="000F1292" w:rsidP="00FA06E6">
      <w:pPr>
        <w:rPr>
          <w:rFonts w:ascii="Times New Roman" w:hAnsi="Times New Roman" w:cs="Times New Roman"/>
        </w:rPr>
      </w:pPr>
      <w:r w:rsidRPr="000F1292">
        <w:rPr>
          <w:rFonts w:ascii="Times New Roman" w:hAnsi="Times New Roman" w:cs="Times New Roman"/>
        </w:rPr>
        <w:t>SFR studies typically distinguish corporate vs. non‑corporate owners and then bin by portfolio size, but thresholds and definitions vary across the literature, complicating comparisons (Goodman et al., 2023; U.S. GAO, 2024). City and regional practice likewise blend legal form, scale, and geography when classifying owners for analysis or administration (An et al., 2024; Hangen &amp; O’Brien, 2024; Torres, 2024).</w:t>
      </w:r>
    </w:p>
    <w:p w14:paraId="5967615B" w14:textId="56C17123" w:rsidR="000F1292" w:rsidRPr="000F1292" w:rsidRDefault="000F1292" w:rsidP="00FA06E6">
      <w:pPr>
        <w:rPr>
          <w:rFonts w:ascii="Times New Roman" w:hAnsi="Times New Roman" w:cs="Times New Roman"/>
        </w:rPr>
      </w:pPr>
      <w:r w:rsidRPr="000F1292">
        <w:rPr>
          <w:rFonts w:ascii="Times New Roman" w:hAnsi="Times New Roman" w:cs="Times New Roman"/>
        </w:rPr>
        <w:t>Against this backdrop, our typology</w:t>
      </w:r>
      <w:r w:rsidR="00B25DA9">
        <w:rPr>
          <w:rFonts w:ascii="Times New Roman" w:hAnsi="Times New Roman" w:cs="Times New Roman"/>
        </w:rPr>
        <w:t xml:space="preserve"> </w:t>
      </w:r>
      <w:r w:rsidRPr="000F1292">
        <w:rPr>
          <w:rFonts w:ascii="Times New Roman" w:hAnsi="Times New Roman" w:cs="Times New Roman"/>
        </w:rPr>
        <w:t>is directly observable from land records, machine‑learnable at scale and policy‑salient for rental licensure and disclosure. While many studies focus on identifying ultimate beneficial owners by consolidating properties held across different legal shells (An et al., 2024; Hangen &amp; O’Brien, 2024</w:t>
      </w:r>
      <w:r w:rsidR="00B342AB">
        <w:rPr>
          <w:rFonts w:ascii="Times New Roman" w:hAnsi="Times New Roman" w:cs="Times New Roman"/>
        </w:rPr>
        <w:t xml:space="preserve">; </w:t>
      </w:r>
      <w:r w:rsidR="00B342AB" w:rsidRPr="00B342AB">
        <w:rPr>
          <w:rFonts w:ascii="Times New Roman" w:hAnsi="Times New Roman" w:cs="Times New Roman"/>
        </w:rPr>
        <w:t>Shelton &amp; Seymour, 2024</w:t>
      </w:r>
      <w:r w:rsidRPr="000F1292">
        <w:rPr>
          <w:rFonts w:ascii="Times New Roman" w:hAnsi="Times New Roman" w:cs="Times New Roman"/>
        </w:rPr>
        <w:t>), our study intentionally retains the legal owner-of-record. This methodological choice is crucial for directly testing for liability siloing dynamics within single-asset LLCs—patterns that can be obscured by immediate beneficial-owner consolidation (Travis, 2019).</w:t>
      </w:r>
    </w:p>
    <w:p w14:paraId="376A333F" w14:textId="77777777" w:rsidR="000F1292" w:rsidRDefault="000F1292" w:rsidP="00FA06E6">
      <w:pPr>
        <w:rPr>
          <w:rFonts w:ascii="Times New Roman" w:hAnsi="Times New Roman" w:cs="Times New Roman"/>
        </w:rPr>
      </w:pPr>
      <w:r w:rsidRPr="000F1292">
        <w:rPr>
          <w:rFonts w:ascii="Times New Roman" w:hAnsi="Times New Roman" w:cs="Times New Roman"/>
        </w:rPr>
        <w:t>Our design addresses recurrent measurement challenges by replacing coarse absentee flags, which can conflate owner distance with risk sorting, with this more nuanced typology. By classifying organizational form with a transformer, measuring portfolio scale via exact name matches, and using neighborhood fixed effects, our approach isolates ownership patterns from micro-spatial heterogeneity while keeping the unit of analysis aligned with regulatory practice. This overall design aligns with calls for decision‑based typologies that link observed owner choices to measurable outcomes (Cook et al., 2024).</w:t>
      </w:r>
    </w:p>
    <w:p w14:paraId="6BCF4F20" w14:textId="04DAA14F" w:rsidR="00D34789" w:rsidRPr="00D34789" w:rsidRDefault="0021473D" w:rsidP="00FA06E6">
      <w:pPr>
        <w:rPr>
          <w:rFonts w:ascii="Times New Roman" w:hAnsi="Times New Roman" w:cs="Times New Roman"/>
          <w:b/>
          <w:bCs/>
          <w:color w:val="000000"/>
        </w:rPr>
      </w:pPr>
      <w:r w:rsidRPr="00D34789">
        <w:rPr>
          <w:rFonts w:ascii="Times New Roman" w:hAnsi="Times New Roman" w:cs="Times New Roman"/>
          <w:b/>
          <w:bCs/>
        </w:rPr>
        <w:t>2.</w:t>
      </w:r>
      <w:r w:rsidR="005E6451">
        <w:rPr>
          <w:rFonts w:ascii="Times New Roman" w:hAnsi="Times New Roman" w:cs="Times New Roman"/>
          <w:b/>
          <w:bCs/>
        </w:rPr>
        <w:t>5</w:t>
      </w:r>
      <w:r w:rsidRPr="00D34789">
        <w:rPr>
          <w:rFonts w:ascii="Times New Roman" w:hAnsi="Times New Roman" w:cs="Times New Roman"/>
          <w:b/>
          <w:bCs/>
        </w:rPr>
        <w:t xml:space="preserve"> </w:t>
      </w:r>
      <w:r w:rsidR="00D34789" w:rsidRPr="00D34789">
        <w:rPr>
          <w:rFonts w:ascii="Times New Roman" w:hAnsi="Times New Roman" w:cs="Times New Roman"/>
          <w:b/>
          <w:bCs/>
          <w:color w:val="000000"/>
        </w:rPr>
        <w:t xml:space="preserve">Synthesis </w:t>
      </w:r>
      <w:r w:rsidR="00D34789">
        <w:rPr>
          <w:rFonts w:ascii="Times New Roman" w:hAnsi="Times New Roman" w:cs="Times New Roman"/>
          <w:b/>
          <w:bCs/>
          <w:color w:val="000000"/>
        </w:rPr>
        <w:t xml:space="preserve">&amp; </w:t>
      </w:r>
      <w:r w:rsidR="00D34789" w:rsidRPr="00D34789">
        <w:rPr>
          <w:rFonts w:ascii="Times New Roman" w:hAnsi="Times New Roman" w:cs="Times New Roman"/>
          <w:b/>
          <w:bCs/>
          <w:color w:val="000000"/>
        </w:rPr>
        <w:t>Hypotheses</w:t>
      </w:r>
    </w:p>
    <w:p w14:paraId="4766B387" w14:textId="706470C0" w:rsidR="00CF3313" w:rsidRDefault="0021473D" w:rsidP="00FA06E6">
      <w:pPr>
        <w:rPr>
          <w:rFonts w:ascii="Times New Roman" w:eastAsia="Times New Roman" w:hAnsi="Times New Roman" w:cs="Times New Roman"/>
          <w:b/>
          <w:bCs/>
          <w:color w:val="000000"/>
          <w:kern w:val="0"/>
          <w14:ligatures w14:val="none"/>
        </w:rPr>
      </w:pPr>
      <w:r w:rsidRPr="00D34789">
        <w:rPr>
          <w:rFonts w:ascii="Times New Roman" w:hAnsi="Times New Roman" w:cs="Times New Roman"/>
        </w:rPr>
        <w:t>The literatures above jointly imply testable expectations our study examines with parcel‑level data and neighborhood fixed effects. If hazard is under‑capitalized (</w:t>
      </w:r>
      <w:proofErr w:type="spellStart"/>
      <w:r w:rsidRPr="00D34789">
        <w:rPr>
          <w:rFonts w:ascii="Times New Roman" w:hAnsi="Times New Roman" w:cs="Times New Roman"/>
        </w:rPr>
        <w:t>Gourevitch</w:t>
      </w:r>
      <w:proofErr w:type="spellEnd"/>
      <w:r w:rsidRPr="00D34789">
        <w:rPr>
          <w:rFonts w:ascii="Times New Roman" w:hAnsi="Times New Roman" w:cs="Times New Roman"/>
        </w:rPr>
        <w:t xml:space="preserve"> et al., 2023) and professionalized owners target discounted assets (Bin &amp; Polasky, 2004; Atreya &amp; Ferreira, 2015; Demers &amp; Eisfeldt, 2022; </w:t>
      </w:r>
      <w:proofErr w:type="spellStart"/>
      <w:r w:rsidRPr="00D34789">
        <w:rPr>
          <w:rFonts w:ascii="Times New Roman" w:hAnsi="Times New Roman" w:cs="Times New Roman"/>
        </w:rPr>
        <w:t>Immergluck</w:t>
      </w:r>
      <w:proofErr w:type="spellEnd"/>
      <w:r w:rsidRPr="00D34789">
        <w:rPr>
          <w:rFonts w:ascii="Times New Roman" w:hAnsi="Times New Roman" w:cs="Times New Roman"/>
        </w:rPr>
        <w:t xml:space="preserve"> &amp; Law, 2014a, 2014b; Colburn et al., 2021; Ding, Zhang, &amp; Diep, 2025), then LLCs and Corporations—especially multi‑parcel portfolios—should display elevated SFHA incidence relative to Individuals/Trusts, all else equal. If liability siloing is a salient organizing principle (Travis, 2019), single</w:t>
      </w:r>
      <w:r w:rsidR="009D039B">
        <w:rPr>
          <w:rFonts w:ascii="Times New Roman" w:hAnsi="Times New Roman" w:cs="Times New Roman"/>
        </w:rPr>
        <w:t xml:space="preserve"> </w:t>
      </w:r>
      <w:r w:rsidRPr="00D34789">
        <w:rPr>
          <w:rFonts w:ascii="Times New Roman" w:hAnsi="Times New Roman" w:cs="Times New Roman"/>
        </w:rPr>
        <w:t xml:space="preserve">parcel LLCs should be more exposed than multi‑parcel LLCs within form. Finally, if proximity shapes information and operations (Petrzelka et al., 2013; Ulrich Schad et al., 2016; </w:t>
      </w:r>
      <w:proofErr w:type="spellStart"/>
      <w:r w:rsidRPr="00D34789">
        <w:rPr>
          <w:rFonts w:ascii="Times New Roman" w:hAnsi="Times New Roman" w:cs="Times New Roman"/>
        </w:rPr>
        <w:t>D’Lima</w:t>
      </w:r>
      <w:proofErr w:type="spellEnd"/>
      <w:r w:rsidRPr="00D34789">
        <w:rPr>
          <w:rFonts w:ascii="Times New Roman" w:hAnsi="Times New Roman" w:cs="Times New Roman"/>
        </w:rPr>
        <w:t xml:space="preserve"> &amp; Schultz, 2021; Fields, 2022; Andrews et al., 2025), adding distance controls should not overturn—but may attenuate—form‑by‑scale differences. We operationalize these expectations in a modified Poisson framework with a log link that reports interpretable risk ratios (Zou, 2004), embedding them in a reproducible urban‑analytics pipeline suited to cross‑city replication.</w:t>
      </w:r>
      <w:r w:rsidR="00E75B95" w:rsidRPr="00D34789">
        <w:rPr>
          <w:rFonts w:ascii="Times New Roman" w:hAnsi="Times New Roman" w:cs="Times New Roman"/>
        </w:rPr>
        <w:br/>
      </w:r>
    </w:p>
    <w:p w14:paraId="6278B0F6" w14:textId="71E7098F" w:rsidR="00E75B95" w:rsidRPr="00CF3313" w:rsidRDefault="00E75B95" w:rsidP="00FA06E6">
      <w:pPr>
        <w:rPr>
          <w:rFonts w:ascii="Times New Roman" w:eastAsia="Times New Roman" w:hAnsi="Times New Roman" w:cs="Times New Roman"/>
          <w:b/>
          <w:bCs/>
          <w:color w:val="000000"/>
          <w:kern w:val="0"/>
          <w14:ligatures w14:val="none"/>
        </w:rPr>
      </w:pPr>
      <w:r w:rsidRPr="00CF3313">
        <w:rPr>
          <w:rFonts w:ascii="Times New Roman" w:eastAsia="Times New Roman" w:hAnsi="Times New Roman" w:cs="Times New Roman"/>
          <w:b/>
          <w:bCs/>
          <w:color w:val="000000"/>
          <w:kern w:val="0"/>
          <w14:ligatures w14:val="none"/>
        </w:rPr>
        <w:t>3. Data &amp; Methods</w:t>
      </w:r>
    </w:p>
    <w:p w14:paraId="78771FD1" w14:textId="19845754" w:rsidR="00B371CA" w:rsidRPr="00B371CA" w:rsidRDefault="00E75B95" w:rsidP="00FA06E6">
      <w:pPr>
        <w:spacing w:after="100" w:afterAutospacing="1" w:line="240" w:lineRule="auto"/>
        <w:outlineLvl w:val="2"/>
        <w:rPr>
          <w:rFonts w:ascii="Times New Roman" w:hAnsi="Times New Roman" w:cs="Times New Roman"/>
          <w:b/>
          <w:bCs/>
          <w:color w:val="000000"/>
        </w:rPr>
      </w:pPr>
      <w:r w:rsidRPr="00B371CA">
        <w:rPr>
          <w:rFonts w:ascii="Times New Roman" w:eastAsia="Times New Roman" w:hAnsi="Times New Roman" w:cs="Times New Roman"/>
          <w:b/>
          <w:bCs/>
          <w:color w:val="000000"/>
          <w:kern w:val="0"/>
          <w14:ligatures w14:val="none"/>
        </w:rPr>
        <w:lastRenderedPageBreak/>
        <w:t>3.</w:t>
      </w:r>
      <w:r w:rsidR="00B51D6D">
        <w:rPr>
          <w:rFonts w:ascii="Times New Roman" w:eastAsia="Times New Roman" w:hAnsi="Times New Roman" w:cs="Times New Roman"/>
          <w:b/>
          <w:bCs/>
          <w:color w:val="000000"/>
          <w:kern w:val="0"/>
          <w14:ligatures w14:val="none"/>
        </w:rPr>
        <w:t>1</w:t>
      </w:r>
      <w:r w:rsidRPr="00B371CA">
        <w:rPr>
          <w:rFonts w:ascii="Times New Roman" w:eastAsia="Times New Roman" w:hAnsi="Times New Roman" w:cs="Times New Roman"/>
          <w:b/>
          <w:bCs/>
          <w:color w:val="000000"/>
          <w:kern w:val="0"/>
          <w14:ligatures w14:val="none"/>
        </w:rPr>
        <w:t xml:space="preserve"> </w:t>
      </w:r>
      <w:r w:rsidR="00B371CA" w:rsidRPr="00B371CA">
        <w:rPr>
          <w:rFonts w:ascii="Times New Roman" w:hAnsi="Times New Roman" w:cs="Times New Roman"/>
          <w:b/>
          <w:bCs/>
          <w:color w:val="000000"/>
        </w:rPr>
        <w:t xml:space="preserve">Study Area </w:t>
      </w:r>
      <w:r w:rsidR="00D32264">
        <w:rPr>
          <w:rFonts w:ascii="Times New Roman" w:hAnsi="Times New Roman" w:cs="Times New Roman"/>
          <w:b/>
          <w:bCs/>
          <w:color w:val="000000"/>
        </w:rPr>
        <w:t>&amp;</w:t>
      </w:r>
      <w:r w:rsidR="00B371CA" w:rsidRPr="00B371CA">
        <w:rPr>
          <w:rFonts w:ascii="Times New Roman" w:hAnsi="Times New Roman" w:cs="Times New Roman"/>
          <w:b/>
          <w:bCs/>
          <w:color w:val="000000"/>
        </w:rPr>
        <w:t xml:space="preserve"> Outcome Variable</w:t>
      </w:r>
    </w:p>
    <w:p w14:paraId="2B862BB1" w14:textId="77C7E357" w:rsidR="00420235" w:rsidRPr="00420235" w:rsidRDefault="00420235" w:rsidP="00FA06E6">
      <w:pPr>
        <w:pStyle w:val="NormalWeb"/>
        <w:spacing w:before="0" w:beforeAutospacing="0"/>
        <w:rPr>
          <w:color w:val="000000"/>
          <w:sz w:val="22"/>
          <w:szCs w:val="22"/>
        </w:rPr>
      </w:pPr>
      <w:r w:rsidRPr="00420235">
        <w:rPr>
          <w:color w:val="000000"/>
          <w:sz w:val="22"/>
          <w:szCs w:val="22"/>
        </w:rPr>
        <w:t>This study examines all SFR</w:t>
      </w:r>
      <w:r w:rsidRPr="00420235">
        <w:rPr>
          <w:rStyle w:val="apple-converted-space"/>
          <w:rFonts w:eastAsiaTheme="majorEastAsia"/>
          <w:color w:val="000000"/>
          <w:sz w:val="22"/>
          <w:szCs w:val="22"/>
        </w:rPr>
        <w:t> </w:t>
      </w:r>
      <w:r w:rsidRPr="00420235">
        <w:rPr>
          <w:color w:val="000000"/>
          <w:sz w:val="22"/>
          <w:szCs w:val="22"/>
        </w:rPr>
        <w:t>parcels within</w:t>
      </w:r>
      <w:r w:rsidRPr="00420235">
        <w:rPr>
          <w:rStyle w:val="apple-converted-space"/>
          <w:rFonts w:eastAsiaTheme="majorEastAsia"/>
          <w:color w:val="000000"/>
          <w:sz w:val="22"/>
          <w:szCs w:val="22"/>
        </w:rPr>
        <w:t> </w:t>
      </w:r>
      <w:r w:rsidRPr="00420235">
        <w:rPr>
          <w:color w:val="000000"/>
          <w:sz w:val="22"/>
          <w:szCs w:val="22"/>
        </w:rPr>
        <w:t>Douglas County, Nebraska</w:t>
      </w:r>
      <w:r w:rsidR="003A7CD0">
        <w:rPr>
          <w:color w:val="000000"/>
          <w:sz w:val="22"/>
          <w:szCs w:val="22"/>
        </w:rPr>
        <w:t xml:space="preserve"> </w:t>
      </w:r>
      <w:r w:rsidRPr="00420235">
        <w:rPr>
          <w:color w:val="000000"/>
          <w:sz w:val="22"/>
          <w:szCs w:val="22"/>
        </w:rPr>
        <w:t>using data from the 2022 assessment roll. Our</w:t>
      </w:r>
      <w:r w:rsidRPr="00420235">
        <w:rPr>
          <w:rStyle w:val="apple-converted-space"/>
          <w:rFonts w:eastAsiaTheme="majorEastAsia"/>
          <w:color w:val="000000"/>
          <w:sz w:val="22"/>
          <w:szCs w:val="22"/>
        </w:rPr>
        <w:t> </w:t>
      </w:r>
      <w:r w:rsidRPr="00420235">
        <w:rPr>
          <w:color w:val="000000"/>
          <w:sz w:val="22"/>
          <w:szCs w:val="22"/>
        </w:rPr>
        <w:t>unit of analysis is the individual parcel, although any given owner may hold multiple properties.</w:t>
      </w:r>
    </w:p>
    <w:p w14:paraId="5546F878" w14:textId="66EAAD7F" w:rsidR="00420235" w:rsidRPr="00420235" w:rsidRDefault="00420235" w:rsidP="00FA06E6">
      <w:pPr>
        <w:pStyle w:val="NormalWeb"/>
        <w:spacing w:before="0" w:beforeAutospacing="0"/>
        <w:rPr>
          <w:color w:val="000000"/>
          <w:sz w:val="22"/>
          <w:szCs w:val="22"/>
        </w:rPr>
      </w:pPr>
      <w:r w:rsidRPr="00420235">
        <w:rPr>
          <w:color w:val="000000"/>
          <w:sz w:val="22"/>
          <w:szCs w:val="22"/>
        </w:rPr>
        <w:t>The primary outcome variable is a binary indicator for</w:t>
      </w:r>
      <w:r w:rsidRPr="00420235">
        <w:rPr>
          <w:rStyle w:val="apple-converted-space"/>
          <w:rFonts w:eastAsiaTheme="majorEastAsia"/>
          <w:color w:val="000000"/>
          <w:sz w:val="22"/>
          <w:szCs w:val="22"/>
        </w:rPr>
        <w:t> </w:t>
      </w:r>
      <w:r w:rsidRPr="00420235">
        <w:rPr>
          <w:color w:val="000000"/>
          <w:sz w:val="22"/>
          <w:szCs w:val="22"/>
        </w:rPr>
        <w:t xml:space="preserve">regulatory flood exposure. A parcel is considered exposed if </w:t>
      </w:r>
      <w:r w:rsidR="009D3423" w:rsidRPr="00420235">
        <w:rPr>
          <w:color w:val="000000"/>
          <w:sz w:val="22"/>
          <w:szCs w:val="22"/>
        </w:rPr>
        <w:t>most of</w:t>
      </w:r>
      <w:r w:rsidRPr="00420235">
        <w:rPr>
          <w:color w:val="000000"/>
          <w:sz w:val="22"/>
          <w:szCs w:val="22"/>
        </w:rPr>
        <w:t xml:space="preserve"> its area intersects with a FEMA </w:t>
      </w:r>
      <w:r w:rsidR="003A7CD0">
        <w:rPr>
          <w:color w:val="000000"/>
          <w:sz w:val="22"/>
          <w:szCs w:val="22"/>
        </w:rPr>
        <w:t>SFHA</w:t>
      </w:r>
      <w:r w:rsidRPr="00420235">
        <w:rPr>
          <w:color w:val="000000"/>
          <w:sz w:val="22"/>
          <w:szCs w:val="22"/>
        </w:rPr>
        <w:t>, which includes any combination of Zones A, AE, AO, or AH. Applying our majority-area rule, 2,029 of the 184,333 SFR parcels in the county meet the criterion for flood exposure. A comprehensive list of all variables, their definitions, and their transformations is provided in</w:t>
      </w:r>
      <w:r w:rsidRPr="00420235">
        <w:rPr>
          <w:rStyle w:val="apple-converted-space"/>
          <w:rFonts w:eastAsiaTheme="majorEastAsia"/>
          <w:color w:val="000000"/>
          <w:sz w:val="22"/>
          <w:szCs w:val="22"/>
        </w:rPr>
        <w:t> </w:t>
      </w:r>
      <w:r w:rsidRPr="00420235">
        <w:rPr>
          <w:color w:val="000000"/>
          <w:sz w:val="22"/>
          <w:szCs w:val="22"/>
        </w:rPr>
        <w:t>Table 1.</w:t>
      </w:r>
    </w:p>
    <w:p w14:paraId="4F389DD9" w14:textId="4F96E2E9" w:rsidR="00E75B95" w:rsidRPr="00E75B95" w:rsidRDefault="00E75B95" w:rsidP="00FA06E6">
      <w:pPr>
        <w:spacing w:after="100" w:afterAutospacing="1" w:line="240" w:lineRule="auto"/>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Table 1. Variables and transformations</w:t>
      </w:r>
      <w:r w:rsidRPr="00E75B95">
        <w:rPr>
          <w:rFonts w:ascii="Times New Roman" w:eastAsia="Times New Roman" w:hAnsi="Times New Roman" w:cs="Times New Roman"/>
          <w:color w:val="000000"/>
          <w:kern w:val="0"/>
          <w14:ligatures w14:val="none"/>
        </w:rPr>
        <w:br/>
      </w:r>
    </w:p>
    <w:tbl>
      <w:tblPr>
        <w:tblStyle w:val="PlainTable4"/>
        <w:tblW w:w="0" w:type="auto"/>
        <w:tblLook w:val="04A0" w:firstRow="1" w:lastRow="0" w:firstColumn="1" w:lastColumn="0" w:noHBand="0" w:noVBand="1"/>
      </w:tblPr>
      <w:tblGrid>
        <w:gridCol w:w="1625"/>
        <w:gridCol w:w="2222"/>
        <w:gridCol w:w="1194"/>
        <w:gridCol w:w="1274"/>
        <w:gridCol w:w="3045"/>
      </w:tblGrid>
      <w:tr w:rsidR="003A7FD2" w:rsidRPr="00E75B95" w14:paraId="01B8A72D" w14:textId="77777777" w:rsidTr="00F408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0C7E26" w14:textId="77777777" w:rsidR="00E75B95" w:rsidRPr="00E75B95" w:rsidRDefault="00E75B95" w:rsidP="00FA06E6">
            <w:pPr>
              <w:jc w:val="center"/>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Variable</w:t>
            </w:r>
          </w:p>
        </w:tc>
        <w:tc>
          <w:tcPr>
            <w:tcW w:w="0" w:type="auto"/>
            <w:hideMark/>
          </w:tcPr>
          <w:p w14:paraId="5C505C5B" w14:textId="77777777" w:rsidR="00E75B95" w:rsidRPr="00E75B95" w:rsidRDefault="00E75B95" w:rsidP="00FA06E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Definition &amp; source</w:t>
            </w:r>
          </w:p>
        </w:tc>
        <w:tc>
          <w:tcPr>
            <w:tcW w:w="0" w:type="auto"/>
            <w:hideMark/>
          </w:tcPr>
          <w:p w14:paraId="11F4061F" w14:textId="77777777" w:rsidR="00E75B95" w:rsidRPr="00E75B95" w:rsidRDefault="00E75B95" w:rsidP="00FA06E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Unit</w:t>
            </w:r>
          </w:p>
        </w:tc>
        <w:tc>
          <w:tcPr>
            <w:tcW w:w="0" w:type="auto"/>
            <w:hideMark/>
          </w:tcPr>
          <w:p w14:paraId="599B9ECA" w14:textId="1B1F565C" w:rsidR="00E75B95" w:rsidRPr="00E75B95" w:rsidRDefault="00E75B95" w:rsidP="00FA06E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 xml:space="preserve">Transform </w:t>
            </w:r>
          </w:p>
        </w:tc>
        <w:tc>
          <w:tcPr>
            <w:tcW w:w="0" w:type="auto"/>
            <w:hideMark/>
          </w:tcPr>
          <w:p w14:paraId="422788D2" w14:textId="77777777" w:rsidR="00E75B95" w:rsidRPr="00E75B95" w:rsidRDefault="00E75B95" w:rsidP="00FA06E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Notes</w:t>
            </w:r>
          </w:p>
        </w:tc>
      </w:tr>
      <w:tr w:rsidR="003A7FD2" w:rsidRPr="00E75B95" w14:paraId="3E3F4CA4" w14:textId="77777777" w:rsidTr="00F40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F21662" w14:textId="77777777" w:rsidR="00E75B95" w:rsidRPr="00E75B95" w:rsidRDefault="00E75B95" w:rsidP="00FA06E6">
            <w:pPr>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SFHA exposure</w:t>
            </w:r>
          </w:p>
        </w:tc>
        <w:tc>
          <w:tcPr>
            <w:tcW w:w="0" w:type="auto"/>
            <w:hideMark/>
          </w:tcPr>
          <w:p w14:paraId="19516774" w14:textId="77777777" w:rsidR="00E75B95" w:rsidRPr="00E75B95" w:rsidRDefault="00E75B95" w:rsidP="00FA06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Parcel majority area within Zones A/AE/AO/AH</w:t>
            </w:r>
          </w:p>
        </w:tc>
        <w:tc>
          <w:tcPr>
            <w:tcW w:w="0" w:type="auto"/>
            <w:hideMark/>
          </w:tcPr>
          <w:p w14:paraId="62FA79F2" w14:textId="77777777" w:rsidR="00E75B95" w:rsidRPr="00E75B95" w:rsidRDefault="00E75B95" w:rsidP="00FA06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Indicator</w:t>
            </w:r>
          </w:p>
        </w:tc>
        <w:tc>
          <w:tcPr>
            <w:tcW w:w="0" w:type="auto"/>
            <w:hideMark/>
          </w:tcPr>
          <w:p w14:paraId="3E252A95" w14:textId="77777777" w:rsidR="00E75B95" w:rsidRPr="00E75B95" w:rsidRDefault="00E75B95" w:rsidP="00FA06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0–1</w:t>
            </w:r>
          </w:p>
        </w:tc>
        <w:tc>
          <w:tcPr>
            <w:tcW w:w="0" w:type="auto"/>
            <w:hideMark/>
          </w:tcPr>
          <w:p w14:paraId="32DF5EA9" w14:textId="77777777" w:rsidR="00E75B95" w:rsidRPr="00E75B95" w:rsidRDefault="00E75B95" w:rsidP="00FA06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10% overlap sensitivity checks boundary effects</w:t>
            </w:r>
          </w:p>
        </w:tc>
      </w:tr>
      <w:tr w:rsidR="003A7FD2" w:rsidRPr="00E75B95" w14:paraId="72ACDB83" w14:textId="77777777" w:rsidTr="00F408EE">
        <w:tc>
          <w:tcPr>
            <w:cnfStyle w:val="001000000000" w:firstRow="0" w:lastRow="0" w:firstColumn="1" w:lastColumn="0" w:oddVBand="0" w:evenVBand="0" w:oddHBand="0" w:evenHBand="0" w:firstRowFirstColumn="0" w:firstRowLastColumn="0" w:lastRowFirstColumn="0" w:lastRowLastColumn="0"/>
            <w:tcW w:w="0" w:type="auto"/>
            <w:hideMark/>
          </w:tcPr>
          <w:p w14:paraId="1D6C01DA" w14:textId="77777777" w:rsidR="00E75B95" w:rsidRPr="00E75B95" w:rsidRDefault="00E75B95" w:rsidP="00FA06E6">
            <w:pPr>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Total value</w:t>
            </w:r>
          </w:p>
        </w:tc>
        <w:tc>
          <w:tcPr>
            <w:tcW w:w="0" w:type="auto"/>
            <w:hideMark/>
          </w:tcPr>
          <w:p w14:paraId="538FCC9B" w14:textId="1DC86200" w:rsidR="00E75B95" w:rsidRPr="00E75B95" w:rsidRDefault="00E75B95" w:rsidP="00FA06E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Assessed parcel value</w:t>
            </w:r>
          </w:p>
        </w:tc>
        <w:tc>
          <w:tcPr>
            <w:tcW w:w="0" w:type="auto"/>
            <w:hideMark/>
          </w:tcPr>
          <w:p w14:paraId="4EA929EE" w14:textId="77777777" w:rsidR="00E75B95" w:rsidRPr="00E75B95" w:rsidRDefault="00E75B95" w:rsidP="00FA06E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USD</w:t>
            </w:r>
          </w:p>
        </w:tc>
        <w:tc>
          <w:tcPr>
            <w:tcW w:w="0" w:type="auto"/>
            <w:hideMark/>
          </w:tcPr>
          <w:p w14:paraId="4ABA5E36" w14:textId="0DEFAF19" w:rsidR="00E75B95" w:rsidRPr="00E75B95" w:rsidRDefault="002373D8" w:rsidP="00FA06E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Natural </w:t>
            </w:r>
            <w:r w:rsidR="00E75B95" w:rsidRPr="00E75B95">
              <w:rPr>
                <w:rFonts w:ascii="Times New Roman" w:eastAsia="Times New Roman" w:hAnsi="Times New Roman" w:cs="Times New Roman"/>
                <w:color w:val="000000"/>
                <w:kern w:val="0"/>
                <w14:ligatures w14:val="none"/>
              </w:rPr>
              <w:t>log</w:t>
            </w:r>
          </w:p>
        </w:tc>
        <w:tc>
          <w:tcPr>
            <w:tcW w:w="0" w:type="auto"/>
            <w:hideMark/>
          </w:tcPr>
          <w:p w14:paraId="6ABD13C8" w14:textId="77777777" w:rsidR="00E75B95" w:rsidRPr="00E75B95" w:rsidRDefault="00E75B95" w:rsidP="00FA06E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Core control</w:t>
            </w:r>
          </w:p>
        </w:tc>
      </w:tr>
      <w:tr w:rsidR="003A7FD2" w:rsidRPr="00E75B95" w14:paraId="127C6BFA" w14:textId="77777777" w:rsidTr="00F40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6E1418" w14:textId="77777777" w:rsidR="00E75B95" w:rsidRPr="00E75B95" w:rsidRDefault="00E75B95" w:rsidP="00FA06E6">
            <w:pPr>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Acres</w:t>
            </w:r>
          </w:p>
        </w:tc>
        <w:tc>
          <w:tcPr>
            <w:tcW w:w="0" w:type="auto"/>
            <w:hideMark/>
          </w:tcPr>
          <w:p w14:paraId="5605BEF3" w14:textId="77777777" w:rsidR="00E75B95" w:rsidRPr="00E75B95" w:rsidRDefault="00E75B95" w:rsidP="00FA06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Assessor parcel size</w:t>
            </w:r>
          </w:p>
        </w:tc>
        <w:tc>
          <w:tcPr>
            <w:tcW w:w="0" w:type="auto"/>
            <w:hideMark/>
          </w:tcPr>
          <w:p w14:paraId="357B4F36" w14:textId="77777777" w:rsidR="00E75B95" w:rsidRPr="00E75B95" w:rsidRDefault="00E75B95" w:rsidP="00FA06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Acres</w:t>
            </w:r>
          </w:p>
        </w:tc>
        <w:tc>
          <w:tcPr>
            <w:tcW w:w="0" w:type="auto"/>
            <w:hideMark/>
          </w:tcPr>
          <w:p w14:paraId="569AA9C6" w14:textId="0DB81F04" w:rsidR="00E75B95" w:rsidRPr="00E75B95" w:rsidRDefault="002373D8" w:rsidP="00FA06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Natural </w:t>
            </w:r>
            <w:r w:rsidR="00E75B95" w:rsidRPr="00E75B95">
              <w:rPr>
                <w:rFonts w:ascii="Times New Roman" w:eastAsia="Times New Roman" w:hAnsi="Times New Roman" w:cs="Times New Roman"/>
                <w:color w:val="000000"/>
                <w:kern w:val="0"/>
                <w14:ligatures w14:val="none"/>
              </w:rPr>
              <w:t>log</w:t>
            </w:r>
          </w:p>
        </w:tc>
        <w:tc>
          <w:tcPr>
            <w:tcW w:w="0" w:type="auto"/>
            <w:hideMark/>
          </w:tcPr>
          <w:p w14:paraId="067004FF" w14:textId="77777777" w:rsidR="00E75B95" w:rsidRPr="00E75B95" w:rsidRDefault="00E75B95" w:rsidP="00FA06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Core control</w:t>
            </w:r>
          </w:p>
        </w:tc>
      </w:tr>
      <w:tr w:rsidR="003A7FD2" w:rsidRPr="00E75B95" w14:paraId="797FA5A6" w14:textId="77777777" w:rsidTr="00F408EE">
        <w:tc>
          <w:tcPr>
            <w:cnfStyle w:val="001000000000" w:firstRow="0" w:lastRow="0" w:firstColumn="1" w:lastColumn="0" w:oddVBand="0" w:evenVBand="0" w:oddHBand="0" w:evenHBand="0" w:firstRowFirstColumn="0" w:firstRowLastColumn="0" w:lastRowFirstColumn="0" w:lastRowLastColumn="0"/>
            <w:tcW w:w="0" w:type="auto"/>
            <w:hideMark/>
          </w:tcPr>
          <w:p w14:paraId="4A471848" w14:textId="77777777" w:rsidR="00E75B95" w:rsidRPr="00E75B95" w:rsidRDefault="00E75B95" w:rsidP="00FA06E6">
            <w:pPr>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Improvement status</w:t>
            </w:r>
          </w:p>
        </w:tc>
        <w:tc>
          <w:tcPr>
            <w:tcW w:w="0" w:type="auto"/>
            <w:hideMark/>
          </w:tcPr>
          <w:p w14:paraId="247B606B" w14:textId="77777777" w:rsidR="00E75B95" w:rsidRPr="00E75B95" w:rsidRDefault="00E75B95" w:rsidP="00FA06E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Building presence from assessor/footprints</w:t>
            </w:r>
          </w:p>
        </w:tc>
        <w:tc>
          <w:tcPr>
            <w:tcW w:w="0" w:type="auto"/>
            <w:hideMark/>
          </w:tcPr>
          <w:p w14:paraId="2C2EAFAE" w14:textId="77777777" w:rsidR="00E75B95" w:rsidRPr="00E75B95" w:rsidRDefault="00E75B95" w:rsidP="00FA06E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Indicator</w:t>
            </w:r>
          </w:p>
        </w:tc>
        <w:tc>
          <w:tcPr>
            <w:tcW w:w="0" w:type="auto"/>
            <w:hideMark/>
          </w:tcPr>
          <w:p w14:paraId="161672A4" w14:textId="77777777" w:rsidR="00E75B95" w:rsidRPr="00E75B95" w:rsidRDefault="00E75B95" w:rsidP="00FA06E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0–1</w:t>
            </w:r>
          </w:p>
        </w:tc>
        <w:tc>
          <w:tcPr>
            <w:tcW w:w="0" w:type="auto"/>
            <w:hideMark/>
          </w:tcPr>
          <w:p w14:paraId="7638BB8A" w14:textId="77777777" w:rsidR="00E75B95" w:rsidRPr="00E75B95" w:rsidRDefault="00E75B95" w:rsidP="00FA06E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Used in descriptive splits &amp; sensitivity</w:t>
            </w:r>
          </w:p>
        </w:tc>
      </w:tr>
      <w:tr w:rsidR="003A7FD2" w:rsidRPr="00E75B95" w14:paraId="636D6E28" w14:textId="77777777" w:rsidTr="00F40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02CF8F" w14:textId="77777777" w:rsidR="00E75B95" w:rsidRPr="00E75B95" w:rsidRDefault="00E75B95" w:rsidP="00FA06E6">
            <w:pPr>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Owner type</w:t>
            </w:r>
          </w:p>
        </w:tc>
        <w:tc>
          <w:tcPr>
            <w:tcW w:w="0" w:type="auto"/>
            <w:hideMark/>
          </w:tcPr>
          <w:p w14:paraId="53E17D56" w14:textId="77777777" w:rsidR="00E75B95" w:rsidRPr="00E75B95" w:rsidRDefault="00E75B95" w:rsidP="00FA06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Organizational form from classifier</w:t>
            </w:r>
          </w:p>
        </w:tc>
        <w:tc>
          <w:tcPr>
            <w:tcW w:w="0" w:type="auto"/>
            <w:hideMark/>
          </w:tcPr>
          <w:p w14:paraId="0C9224A9" w14:textId="77777777" w:rsidR="00E75B95" w:rsidRPr="00E75B95" w:rsidRDefault="00E75B95" w:rsidP="00FA06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Category</w:t>
            </w:r>
          </w:p>
        </w:tc>
        <w:tc>
          <w:tcPr>
            <w:tcW w:w="0" w:type="auto"/>
            <w:hideMark/>
          </w:tcPr>
          <w:p w14:paraId="5D9527C2" w14:textId="77777777" w:rsidR="00E75B95" w:rsidRPr="00E75B95" w:rsidRDefault="00E75B95" w:rsidP="00FA06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one</w:t>
            </w:r>
            <w:r w:rsidRPr="00E75B95">
              <w:rPr>
                <w:rFonts w:ascii="Times New Roman" w:eastAsia="Times New Roman" w:hAnsi="Times New Roman" w:cs="Times New Roman"/>
                <w:color w:val="000000"/>
                <w:kern w:val="0"/>
                <w14:ligatures w14:val="none"/>
              </w:rPr>
              <w:noBreakHyphen/>
              <w:t>hot</w:t>
            </w:r>
          </w:p>
        </w:tc>
        <w:tc>
          <w:tcPr>
            <w:tcW w:w="0" w:type="auto"/>
            <w:hideMark/>
          </w:tcPr>
          <w:p w14:paraId="3E231871" w14:textId="77777777" w:rsidR="00E75B95" w:rsidRPr="00E75B95" w:rsidRDefault="00E75B95" w:rsidP="00FA06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Individual; LLC; Corporation; Trust; Gov/Nonprofit</w:t>
            </w:r>
          </w:p>
        </w:tc>
      </w:tr>
      <w:tr w:rsidR="003A7FD2" w:rsidRPr="00E75B95" w14:paraId="51BA8819" w14:textId="77777777" w:rsidTr="00F408EE">
        <w:tc>
          <w:tcPr>
            <w:cnfStyle w:val="001000000000" w:firstRow="0" w:lastRow="0" w:firstColumn="1" w:lastColumn="0" w:oddVBand="0" w:evenVBand="0" w:oddHBand="0" w:evenHBand="0" w:firstRowFirstColumn="0" w:firstRowLastColumn="0" w:lastRowFirstColumn="0" w:lastRowLastColumn="0"/>
            <w:tcW w:w="0" w:type="auto"/>
            <w:hideMark/>
          </w:tcPr>
          <w:p w14:paraId="7827DCD4" w14:textId="77777777" w:rsidR="00E75B95" w:rsidRPr="00E75B95" w:rsidRDefault="00E75B95" w:rsidP="00FA06E6">
            <w:pPr>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Portfolio scale</w:t>
            </w:r>
          </w:p>
        </w:tc>
        <w:tc>
          <w:tcPr>
            <w:tcW w:w="0" w:type="auto"/>
            <w:hideMark/>
          </w:tcPr>
          <w:p w14:paraId="2C4FAB3A" w14:textId="77777777" w:rsidR="00E75B95" w:rsidRPr="00E75B95" w:rsidRDefault="00E75B95" w:rsidP="00FA06E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Parcels per exact owner name</w:t>
            </w:r>
          </w:p>
        </w:tc>
        <w:tc>
          <w:tcPr>
            <w:tcW w:w="0" w:type="auto"/>
            <w:hideMark/>
          </w:tcPr>
          <w:p w14:paraId="07688D71" w14:textId="77777777" w:rsidR="00E75B95" w:rsidRPr="00E75B95" w:rsidRDefault="00E75B95" w:rsidP="00FA06E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Count</w:t>
            </w:r>
          </w:p>
        </w:tc>
        <w:tc>
          <w:tcPr>
            <w:tcW w:w="0" w:type="auto"/>
            <w:hideMark/>
          </w:tcPr>
          <w:p w14:paraId="5106D276" w14:textId="15E6E758" w:rsidR="00E75B95" w:rsidRPr="00E75B95" w:rsidRDefault="00941C02" w:rsidP="00FA06E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w:t>
            </w:r>
            <w:r w:rsidR="00E75B95" w:rsidRPr="00E75B95">
              <w:rPr>
                <w:rFonts w:ascii="Times New Roman" w:eastAsia="Times New Roman" w:hAnsi="Times New Roman" w:cs="Times New Roman"/>
                <w:color w:val="000000"/>
                <w:kern w:val="0"/>
                <w14:ligatures w14:val="none"/>
              </w:rPr>
              <w:t xml:space="preserve">ingle vs </w:t>
            </w:r>
            <w:r>
              <w:rPr>
                <w:rFonts w:ascii="Times New Roman" w:eastAsia="Times New Roman" w:hAnsi="Times New Roman" w:cs="Times New Roman"/>
                <w:color w:val="000000"/>
                <w:kern w:val="0"/>
                <w14:ligatures w14:val="none"/>
              </w:rPr>
              <w:t>m</w:t>
            </w:r>
            <w:r w:rsidR="00E75B95" w:rsidRPr="00E75B95">
              <w:rPr>
                <w:rFonts w:ascii="Times New Roman" w:eastAsia="Times New Roman" w:hAnsi="Times New Roman" w:cs="Times New Roman"/>
                <w:color w:val="000000"/>
                <w:kern w:val="0"/>
                <w14:ligatures w14:val="none"/>
              </w:rPr>
              <w:t>ulti</w:t>
            </w:r>
          </w:p>
        </w:tc>
        <w:tc>
          <w:tcPr>
            <w:tcW w:w="0" w:type="auto"/>
            <w:hideMark/>
          </w:tcPr>
          <w:p w14:paraId="0DC4CB5E" w14:textId="2714FBB0" w:rsidR="00E75B95" w:rsidRPr="00E75B95" w:rsidRDefault="003A7FD2" w:rsidP="00FA06E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w:t>
            </w:r>
            <w:r w:rsidR="00E75B95" w:rsidRPr="00E75B95">
              <w:rPr>
                <w:rFonts w:ascii="Times New Roman" w:eastAsia="Times New Roman" w:hAnsi="Times New Roman" w:cs="Times New Roman"/>
                <w:color w:val="000000"/>
                <w:kern w:val="0"/>
                <w14:ligatures w14:val="none"/>
              </w:rPr>
              <w:t>xact</w:t>
            </w:r>
            <w:r>
              <w:rPr>
                <w:rFonts w:ascii="Times New Roman" w:eastAsia="Times New Roman" w:hAnsi="Times New Roman" w:cs="Times New Roman"/>
                <w:color w:val="000000"/>
                <w:kern w:val="0"/>
                <w14:ligatures w14:val="none"/>
              </w:rPr>
              <w:t xml:space="preserve"> </w:t>
            </w:r>
            <w:r w:rsidR="00E75B95" w:rsidRPr="00E75B95">
              <w:rPr>
                <w:rFonts w:ascii="Times New Roman" w:eastAsia="Times New Roman" w:hAnsi="Times New Roman" w:cs="Times New Roman"/>
                <w:color w:val="000000"/>
                <w:kern w:val="0"/>
                <w14:ligatures w14:val="none"/>
              </w:rPr>
              <w:t>match on owner</w:t>
            </w:r>
            <w:r w:rsidR="00E75B95" w:rsidRPr="00E75B95">
              <w:rPr>
                <w:rFonts w:ascii="Times New Roman" w:eastAsia="Times New Roman" w:hAnsi="Times New Roman" w:cs="Times New Roman"/>
                <w:color w:val="000000"/>
                <w:kern w:val="0"/>
                <w14:ligatures w14:val="none"/>
              </w:rPr>
              <w:noBreakHyphen/>
              <w:t>of</w:t>
            </w:r>
            <w:r w:rsidR="00E75B95" w:rsidRPr="00E75B95">
              <w:rPr>
                <w:rFonts w:ascii="Times New Roman" w:eastAsia="Times New Roman" w:hAnsi="Times New Roman" w:cs="Times New Roman"/>
                <w:color w:val="000000"/>
                <w:kern w:val="0"/>
                <w14:ligatures w14:val="none"/>
              </w:rPr>
              <w:noBreakHyphen/>
              <w:t>record</w:t>
            </w:r>
          </w:p>
        </w:tc>
      </w:tr>
      <w:tr w:rsidR="003A7FD2" w:rsidRPr="00E75B95" w14:paraId="539B1ECA" w14:textId="77777777" w:rsidTr="00F40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0414B3" w14:textId="77777777" w:rsidR="00E75B95" w:rsidRPr="00E75B95" w:rsidRDefault="00E75B95" w:rsidP="00FA06E6">
            <w:pPr>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Entity × Scale</w:t>
            </w:r>
          </w:p>
        </w:tc>
        <w:tc>
          <w:tcPr>
            <w:tcW w:w="0" w:type="auto"/>
            <w:hideMark/>
          </w:tcPr>
          <w:p w14:paraId="439B0D44" w14:textId="3ACB416F" w:rsidR="00E75B95" w:rsidRPr="00E75B95" w:rsidRDefault="00E75B95" w:rsidP="00FA06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 xml:space="preserve">Cross of owner type </w:t>
            </w:r>
            <w:r w:rsidR="003A7FD2">
              <w:rPr>
                <w:rFonts w:ascii="Times New Roman" w:eastAsia="Times New Roman" w:hAnsi="Times New Roman" w:cs="Times New Roman"/>
                <w:color w:val="000000"/>
                <w:kern w:val="0"/>
                <w14:ligatures w14:val="none"/>
              </w:rPr>
              <w:t>&amp;</w:t>
            </w:r>
            <w:r w:rsidRPr="00E75B95">
              <w:rPr>
                <w:rFonts w:ascii="Times New Roman" w:eastAsia="Times New Roman" w:hAnsi="Times New Roman" w:cs="Times New Roman"/>
                <w:color w:val="000000"/>
                <w:kern w:val="0"/>
                <w14:ligatures w14:val="none"/>
              </w:rPr>
              <w:t xml:space="preserve"> scale</w:t>
            </w:r>
          </w:p>
        </w:tc>
        <w:tc>
          <w:tcPr>
            <w:tcW w:w="0" w:type="auto"/>
            <w:hideMark/>
          </w:tcPr>
          <w:p w14:paraId="2E58B54F" w14:textId="77777777" w:rsidR="00E75B95" w:rsidRPr="00E75B95" w:rsidRDefault="00E75B95" w:rsidP="00FA06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Categories</w:t>
            </w:r>
          </w:p>
        </w:tc>
        <w:tc>
          <w:tcPr>
            <w:tcW w:w="0" w:type="auto"/>
            <w:hideMark/>
          </w:tcPr>
          <w:p w14:paraId="1C3055BE" w14:textId="77777777" w:rsidR="00E75B95" w:rsidRPr="00E75B95" w:rsidRDefault="00E75B95" w:rsidP="00FA06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one</w:t>
            </w:r>
            <w:r w:rsidRPr="00E75B95">
              <w:rPr>
                <w:rFonts w:ascii="Times New Roman" w:eastAsia="Times New Roman" w:hAnsi="Times New Roman" w:cs="Times New Roman"/>
                <w:color w:val="000000"/>
                <w:kern w:val="0"/>
                <w14:ligatures w14:val="none"/>
              </w:rPr>
              <w:noBreakHyphen/>
              <w:t>hot</w:t>
            </w:r>
          </w:p>
        </w:tc>
        <w:tc>
          <w:tcPr>
            <w:tcW w:w="0" w:type="auto"/>
            <w:hideMark/>
          </w:tcPr>
          <w:p w14:paraId="05561CCA" w14:textId="279142FB" w:rsidR="00E75B95" w:rsidRPr="00E75B95" w:rsidRDefault="00E75B95" w:rsidP="00FA06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10 mutually exclusive groups; </w:t>
            </w:r>
            <w:proofErr w:type="gramStart"/>
            <w:r w:rsidRPr="00E75B95">
              <w:rPr>
                <w:rFonts w:ascii="Times New Roman" w:eastAsia="Times New Roman" w:hAnsi="Times New Roman" w:cs="Times New Roman"/>
                <w:color w:val="000000"/>
                <w:kern w:val="0"/>
                <w14:ligatures w14:val="none"/>
              </w:rPr>
              <w:t>Individual  Single</w:t>
            </w:r>
            <w:proofErr w:type="gramEnd"/>
            <w:r w:rsidR="003A7FD2">
              <w:rPr>
                <w:rFonts w:ascii="Times New Roman" w:eastAsia="Times New Roman" w:hAnsi="Times New Roman" w:cs="Times New Roman"/>
                <w:color w:val="000000"/>
                <w:kern w:val="0"/>
                <w14:ligatures w14:val="none"/>
              </w:rPr>
              <w:t xml:space="preserve"> Parcel owners</w:t>
            </w:r>
            <w:r w:rsidRPr="00E75B95">
              <w:rPr>
                <w:rFonts w:ascii="Times New Roman" w:eastAsia="Times New Roman" w:hAnsi="Times New Roman" w:cs="Times New Roman"/>
                <w:color w:val="000000"/>
                <w:kern w:val="0"/>
                <w14:ligatures w14:val="none"/>
              </w:rPr>
              <w:t> </w:t>
            </w:r>
            <w:r w:rsidR="003A7FD2">
              <w:rPr>
                <w:rFonts w:ascii="Times New Roman" w:eastAsia="Times New Roman" w:hAnsi="Times New Roman" w:cs="Times New Roman"/>
                <w:color w:val="000000"/>
                <w:kern w:val="0"/>
                <w14:ligatures w14:val="none"/>
              </w:rPr>
              <w:t>are</w:t>
            </w:r>
            <w:r w:rsidRPr="00E75B95">
              <w:rPr>
                <w:rFonts w:ascii="Times New Roman" w:eastAsia="Times New Roman" w:hAnsi="Times New Roman" w:cs="Times New Roman"/>
                <w:color w:val="000000"/>
                <w:kern w:val="0"/>
                <w14:ligatures w14:val="none"/>
              </w:rPr>
              <w:t xml:space="preserve"> </w:t>
            </w:r>
            <w:r w:rsidR="003A7FD2">
              <w:rPr>
                <w:rFonts w:ascii="Times New Roman" w:eastAsia="Times New Roman" w:hAnsi="Times New Roman" w:cs="Times New Roman"/>
                <w:color w:val="000000"/>
                <w:kern w:val="0"/>
                <w14:ligatures w14:val="none"/>
              </w:rPr>
              <w:t xml:space="preserve">the </w:t>
            </w:r>
            <w:r w:rsidRPr="00E75B95">
              <w:rPr>
                <w:rFonts w:ascii="Times New Roman" w:eastAsia="Times New Roman" w:hAnsi="Times New Roman" w:cs="Times New Roman"/>
                <w:color w:val="000000"/>
                <w:kern w:val="0"/>
                <w14:ligatures w14:val="none"/>
              </w:rPr>
              <w:t>reference</w:t>
            </w:r>
          </w:p>
        </w:tc>
      </w:tr>
      <w:tr w:rsidR="003A7FD2" w:rsidRPr="00E75B95" w14:paraId="50BCDE7D" w14:textId="77777777" w:rsidTr="00F408EE">
        <w:tc>
          <w:tcPr>
            <w:cnfStyle w:val="001000000000" w:firstRow="0" w:lastRow="0" w:firstColumn="1" w:lastColumn="0" w:oddVBand="0" w:evenVBand="0" w:oddHBand="0" w:evenHBand="0" w:firstRowFirstColumn="0" w:firstRowLastColumn="0" w:lastRowFirstColumn="0" w:lastRowLastColumn="0"/>
            <w:tcW w:w="0" w:type="auto"/>
            <w:hideMark/>
          </w:tcPr>
          <w:p w14:paraId="00F90813" w14:textId="77777777" w:rsidR="00E75B95" w:rsidRPr="00E75B95" w:rsidRDefault="00E75B95" w:rsidP="00FA06E6">
            <w:pPr>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Neighborhood</w:t>
            </w:r>
          </w:p>
        </w:tc>
        <w:tc>
          <w:tcPr>
            <w:tcW w:w="0" w:type="auto"/>
            <w:hideMark/>
          </w:tcPr>
          <w:p w14:paraId="6CB76876" w14:textId="77777777" w:rsidR="00E75B95" w:rsidRPr="00E75B95" w:rsidRDefault="00E75B95" w:rsidP="00FA06E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Assessor appraisal neighborhood</w:t>
            </w:r>
          </w:p>
        </w:tc>
        <w:tc>
          <w:tcPr>
            <w:tcW w:w="0" w:type="auto"/>
            <w:hideMark/>
          </w:tcPr>
          <w:p w14:paraId="532F7379" w14:textId="77777777" w:rsidR="00E75B95" w:rsidRPr="00E75B95" w:rsidRDefault="00E75B95" w:rsidP="00FA06E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Categories</w:t>
            </w:r>
          </w:p>
        </w:tc>
        <w:tc>
          <w:tcPr>
            <w:tcW w:w="0" w:type="auto"/>
            <w:hideMark/>
          </w:tcPr>
          <w:p w14:paraId="5E6DD0E2" w14:textId="77777777" w:rsidR="00E75B95" w:rsidRPr="00E75B95" w:rsidRDefault="00E75B95" w:rsidP="00FA06E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one</w:t>
            </w:r>
            <w:r w:rsidRPr="00E75B95">
              <w:rPr>
                <w:rFonts w:ascii="Times New Roman" w:eastAsia="Times New Roman" w:hAnsi="Times New Roman" w:cs="Times New Roman"/>
                <w:color w:val="000000"/>
                <w:kern w:val="0"/>
                <w14:ligatures w14:val="none"/>
              </w:rPr>
              <w:noBreakHyphen/>
              <w:t>hot</w:t>
            </w:r>
          </w:p>
        </w:tc>
        <w:tc>
          <w:tcPr>
            <w:tcW w:w="0" w:type="auto"/>
            <w:hideMark/>
          </w:tcPr>
          <w:p w14:paraId="35F34578" w14:textId="77777777" w:rsidR="00E75B95" w:rsidRPr="00E75B95" w:rsidRDefault="00E75B95" w:rsidP="00FA06E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Fixed effects; 470 groups</w:t>
            </w:r>
          </w:p>
        </w:tc>
      </w:tr>
      <w:tr w:rsidR="003A7FD2" w:rsidRPr="00E75B95" w14:paraId="41DF78EA" w14:textId="77777777" w:rsidTr="00F40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B04FB4" w14:textId="77777777" w:rsidR="00E75B95" w:rsidRPr="00E75B95" w:rsidRDefault="00E75B95" w:rsidP="00FA06E6">
            <w:pPr>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Owner distance</w:t>
            </w:r>
          </w:p>
        </w:tc>
        <w:tc>
          <w:tcPr>
            <w:tcW w:w="0" w:type="auto"/>
            <w:hideMark/>
          </w:tcPr>
          <w:p w14:paraId="1EEE949E" w14:textId="7CD4E1E4" w:rsidR="00E75B95" w:rsidRPr="00E75B95" w:rsidRDefault="00E75B95" w:rsidP="00FA06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Great</w:t>
            </w:r>
            <w:r w:rsidRPr="00E75B95">
              <w:rPr>
                <w:rFonts w:ascii="Times New Roman" w:eastAsia="Times New Roman" w:hAnsi="Times New Roman" w:cs="Times New Roman"/>
                <w:color w:val="000000"/>
                <w:kern w:val="0"/>
                <w14:ligatures w14:val="none"/>
              </w:rPr>
              <w:noBreakHyphen/>
              <w:t xml:space="preserve">circle km: parcel centroid </w:t>
            </w:r>
            <w:r w:rsidR="002373D8">
              <w:rPr>
                <w:rFonts w:ascii="Times New Roman" w:eastAsia="Times New Roman" w:hAnsi="Times New Roman" w:cs="Times New Roman"/>
                <w:color w:val="000000"/>
                <w:kern w:val="0"/>
                <w14:ligatures w14:val="none"/>
              </w:rPr>
              <w:t>to</w:t>
            </w:r>
            <w:r w:rsidRPr="00E75B95">
              <w:rPr>
                <w:rFonts w:ascii="Times New Roman" w:eastAsia="Times New Roman" w:hAnsi="Times New Roman" w:cs="Times New Roman"/>
                <w:color w:val="000000"/>
                <w:kern w:val="0"/>
                <w14:ligatures w14:val="none"/>
              </w:rPr>
              <w:t xml:space="preserve"> owner ZIP centroid</w:t>
            </w:r>
          </w:p>
        </w:tc>
        <w:tc>
          <w:tcPr>
            <w:tcW w:w="0" w:type="auto"/>
            <w:hideMark/>
          </w:tcPr>
          <w:p w14:paraId="41C83E5A" w14:textId="77777777" w:rsidR="00E75B95" w:rsidRPr="00E75B95" w:rsidRDefault="00E75B95" w:rsidP="00FA06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Kilometers</w:t>
            </w:r>
          </w:p>
        </w:tc>
        <w:tc>
          <w:tcPr>
            <w:tcW w:w="0" w:type="auto"/>
            <w:hideMark/>
          </w:tcPr>
          <w:p w14:paraId="3A0CCB14" w14:textId="38168037" w:rsidR="00E75B95" w:rsidRPr="00E75B95" w:rsidRDefault="002373D8" w:rsidP="00FA06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Natural </w:t>
            </w:r>
            <w:r w:rsidR="00E75B95" w:rsidRPr="00E75B95">
              <w:rPr>
                <w:rFonts w:ascii="Times New Roman" w:eastAsia="Times New Roman" w:hAnsi="Times New Roman" w:cs="Times New Roman"/>
                <w:color w:val="000000"/>
                <w:kern w:val="0"/>
                <w14:ligatures w14:val="none"/>
              </w:rPr>
              <w:t>log</w:t>
            </w:r>
          </w:p>
        </w:tc>
        <w:tc>
          <w:tcPr>
            <w:tcW w:w="0" w:type="auto"/>
            <w:hideMark/>
          </w:tcPr>
          <w:p w14:paraId="17D78394" w14:textId="77777777" w:rsidR="00E75B95" w:rsidRPr="00E75B95" w:rsidRDefault="00E75B95" w:rsidP="00FA06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Secondary robustness control</w:t>
            </w:r>
          </w:p>
        </w:tc>
      </w:tr>
    </w:tbl>
    <w:p w14:paraId="352E9308" w14:textId="5D02176C" w:rsidR="00E75B95" w:rsidRPr="005E1EE4" w:rsidRDefault="00E75B95" w:rsidP="00FA06E6">
      <w:pPr>
        <w:spacing w:after="100" w:afterAutospacing="1" w:line="240" w:lineRule="auto"/>
        <w:outlineLvl w:val="2"/>
        <w:rPr>
          <w:rFonts w:ascii="Times New Roman" w:eastAsia="Times New Roman" w:hAnsi="Times New Roman" w:cs="Times New Roman"/>
          <w:b/>
          <w:bCs/>
          <w:color w:val="000000"/>
          <w:kern w:val="0"/>
          <w14:ligatures w14:val="none"/>
        </w:rPr>
      </w:pPr>
      <w:r w:rsidRPr="005E1EE4">
        <w:rPr>
          <w:rFonts w:ascii="Times New Roman" w:eastAsia="Times New Roman" w:hAnsi="Times New Roman" w:cs="Times New Roman"/>
          <w:b/>
          <w:bCs/>
          <w:color w:val="000000"/>
          <w:kern w:val="0"/>
          <w14:ligatures w14:val="none"/>
        </w:rPr>
        <w:t>3.</w:t>
      </w:r>
      <w:r w:rsidR="00B51D6D">
        <w:rPr>
          <w:rFonts w:ascii="Times New Roman" w:eastAsia="Times New Roman" w:hAnsi="Times New Roman" w:cs="Times New Roman"/>
          <w:b/>
          <w:bCs/>
          <w:color w:val="000000"/>
          <w:kern w:val="0"/>
          <w14:ligatures w14:val="none"/>
        </w:rPr>
        <w:t>2</w:t>
      </w:r>
      <w:r w:rsidRPr="005E1EE4">
        <w:rPr>
          <w:rFonts w:ascii="Times New Roman" w:eastAsia="Times New Roman" w:hAnsi="Times New Roman" w:cs="Times New Roman"/>
          <w:b/>
          <w:bCs/>
          <w:color w:val="000000"/>
          <w:kern w:val="0"/>
          <w14:ligatures w14:val="none"/>
        </w:rPr>
        <w:t xml:space="preserve"> </w:t>
      </w:r>
      <w:r w:rsidR="005E1EE4" w:rsidRPr="005E1EE4">
        <w:rPr>
          <w:rFonts w:ascii="Times New Roman" w:hAnsi="Times New Roman" w:cs="Times New Roman"/>
          <w:b/>
          <w:bCs/>
          <w:color w:val="000000"/>
        </w:rPr>
        <w:t xml:space="preserve">Classifying Owner Type </w:t>
      </w:r>
      <w:r w:rsidR="002A03F2">
        <w:rPr>
          <w:rFonts w:ascii="Times New Roman" w:hAnsi="Times New Roman" w:cs="Times New Roman"/>
          <w:b/>
          <w:bCs/>
          <w:color w:val="000000"/>
        </w:rPr>
        <w:t>&amp;</w:t>
      </w:r>
      <w:r w:rsidR="005E1EE4" w:rsidRPr="005E1EE4">
        <w:rPr>
          <w:rFonts w:ascii="Times New Roman" w:hAnsi="Times New Roman" w:cs="Times New Roman"/>
          <w:b/>
          <w:bCs/>
          <w:color w:val="000000"/>
        </w:rPr>
        <w:t xml:space="preserve"> Scale</w:t>
      </w:r>
    </w:p>
    <w:p w14:paraId="5FCAB32B" w14:textId="58428AC2" w:rsidR="000E79FE" w:rsidRDefault="003D5276" w:rsidP="00FA06E6">
      <w:pPr>
        <w:spacing w:after="100" w:afterAutospacing="1" w:line="240" w:lineRule="auto"/>
        <w:rPr>
          <w:rFonts w:ascii="Times New Roman" w:eastAsia="Times New Roman" w:hAnsi="Times New Roman" w:cs="Times New Roman"/>
          <w:color w:val="000000"/>
          <w:kern w:val="0"/>
          <w14:ligatures w14:val="none"/>
        </w:rPr>
      </w:pPr>
      <w:r w:rsidRPr="003D5276">
        <w:rPr>
          <w:rFonts w:ascii="Times New Roman" w:eastAsia="Times New Roman" w:hAnsi="Times New Roman" w:cs="Times New Roman"/>
          <w:color w:val="000000"/>
          <w:kern w:val="0"/>
          <w14:ligatures w14:val="none"/>
        </w:rPr>
        <w:t>To create our ownership typology, we first classified the owner-of-record for every parcel into one of five mutually exclusive organizational forms: Individual, LLC, Corporation, Trust, or Government/Nonprofit. Th</w:t>
      </w:r>
      <w:r w:rsidR="00A961AE">
        <w:rPr>
          <w:rFonts w:ascii="Times New Roman" w:eastAsia="Times New Roman" w:hAnsi="Times New Roman" w:cs="Times New Roman"/>
          <w:color w:val="000000"/>
          <w:kern w:val="0"/>
          <w14:ligatures w14:val="none"/>
        </w:rPr>
        <w:t>e</w:t>
      </w:r>
      <w:r w:rsidRPr="003D5276">
        <w:rPr>
          <w:rFonts w:ascii="Times New Roman" w:eastAsia="Times New Roman" w:hAnsi="Times New Roman" w:cs="Times New Roman"/>
          <w:color w:val="000000"/>
          <w:kern w:val="0"/>
          <w14:ligatures w14:val="none"/>
        </w:rPr>
        <w:t xml:space="preserve"> classification</w:t>
      </w:r>
      <w:r w:rsidR="00A961AE">
        <w:rPr>
          <w:rFonts w:ascii="Times New Roman" w:eastAsia="Times New Roman" w:hAnsi="Times New Roman" w:cs="Times New Roman"/>
          <w:color w:val="000000"/>
          <w:kern w:val="0"/>
          <w14:ligatures w14:val="none"/>
        </w:rPr>
        <w:t xml:space="preserve"> process</w:t>
      </w:r>
      <w:r w:rsidRPr="003D5276">
        <w:rPr>
          <w:rFonts w:ascii="Times New Roman" w:eastAsia="Times New Roman" w:hAnsi="Times New Roman" w:cs="Times New Roman"/>
          <w:color w:val="000000"/>
          <w:kern w:val="0"/>
          <w14:ligatures w14:val="none"/>
        </w:rPr>
        <w:t xml:space="preserve"> was performed using a fine-tuned BERT sequence classifier. The model was trained on a corpus of 2,520 hand-labeled owner names</w:t>
      </w:r>
      <w:r w:rsidR="0058782E">
        <w:rPr>
          <w:rFonts w:ascii="Times New Roman" w:eastAsia="Times New Roman" w:hAnsi="Times New Roman" w:cs="Times New Roman"/>
          <w:color w:val="000000"/>
          <w:kern w:val="0"/>
          <w14:ligatures w14:val="none"/>
        </w:rPr>
        <w:t>. I</w:t>
      </w:r>
      <w:r w:rsidRPr="003D5276">
        <w:rPr>
          <w:rFonts w:ascii="Times New Roman" w:eastAsia="Times New Roman" w:hAnsi="Times New Roman" w:cs="Times New Roman"/>
          <w:color w:val="000000"/>
          <w:kern w:val="0"/>
          <w14:ligatures w14:val="none"/>
        </w:rPr>
        <w:t xml:space="preserve">ts accuracy was validated using three-fold cross-validation and a stratified human audit. When deployed countywide, the model achieved 97.8 percent high-confidence coverage, a figure that rose to 98.3 percent for the single-family residential parcels central to this study. </w:t>
      </w:r>
    </w:p>
    <w:p w14:paraId="4AAFE395" w14:textId="17AC665F" w:rsidR="003D5276" w:rsidRPr="003D5276" w:rsidRDefault="003D5276" w:rsidP="00FA06E6">
      <w:pPr>
        <w:spacing w:after="100" w:afterAutospacing="1" w:line="240" w:lineRule="auto"/>
        <w:rPr>
          <w:rFonts w:ascii="Times New Roman" w:eastAsia="Times New Roman" w:hAnsi="Times New Roman" w:cs="Times New Roman"/>
          <w:color w:val="000000"/>
          <w:kern w:val="0"/>
          <w14:ligatures w14:val="none"/>
        </w:rPr>
      </w:pPr>
      <w:r w:rsidRPr="003D5276">
        <w:rPr>
          <w:rFonts w:ascii="Times New Roman" w:eastAsia="Times New Roman" w:hAnsi="Times New Roman" w:cs="Times New Roman"/>
          <w:color w:val="000000"/>
          <w:kern w:val="0"/>
          <w14:ligatures w14:val="none"/>
        </w:rPr>
        <w:t>Our results confirm that the transformer model effectively captures the distinct morphology and tokens of legal entity names, significantly outperforming a simpler rules-only baseline (</w:t>
      </w:r>
      <w:proofErr w:type="spellStart"/>
      <w:r w:rsidRPr="003D5276">
        <w:rPr>
          <w:rFonts w:ascii="Times New Roman" w:eastAsia="Times New Roman" w:hAnsi="Times New Roman" w:cs="Times New Roman"/>
          <w:color w:val="000000"/>
          <w:kern w:val="0"/>
          <w14:ligatures w14:val="none"/>
        </w:rPr>
        <w:t>Arimond</w:t>
      </w:r>
      <w:proofErr w:type="spellEnd"/>
      <w:r w:rsidRPr="003D5276">
        <w:rPr>
          <w:rFonts w:ascii="Times New Roman" w:eastAsia="Times New Roman" w:hAnsi="Times New Roman" w:cs="Times New Roman"/>
          <w:color w:val="000000"/>
          <w:kern w:val="0"/>
          <w14:ligatures w14:val="none"/>
        </w:rPr>
        <w:t xml:space="preserve"> et al., 2023). Full details on the classifier's configuration, training, and performance are available in Tables 3 and 4, with a summary of the resulting owner</w:t>
      </w:r>
      <w:r w:rsidR="0058782E">
        <w:rPr>
          <w:rFonts w:ascii="Times New Roman" w:eastAsia="Times New Roman" w:hAnsi="Times New Roman" w:cs="Times New Roman"/>
          <w:color w:val="000000"/>
          <w:kern w:val="0"/>
          <w14:ligatures w14:val="none"/>
        </w:rPr>
        <w:t xml:space="preserve"> </w:t>
      </w:r>
      <w:r w:rsidRPr="003D5276">
        <w:rPr>
          <w:rFonts w:ascii="Times New Roman" w:eastAsia="Times New Roman" w:hAnsi="Times New Roman" w:cs="Times New Roman"/>
          <w:color w:val="000000"/>
          <w:kern w:val="0"/>
          <w14:ligatures w14:val="none"/>
        </w:rPr>
        <w:t xml:space="preserve">type distribution in Table 5. </w:t>
      </w:r>
    </w:p>
    <w:p w14:paraId="411A505F" w14:textId="4BE0106B" w:rsidR="003D5276" w:rsidRDefault="003D5276" w:rsidP="00FA06E6">
      <w:pPr>
        <w:spacing w:after="100" w:afterAutospacing="1" w:line="240" w:lineRule="auto"/>
        <w:rPr>
          <w:rFonts w:ascii="Times New Roman" w:eastAsia="Times New Roman" w:hAnsi="Times New Roman" w:cs="Times New Roman"/>
          <w:color w:val="000000"/>
          <w:kern w:val="0"/>
          <w14:ligatures w14:val="none"/>
        </w:rPr>
      </w:pPr>
      <w:r w:rsidRPr="003D5276">
        <w:rPr>
          <w:rFonts w:ascii="Times New Roman" w:eastAsia="Times New Roman" w:hAnsi="Times New Roman" w:cs="Times New Roman"/>
          <w:color w:val="000000"/>
          <w:kern w:val="0"/>
          <w14:ligatures w14:val="none"/>
        </w:rPr>
        <w:lastRenderedPageBreak/>
        <w:t xml:space="preserve">Next, we measured each owner’s portfolio scale using an exact name match in the assessor data. An owner name that appeared on exactly one parcel was coded as </w:t>
      </w:r>
      <w:r>
        <w:rPr>
          <w:rFonts w:ascii="Times New Roman" w:eastAsia="Times New Roman" w:hAnsi="Times New Roman" w:cs="Times New Roman"/>
          <w:color w:val="000000"/>
          <w:kern w:val="0"/>
          <w14:ligatures w14:val="none"/>
        </w:rPr>
        <w:t>s</w:t>
      </w:r>
      <w:r w:rsidRPr="003D5276">
        <w:rPr>
          <w:rFonts w:ascii="Times New Roman" w:eastAsia="Times New Roman" w:hAnsi="Times New Roman" w:cs="Times New Roman"/>
          <w:color w:val="000000"/>
          <w:kern w:val="0"/>
          <w14:ligatures w14:val="none"/>
        </w:rPr>
        <w:t xml:space="preserve">ingle parcel, while names appearing on two or more parcels were coded as </w:t>
      </w:r>
      <w:r>
        <w:rPr>
          <w:rFonts w:ascii="Times New Roman" w:eastAsia="Times New Roman" w:hAnsi="Times New Roman" w:cs="Times New Roman"/>
          <w:color w:val="000000"/>
          <w:kern w:val="0"/>
          <w14:ligatures w14:val="none"/>
        </w:rPr>
        <w:t>m</w:t>
      </w:r>
      <w:r w:rsidRPr="003D5276">
        <w:rPr>
          <w:rFonts w:ascii="Times New Roman" w:eastAsia="Times New Roman" w:hAnsi="Times New Roman" w:cs="Times New Roman"/>
          <w:color w:val="000000"/>
          <w:kern w:val="0"/>
          <w14:ligatures w14:val="none"/>
        </w:rPr>
        <w:t>ulti-parcel. Crossing the five organizational forms with these two scale categories produced the ten analytic groups used in our regression models. For this analysis, we retained the legal shell as the primary unit to preserve our ability to detect behaviors associated with single</w:t>
      </w:r>
      <w:r w:rsidR="009D3423">
        <w:rPr>
          <w:rFonts w:ascii="Times New Roman" w:eastAsia="Times New Roman" w:hAnsi="Times New Roman" w:cs="Times New Roman"/>
          <w:color w:val="000000"/>
          <w:kern w:val="0"/>
          <w14:ligatures w14:val="none"/>
        </w:rPr>
        <w:t xml:space="preserve"> </w:t>
      </w:r>
      <w:r w:rsidRPr="003D5276">
        <w:rPr>
          <w:rFonts w:ascii="Times New Roman" w:eastAsia="Times New Roman" w:hAnsi="Times New Roman" w:cs="Times New Roman"/>
          <w:color w:val="000000"/>
          <w:kern w:val="0"/>
          <w14:ligatures w14:val="none"/>
        </w:rPr>
        <w:t>asset LLCs, such as liability siloing. The final portfolio size distributions for each entity type are reported in Table 2.</w:t>
      </w:r>
    </w:p>
    <w:p w14:paraId="038DFDA4" w14:textId="298A1797" w:rsidR="00E75B95" w:rsidRPr="00E75B95" w:rsidRDefault="00E75B95" w:rsidP="00FA06E6">
      <w:pPr>
        <w:spacing w:after="100" w:afterAutospacing="1" w:line="240" w:lineRule="auto"/>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Table 2. Portfolio size distribution by entity type (SFR)</w:t>
      </w:r>
      <w:r w:rsidRPr="00E75B95">
        <w:rPr>
          <w:rFonts w:ascii="Times New Roman" w:eastAsia="Times New Roman" w:hAnsi="Times New Roman" w:cs="Times New Roman"/>
          <w:color w:val="000000"/>
          <w:kern w:val="0"/>
          <w14:ligatures w14:val="none"/>
        </w:rPr>
        <w:br/>
      </w:r>
    </w:p>
    <w:tbl>
      <w:tblPr>
        <w:tblStyle w:val="PlainTable4"/>
        <w:tblW w:w="0" w:type="auto"/>
        <w:tblLook w:val="04A0" w:firstRow="1" w:lastRow="0" w:firstColumn="1" w:lastColumn="0" w:noHBand="0" w:noVBand="1"/>
      </w:tblPr>
      <w:tblGrid>
        <w:gridCol w:w="1598"/>
        <w:gridCol w:w="1536"/>
        <w:gridCol w:w="1726"/>
        <w:gridCol w:w="1487"/>
        <w:gridCol w:w="1677"/>
        <w:gridCol w:w="931"/>
      </w:tblGrid>
      <w:tr w:rsidR="00E75B95" w:rsidRPr="00E75B95" w14:paraId="36160A2B" w14:textId="77777777" w:rsidTr="00F408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48288F" w14:textId="77777777" w:rsidR="00E75B95" w:rsidRPr="00E75B95" w:rsidRDefault="00E75B95" w:rsidP="00FA06E6">
            <w:pPr>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Entity type</w:t>
            </w:r>
          </w:p>
        </w:tc>
        <w:tc>
          <w:tcPr>
            <w:tcW w:w="0" w:type="auto"/>
            <w:hideMark/>
          </w:tcPr>
          <w:p w14:paraId="6048E7B0" w14:textId="77777777" w:rsidR="00E75B95" w:rsidRPr="00E75B95" w:rsidRDefault="00E75B95" w:rsidP="00FA06E6">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Single</w:t>
            </w:r>
            <w:r w:rsidRPr="00E75B95">
              <w:rPr>
                <w:rFonts w:ascii="Times New Roman" w:eastAsia="Times New Roman" w:hAnsi="Times New Roman" w:cs="Times New Roman"/>
                <w:color w:val="000000"/>
                <w:kern w:val="0"/>
                <w14:ligatures w14:val="none"/>
              </w:rPr>
              <w:noBreakHyphen/>
              <w:t>parcels</w:t>
            </w:r>
          </w:p>
        </w:tc>
        <w:tc>
          <w:tcPr>
            <w:tcW w:w="0" w:type="auto"/>
            <w:hideMark/>
          </w:tcPr>
          <w:p w14:paraId="67ED40CC" w14:textId="77777777" w:rsidR="00E75B95" w:rsidRPr="00E75B95" w:rsidRDefault="00E75B95" w:rsidP="00FA06E6">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Single</w:t>
            </w:r>
            <w:r w:rsidRPr="00E75B95">
              <w:rPr>
                <w:rFonts w:ascii="Times New Roman" w:eastAsia="Times New Roman" w:hAnsi="Times New Roman" w:cs="Times New Roman"/>
                <w:color w:val="000000"/>
                <w:kern w:val="0"/>
                <w14:ligatures w14:val="none"/>
              </w:rPr>
              <w:noBreakHyphen/>
              <w:t>parcel %</w:t>
            </w:r>
          </w:p>
        </w:tc>
        <w:tc>
          <w:tcPr>
            <w:tcW w:w="0" w:type="auto"/>
            <w:hideMark/>
          </w:tcPr>
          <w:p w14:paraId="13DBC79A" w14:textId="77777777" w:rsidR="00E75B95" w:rsidRPr="00E75B95" w:rsidRDefault="00E75B95" w:rsidP="00FA06E6">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Multi</w:t>
            </w:r>
            <w:r w:rsidRPr="00E75B95">
              <w:rPr>
                <w:rFonts w:ascii="Times New Roman" w:eastAsia="Times New Roman" w:hAnsi="Times New Roman" w:cs="Times New Roman"/>
                <w:color w:val="000000"/>
                <w:kern w:val="0"/>
                <w14:ligatures w14:val="none"/>
              </w:rPr>
              <w:noBreakHyphen/>
              <w:t>parcels</w:t>
            </w:r>
          </w:p>
        </w:tc>
        <w:tc>
          <w:tcPr>
            <w:tcW w:w="0" w:type="auto"/>
            <w:hideMark/>
          </w:tcPr>
          <w:p w14:paraId="71850B3A" w14:textId="77777777" w:rsidR="00E75B95" w:rsidRPr="00E75B95" w:rsidRDefault="00E75B95" w:rsidP="00FA06E6">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Multi</w:t>
            </w:r>
            <w:r w:rsidRPr="00E75B95">
              <w:rPr>
                <w:rFonts w:ascii="Times New Roman" w:eastAsia="Times New Roman" w:hAnsi="Times New Roman" w:cs="Times New Roman"/>
                <w:color w:val="000000"/>
                <w:kern w:val="0"/>
                <w14:ligatures w14:val="none"/>
              </w:rPr>
              <w:noBreakHyphen/>
              <w:t>parcel %</w:t>
            </w:r>
          </w:p>
        </w:tc>
        <w:tc>
          <w:tcPr>
            <w:tcW w:w="0" w:type="auto"/>
            <w:hideMark/>
          </w:tcPr>
          <w:p w14:paraId="180C9753" w14:textId="77777777" w:rsidR="00E75B95" w:rsidRPr="00E75B95" w:rsidRDefault="00E75B95" w:rsidP="00FA06E6">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Total</w:t>
            </w:r>
          </w:p>
        </w:tc>
      </w:tr>
      <w:tr w:rsidR="00E75B95" w:rsidRPr="00E75B95" w14:paraId="42862FA9" w14:textId="77777777" w:rsidTr="00F40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90E43F" w14:textId="77777777" w:rsidR="00E75B95" w:rsidRPr="00E75B95" w:rsidRDefault="00E75B95" w:rsidP="00FA06E6">
            <w:pPr>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Individual</w:t>
            </w:r>
          </w:p>
        </w:tc>
        <w:tc>
          <w:tcPr>
            <w:tcW w:w="0" w:type="auto"/>
            <w:hideMark/>
          </w:tcPr>
          <w:p w14:paraId="7F910971"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131,436</w:t>
            </w:r>
          </w:p>
        </w:tc>
        <w:tc>
          <w:tcPr>
            <w:tcW w:w="0" w:type="auto"/>
            <w:hideMark/>
          </w:tcPr>
          <w:p w14:paraId="7A243BF8"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86.32</w:t>
            </w:r>
          </w:p>
        </w:tc>
        <w:tc>
          <w:tcPr>
            <w:tcW w:w="0" w:type="auto"/>
            <w:hideMark/>
          </w:tcPr>
          <w:p w14:paraId="5B1D85F7"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20,826</w:t>
            </w:r>
          </w:p>
        </w:tc>
        <w:tc>
          <w:tcPr>
            <w:tcW w:w="0" w:type="auto"/>
            <w:hideMark/>
          </w:tcPr>
          <w:p w14:paraId="16A92BBA"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13.68</w:t>
            </w:r>
          </w:p>
        </w:tc>
        <w:tc>
          <w:tcPr>
            <w:tcW w:w="0" w:type="auto"/>
            <w:hideMark/>
          </w:tcPr>
          <w:p w14:paraId="72FF2D9F"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152,262</w:t>
            </w:r>
          </w:p>
        </w:tc>
      </w:tr>
      <w:tr w:rsidR="00E75B95" w:rsidRPr="00E75B95" w14:paraId="20F6DB38" w14:textId="77777777" w:rsidTr="00F408EE">
        <w:tc>
          <w:tcPr>
            <w:cnfStyle w:val="001000000000" w:firstRow="0" w:lastRow="0" w:firstColumn="1" w:lastColumn="0" w:oddVBand="0" w:evenVBand="0" w:oddHBand="0" w:evenHBand="0" w:firstRowFirstColumn="0" w:firstRowLastColumn="0" w:lastRowFirstColumn="0" w:lastRowLastColumn="0"/>
            <w:tcW w:w="0" w:type="auto"/>
            <w:hideMark/>
          </w:tcPr>
          <w:p w14:paraId="30DF4CD3" w14:textId="77777777" w:rsidR="00E75B95" w:rsidRPr="00E75B95" w:rsidRDefault="00E75B95" w:rsidP="00FA06E6">
            <w:pPr>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LLC</w:t>
            </w:r>
          </w:p>
        </w:tc>
        <w:tc>
          <w:tcPr>
            <w:tcW w:w="0" w:type="auto"/>
            <w:hideMark/>
          </w:tcPr>
          <w:p w14:paraId="0192F9BF" w14:textId="77777777" w:rsidR="00E75B95" w:rsidRPr="00E75B95" w:rsidRDefault="00E75B95"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4,725</w:t>
            </w:r>
          </w:p>
        </w:tc>
        <w:tc>
          <w:tcPr>
            <w:tcW w:w="0" w:type="auto"/>
            <w:hideMark/>
          </w:tcPr>
          <w:p w14:paraId="7E83C59C" w14:textId="77777777" w:rsidR="00E75B95" w:rsidRPr="00E75B95" w:rsidRDefault="00E75B95"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23.04</w:t>
            </w:r>
          </w:p>
        </w:tc>
        <w:tc>
          <w:tcPr>
            <w:tcW w:w="0" w:type="auto"/>
            <w:hideMark/>
          </w:tcPr>
          <w:p w14:paraId="2040FED7" w14:textId="77777777" w:rsidR="00E75B95" w:rsidRPr="00E75B95" w:rsidRDefault="00E75B95"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15,782</w:t>
            </w:r>
          </w:p>
        </w:tc>
        <w:tc>
          <w:tcPr>
            <w:tcW w:w="0" w:type="auto"/>
            <w:hideMark/>
          </w:tcPr>
          <w:p w14:paraId="787D4536" w14:textId="77777777" w:rsidR="00E75B95" w:rsidRPr="00E75B95" w:rsidRDefault="00E75B95"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76.96</w:t>
            </w:r>
          </w:p>
        </w:tc>
        <w:tc>
          <w:tcPr>
            <w:tcW w:w="0" w:type="auto"/>
            <w:hideMark/>
          </w:tcPr>
          <w:p w14:paraId="78D510EA" w14:textId="77777777" w:rsidR="00E75B95" w:rsidRPr="00E75B95" w:rsidRDefault="00E75B95"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20,507</w:t>
            </w:r>
          </w:p>
        </w:tc>
      </w:tr>
      <w:tr w:rsidR="00E75B95" w:rsidRPr="00E75B95" w14:paraId="04DF0725" w14:textId="77777777" w:rsidTr="00F40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44B0B6" w14:textId="77777777" w:rsidR="00E75B95" w:rsidRPr="00E75B95" w:rsidRDefault="00E75B95" w:rsidP="00FA06E6">
            <w:pPr>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Corporation</w:t>
            </w:r>
          </w:p>
        </w:tc>
        <w:tc>
          <w:tcPr>
            <w:tcW w:w="0" w:type="auto"/>
            <w:hideMark/>
          </w:tcPr>
          <w:p w14:paraId="1B3C06E4"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762</w:t>
            </w:r>
          </w:p>
        </w:tc>
        <w:tc>
          <w:tcPr>
            <w:tcW w:w="0" w:type="auto"/>
            <w:hideMark/>
          </w:tcPr>
          <w:p w14:paraId="68E12B52"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30.36</w:t>
            </w:r>
          </w:p>
        </w:tc>
        <w:tc>
          <w:tcPr>
            <w:tcW w:w="0" w:type="auto"/>
            <w:hideMark/>
          </w:tcPr>
          <w:p w14:paraId="2147E878"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1,748</w:t>
            </w:r>
          </w:p>
        </w:tc>
        <w:tc>
          <w:tcPr>
            <w:tcW w:w="0" w:type="auto"/>
            <w:hideMark/>
          </w:tcPr>
          <w:p w14:paraId="5EAE0AD9"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69.64</w:t>
            </w:r>
          </w:p>
        </w:tc>
        <w:tc>
          <w:tcPr>
            <w:tcW w:w="0" w:type="auto"/>
            <w:hideMark/>
          </w:tcPr>
          <w:p w14:paraId="55E31D11"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2,510</w:t>
            </w:r>
          </w:p>
        </w:tc>
      </w:tr>
      <w:tr w:rsidR="00E75B95" w:rsidRPr="00E75B95" w14:paraId="22545D58" w14:textId="77777777" w:rsidTr="00F408EE">
        <w:tc>
          <w:tcPr>
            <w:cnfStyle w:val="001000000000" w:firstRow="0" w:lastRow="0" w:firstColumn="1" w:lastColumn="0" w:oddVBand="0" w:evenVBand="0" w:oddHBand="0" w:evenHBand="0" w:firstRowFirstColumn="0" w:firstRowLastColumn="0" w:lastRowFirstColumn="0" w:lastRowLastColumn="0"/>
            <w:tcW w:w="0" w:type="auto"/>
            <w:hideMark/>
          </w:tcPr>
          <w:p w14:paraId="7B21D47B" w14:textId="77777777" w:rsidR="00E75B95" w:rsidRPr="00E75B95" w:rsidRDefault="00E75B95" w:rsidP="00FA06E6">
            <w:pPr>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Trust</w:t>
            </w:r>
          </w:p>
        </w:tc>
        <w:tc>
          <w:tcPr>
            <w:tcW w:w="0" w:type="auto"/>
            <w:hideMark/>
          </w:tcPr>
          <w:p w14:paraId="5BE15BCE" w14:textId="77777777" w:rsidR="00E75B95" w:rsidRPr="00E75B95" w:rsidRDefault="00E75B95"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5,295</w:t>
            </w:r>
          </w:p>
        </w:tc>
        <w:tc>
          <w:tcPr>
            <w:tcW w:w="0" w:type="auto"/>
            <w:hideMark/>
          </w:tcPr>
          <w:p w14:paraId="6F8BE80B" w14:textId="77777777" w:rsidR="00E75B95" w:rsidRPr="00E75B95" w:rsidRDefault="00E75B95"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82.54</w:t>
            </w:r>
          </w:p>
        </w:tc>
        <w:tc>
          <w:tcPr>
            <w:tcW w:w="0" w:type="auto"/>
            <w:hideMark/>
          </w:tcPr>
          <w:p w14:paraId="6551D1A6" w14:textId="77777777" w:rsidR="00E75B95" w:rsidRPr="00E75B95" w:rsidRDefault="00E75B95"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1,120</w:t>
            </w:r>
          </w:p>
        </w:tc>
        <w:tc>
          <w:tcPr>
            <w:tcW w:w="0" w:type="auto"/>
            <w:hideMark/>
          </w:tcPr>
          <w:p w14:paraId="0EE4BD7A" w14:textId="77777777" w:rsidR="00E75B95" w:rsidRPr="00E75B95" w:rsidRDefault="00E75B95"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17.46</w:t>
            </w:r>
          </w:p>
        </w:tc>
        <w:tc>
          <w:tcPr>
            <w:tcW w:w="0" w:type="auto"/>
            <w:hideMark/>
          </w:tcPr>
          <w:p w14:paraId="7845A192" w14:textId="77777777" w:rsidR="00E75B95" w:rsidRPr="00E75B95" w:rsidRDefault="00E75B95"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6,415</w:t>
            </w:r>
          </w:p>
        </w:tc>
      </w:tr>
      <w:tr w:rsidR="00E75B95" w:rsidRPr="00E75B95" w14:paraId="3A95FFC6" w14:textId="77777777" w:rsidTr="00F40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8DC3D3" w14:textId="77777777" w:rsidR="00E75B95" w:rsidRPr="00E75B95" w:rsidRDefault="00E75B95" w:rsidP="00FA06E6">
            <w:pPr>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Gov/Nonprofit</w:t>
            </w:r>
          </w:p>
        </w:tc>
        <w:tc>
          <w:tcPr>
            <w:tcW w:w="0" w:type="auto"/>
            <w:hideMark/>
          </w:tcPr>
          <w:p w14:paraId="6E9E3ABC"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803</w:t>
            </w:r>
          </w:p>
        </w:tc>
        <w:tc>
          <w:tcPr>
            <w:tcW w:w="0" w:type="auto"/>
            <w:hideMark/>
          </w:tcPr>
          <w:p w14:paraId="47402A45"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30.43</w:t>
            </w:r>
          </w:p>
        </w:tc>
        <w:tc>
          <w:tcPr>
            <w:tcW w:w="0" w:type="auto"/>
            <w:hideMark/>
          </w:tcPr>
          <w:p w14:paraId="03A2692B"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1,836</w:t>
            </w:r>
          </w:p>
        </w:tc>
        <w:tc>
          <w:tcPr>
            <w:tcW w:w="0" w:type="auto"/>
            <w:hideMark/>
          </w:tcPr>
          <w:p w14:paraId="08A950C5"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69.57</w:t>
            </w:r>
          </w:p>
        </w:tc>
        <w:tc>
          <w:tcPr>
            <w:tcW w:w="0" w:type="auto"/>
            <w:hideMark/>
          </w:tcPr>
          <w:p w14:paraId="628C473E"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2,639</w:t>
            </w:r>
          </w:p>
        </w:tc>
      </w:tr>
      <w:tr w:rsidR="00E75B95" w:rsidRPr="00E75B95" w14:paraId="37037132" w14:textId="77777777" w:rsidTr="00F408EE">
        <w:tc>
          <w:tcPr>
            <w:cnfStyle w:val="001000000000" w:firstRow="0" w:lastRow="0" w:firstColumn="1" w:lastColumn="0" w:oddVBand="0" w:evenVBand="0" w:oddHBand="0" w:evenHBand="0" w:firstRowFirstColumn="0" w:firstRowLastColumn="0" w:lastRowFirstColumn="0" w:lastRowLastColumn="0"/>
            <w:tcW w:w="0" w:type="auto"/>
            <w:hideMark/>
          </w:tcPr>
          <w:p w14:paraId="27821823" w14:textId="77777777" w:rsidR="00E75B95" w:rsidRPr="00E75B95" w:rsidRDefault="00E75B95" w:rsidP="00FA06E6">
            <w:pPr>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Total</w:t>
            </w:r>
          </w:p>
        </w:tc>
        <w:tc>
          <w:tcPr>
            <w:tcW w:w="0" w:type="auto"/>
            <w:hideMark/>
          </w:tcPr>
          <w:p w14:paraId="44E4BBF3" w14:textId="77777777" w:rsidR="00E75B95" w:rsidRPr="00E75B95" w:rsidRDefault="00E75B95"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143,021</w:t>
            </w:r>
          </w:p>
        </w:tc>
        <w:tc>
          <w:tcPr>
            <w:tcW w:w="0" w:type="auto"/>
            <w:hideMark/>
          </w:tcPr>
          <w:p w14:paraId="160B2CD3" w14:textId="77777777" w:rsidR="00E75B95" w:rsidRPr="00E75B95" w:rsidRDefault="00E75B95"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77.59</w:t>
            </w:r>
          </w:p>
        </w:tc>
        <w:tc>
          <w:tcPr>
            <w:tcW w:w="0" w:type="auto"/>
            <w:hideMark/>
          </w:tcPr>
          <w:p w14:paraId="45C3626F" w14:textId="77777777" w:rsidR="00E75B95" w:rsidRPr="00E75B95" w:rsidRDefault="00E75B95"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41,312</w:t>
            </w:r>
          </w:p>
        </w:tc>
        <w:tc>
          <w:tcPr>
            <w:tcW w:w="0" w:type="auto"/>
            <w:hideMark/>
          </w:tcPr>
          <w:p w14:paraId="73A4169C" w14:textId="77777777" w:rsidR="00E75B95" w:rsidRPr="00E75B95" w:rsidRDefault="00E75B95"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22.41</w:t>
            </w:r>
          </w:p>
        </w:tc>
        <w:tc>
          <w:tcPr>
            <w:tcW w:w="0" w:type="auto"/>
            <w:hideMark/>
          </w:tcPr>
          <w:p w14:paraId="79045A27" w14:textId="77777777" w:rsidR="00E75B95" w:rsidRPr="00E75B95" w:rsidRDefault="00E75B95"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184,333</w:t>
            </w:r>
          </w:p>
        </w:tc>
      </w:tr>
    </w:tbl>
    <w:p w14:paraId="709E8B8E" w14:textId="77777777" w:rsidR="00FA06E6" w:rsidRDefault="00FA06E6" w:rsidP="00FA06E6">
      <w:pPr>
        <w:spacing w:after="100" w:afterAutospacing="1" w:line="240" w:lineRule="auto"/>
        <w:rPr>
          <w:rFonts w:ascii="Times New Roman" w:eastAsia="Times New Roman" w:hAnsi="Times New Roman" w:cs="Times New Roman"/>
          <w:color w:val="000000"/>
          <w:kern w:val="0"/>
          <w14:ligatures w14:val="none"/>
        </w:rPr>
      </w:pPr>
    </w:p>
    <w:p w14:paraId="1A1A5BB7" w14:textId="1DB62B0E" w:rsidR="00E75B95" w:rsidRPr="00E75B95" w:rsidRDefault="00E75B95" w:rsidP="00FA06E6">
      <w:pPr>
        <w:spacing w:after="100" w:afterAutospacing="1" w:line="240" w:lineRule="auto"/>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Table 3. Ownership classifier configuration and training</w:t>
      </w:r>
      <w:r w:rsidRPr="00E75B95">
        <w:rPr>
          <w:rFonts w:ascii="Times New Roman" w:eastAsia="Times New Roman" w:hAnsi="Times New Roman" w:cs="Times New Roman"/>
          <w:color w:val="000000"/>
          <w:kern w:val="0"/>
          <w14:ligatures w14:val="none"/>
        </w:rPr>
        <w:br/>
      </w:r>
    </w:p>
    <w:tbl>
      <w:tblPr>
        <w:tblStyle w:val="PlainTable4"/>
        <w:tblW w:w="0" w:type="auto"/>
        <w:tblLook w:val="04A0" w:firstRow="1" w:lastRow="0" w:firstColumn="1" w:lastColumn="0" w:noHBand="0" w:noVBand="1"/>
      </w:tblPr>
      <w:tblGrid>
        <w:gridCol w:w="2135"/>
        <w:gridCol w:w="4842"/>
      </w:tblGrid>
      <w:tr w:rsidR="00E75B95" w:rsidRPr="00E75B95" w14:paraId="2A76237B" w14:textId="77777777" w:rsidTr="00F408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3D3913" w14:textId="77777777" w:rsidR="00E75B95" w:rsidRPr="00F408EE" w:rsidRDefault="00E75B95" w:rsidP="00FA06E6">
            <w:pPr>
              <w:rPr>
                <w:rFonts w:ascii="Times New Roman" w:eastAsia="Times New Roman" w:hAnsi="Times New Roman" w:cs="Times New Roman"/>
                <w:color w:val="000000"/>
                <w:kern w:val="0"/>
                <w14:ligatures w14:val="none"/>
              </w:rPr>
            </w:pPr>
            <w:r w:rsidRPr="00F408EE">
              <w:rPr>
                <w:rFonts w:ascii="Times New Roman" w:eastAsia="Times New Roman" w:hAnsi="Times New Roman" w:cs="Times New Roman"/>
                <w:color w:val="000000"/>
                <w:kern w:val="0"/>
                <w14:ligatures w14:val="none"/>
              </w:rPr>
              <w:t>Component</w:t>
            </w:r>
          </w:p>
        </w:tc>
        <w:tc>
          <w:tcPr>
            <w:tcW w:w="0" w:type="auto"/>
            <w:hideMark/>
          </w:tcPr>
          <w:p w14:paraId="47C34D37" w14:textId="77777777" w:rsidR="00E75B95" w:rsidRPr="00F408EE" w:rsidRDefault="00E75B95" w:rsidP="00FA06E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F408EE">
              <w:rPr>
                <w:rFonts w:ascii="Times New Roman" w:eastAsia="Times New Roman" w:hAnsi="Times New Roman" w:cs="Times New Roman"/>
                <w:color w:val="000000"/>
                <w:kern w:val="0"/>
                <w14:ligatures w14:val="none"/>
              </w:rPr>
              <w:t>Setting</w:t>
            </w:r>
          </w:p>
        </w:tc>
      </w:tr>
      <w:tr w:rsidR="00E75B95" w:rsidRPr="00E75B95" w14:paraId="06BF0D34" w14:textId="77777777" w:rsidTr="00F40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3BE826" w14:textId="77777777" w:rsidR="00E75B95" w:rsidRPr="00F408EE" w:rsidRDefault="00E75B95" w:rsidP="00FA06E6">
            <w:pPr>
              <w:rPr>
                <w:rFonts w:ascii="Times New Roman" w:eastAsia="Times New Roman" w:hAnsi="Times New Roman" w:cs="Times New Roman"/>
                <w:b w:val="0"/>
                <w:bCs w:val="0"/>
                <w:color w:val="000000"/>
                <w:kern w:val="0"/>
                <w14:ligatures w14:val="none"/>
              </w:rPr>
            </w:pPr>
            <w:r w:rsidRPr="00F408EE">
              <w:rPr>
                <w:rFonts w:ascii="Times New Roman" w:eastAsia="Times New Roman" w:hAnsi="Times New Roman" w:cs="Times New Roman"/>
                <w:b w:val="0"/>
                <w:bCs w:val="0"/>
                <w:color w:val="000000"/>
                <w:kern w:val="0"/>
                <w14:ligatures w14:val="none"/>
              </w:rPr>
              <w:t>Base model</w:t>
            </w:r>
          </w:p>
        </w:tc>
        <w:tc>
          <w:tcPr>
            <w:tcW w:w="0" w:type="auto"/>
            <w:hideMark/>
          </w:tcPr>
          <w:p w14:paraId="4245B1B4" w14:textId="43CED615" w:rsidR="00E75B95" w:rsidRPr="00E75B95" w:rsidRDefault="00E75B95" w:rsidP="00FA06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BERT</w:t>
            </w:r>
            <w:r w:rsidRPr="00E75B95">
              <w:rPr>
                <w:rFonts w:ascii="Times New Roman" w:eastAsia="Times New Roman" w:hAnsi="Times New Roman" w:cs="Times New Roman"/>
                <w:color w:val="000000"/>
                <w:kern w:val="0"/>
                <w14:ligatures w14:val="none"/>
              </w:rPr>
              <w:noBreakHyphen/>
              <w:t>base</w:t>
            </w:r>
            <w:r w:rsidRPr="00E75B95">
              <w:rPr>
                <w:rFonts w:ascii="Times New Roman" w:eastAsia="Times New Roman" w:hAnsi="Times New Roman" w:cs="Times New Roman"/>
                <w:color w:val="000000"/>
                <w:kern w:val="0"/>
                <w14:ligatures w14:val="none"/>
              </w:rPr>
              <w:noBreakHyphen/>
              <w:t>uncased with 5</w:t>
            </w:r>
            <w:r w:rsidRPr="00E75B95">
              <w:rPr>
                <w:rFonts w:ascii="Times New Roman" w:eastAsia="Times New Roman" w:hAnsi="Times New Roman" w:cs="Times New Roman"/>
                <w:color w:val="000000"/>
                <w:kern w:val="0"/>
                <w14:ligatures w14:val="none"/>
              </w:rPr>
              <w:noBreakHyphen/>
              <w:t xml:space="preserve">way </w:t>
            </w:r>
            <w:proofErr w:type="spellStart"/>
            <w:r w:rsidRPr="00E75B95">
              <w:rPr>
                <w:rFonts w:ascii="Times New Roman" w:eastAsia="Times New Roman" w:hAnsi="Times New Roman" w:cs="Times New Roman"/>
                <w:color w:val="000000"/>
                <w:kern w:val="0"/>
                <w14:ligatures w14:val="none"/>
              </w:rPr>
              <w:t>Soft</w:t>
            </w:r>
            <w:r w:rsidR="007F2978">
              <w:rPr>
                <w:rFonts w:ascii="Times New Roman" w:eastAsia="Times New Roman" w:hAnsi="Times New Roman" w:cs="Times New Roman"/>
                <w:color w:val="000000"/>
                <w:kern w:val="0"/>
                <w14:ligatures w14:val="none"/>
              </w:rPr>
              <w:t>m</w:t>
            </w:r>
            <w:r w:rsidRPr="00E75B95">
              <w:rPr>
                <w:rFonts w:ascii="Times New Roman" w:eastAsia="Times New Roman" w:hAnsi="Times New Roman" w:cs="Times New Roman"/>
                <w:color w:val="000000"/>
                <w:kern w:val="0"/>
                <w14:ligatures w14:val="none"/>
              </w:rPr>
              <w:t>ax</w:t>
            </w:r>
            <w:proofErr w:type="spellEnd"/>
            <w:r w:rsidRPr="00E75B95">
              <w:rPr>
                <w:rFonts w:ascii="Times New Roman" w:eastAsia="Times New Roman" w:hAnsi="Times New Roman" w:cs="Times New Roman"/>
                <w:color w:val="000000"/>
                <w:kern w:val="0"/>
                <w14:ligatures w14:val="none"/>
              </w:rPr>
              <w:t xml:space="preserve"> head</w:t>
            </w:r>
          </w:p>
        </w:tc>
      </w:tr>
      <w:tr w:rsidR="00E75B95" w:rsidRPr="00E75B95" w14:paraId="58006140" w14:textId="77777777" w:rsidTr="00F408EE">
        <w:tc>
          <w:tcPr>
            <w:cnfStyle w:val="001000000000" w:firstRow="0" w:lastRow="0" w:firstColumn="1" w:lastColumn="0" w:oddVBand="0" w:evenVBand="0" w:oddHBand="0" w:evenHBand="0" w:firstRowFirstColumn="0" w:firstRowLastColumn="0" w:lastRowFirstColumn="0" w:lastRowLastColumn="0"/>
            <w:tcW w:w="0" w:type="auto"/>
            <w:hideMark/>
          </w:tcPr>
          <w:p w14:paraId="6A6A29F4" w14:textId="77777777" w:rsidR="00E75B95" w:rsidRPr="00F408EE" w:rsidRDefault="00E75B95" w:rsidP="00FA06E6">
            <w:pPr>
              <w:rPr>
                <w:rFonts w:ascii="Times New Roman" w:eastAsia="Times New Roman" w:hAnsi="Times New Roman" w:cs="Times New Roman"/>
                <w:b w:val="0"/>
                <w:bCs w:val="0"/>
                <w:color w:val="000000"/>
                <w:kern w:val="0"/>
                <w14:ligatures w14:val="none"/>
              </w:rPr>
            </w:pPr>
            <w:r w:rsidRPr="00F408EE">
              <w:rPr>
                <w:rFonts w:ascii="Times New Roman" w:eastAsia="Times New Roman" w:hAnsi="Times New Roman" w:cs="Times New Roman"/>
                <w:b w:val="0"/>
                <w:bCs w:val="0"/>
                <w:color w:val="000000"/>
                <w:kern w:val="0"/>
                <w14:ligatures w14:val="none"/>
              </w:rPr>
              <w:t>Labels emitted</w:t>
            </w:r>
          </w:p>
        </w:tc>
        <w:tc>
          <w:tcPr>
            <w:tcW w:w="0" w:type="auto"/>
            <w:hideMark/>
          </w:tcPr>
          <w:p w14:paraId="05D859F9" w14:textId="77777777" w:rsidR="00E75B95" w:rsidRPr="00E75B95" w:rsidRDefault="00E75B95" w:rsidP="00FA06E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Individual; LLC; Corporation; Trust; Gov/Nonprofit</w:t>
            </w:r>
          </w:p>
        </w:tc>
      </w:tr>
      <w:tr w:rsidR="00E75B95" w:rsidRPr="00E75B95" w14:paraId="42BD76C6" w14:textId="77777777" w:rsidTr="00F40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9FAC25" w14:textId="77777777" w:rsidR="00E75B95" w:rsidRPr="00F408EE" w:rsidRDefault="00E75B95" w:rsidP="00FA06E6">
            <w:pPr>
              <w:rPr>
                <w:rFonts w:ascii="Times New Roman" w:eastAsia="Times New Roman" w:hAnsi="Times New Roman" w:cs="Times New Roman"/>
                <w:b w:val="0"/>
                <w:bCs w:val="0"/>
                <w:color w:val="000000"/>
                <w:kern w:val="0"/>
                <w14:ligatures w14:val="none"/>
              </w:rPr>
            </w:pPr>
            <w:r w:rsidRPr="00F408EE">
              <w:rPr>
                <w:rFonts w:ascii="Times New Roman" w:eastAsia="Times New Roman" w:hAnsi="Times New Roman" w:cs="Times New Roman"/>
                <w:b w:val="0"/>
                <w:bCs w:val="0"/>
                <w:color w:val="000000"/>
                <w:kern w:val="0"/>
                <w14:ligatures w14:val="none"/>
              </w:rPr>
              <w:t>Training data</w:t>
            </w:r>
          </w:p>
        </w:tc>
        <w:tc>
          <w:tcPr>
            <w:tcW w:w="0" w:type="auto"/>
            <w:hideMark/>
          </w:tcPr>
          <w:p w14:paraId="059BBD65" w14:textId="77777777" w:rsidR="00E75B95" w:rsidRPr="00E75B95" w:rsidRDefault="00E75B95" w:rsidP="00FA06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2,520 hand</w:t>
            </w:r>
            <w:r w:rsidRPr="00E75B95">
              <w:rPr>
                <w:rFonts w:ascii="Times New Roman" w:eastAsia="Times New Roman" w:hAnsi="Times New Roman" w:cs="Times New Roman"/>
                <w:color w:val="000000"/>
                <w:kern w:val="0"/>
                <w14:ligatures w14:val="none"/>
              </w:rPr>
              <w:noBreakHyphen/>
              <w:t>labeled names (augmented to 5,040)</w:t>
            </w:r>
          </w:p>
        </w:tc>
      </w:tr>
      <w:tr w:rsidR="00E75B95" w:rsidRPr="00E75B95" w14:paraId="124838CF" w14:textId="77777777" w:rsidTr="00F408EE">
        <w:tc>
          <w:tcPr>
            <w:cnfStyle w:val="001000000000" w:firstRow="0" w:lastRow="0" w:firstColumn="1" w:lastColumn="0" w:oddVBand="0" w:evenVBand="0" w:oddHBand="0" w:evenHBand="0" w:firstRowFirstColumn="0" w:firstRowLastColumn="0" w:lastRowFirstColumn="0" w:lastRowLastColumn="0"/>
            <w:tcW w:w="0" w:type="auto"/>
            <w:hideMark/>
          </w:tcPr>
          <w:p w14:paraId="798274C6" w14:textId="77777777" w:rsidR="00E75B95" w:rsidRPr="00F408EE" w:rsidRDefault="00E75B95" w:rsidP="00FA06E6">
            <w:pPr>
              <w:rPr>
                <w:rFonts w:ascii="Times New Roman" w:eastAsia="Times New Roman" w:hAnsi="Times New Roman" w:cs="Times New Roman"/>
                <w:b w:val="0"/>
                <w:bCs w:val="0"/>
                <w:color w:val="000000"/>
                <w:kern w:val="0"/>
                <w14:ligatures w14:val="none"/>
              </w:rPr>
            </w:pPr>
            <w:r w:rsidRPr="00F408EE">
              <w:rPr>
                <w:rFonts w:ascii="Times New Roman" w:eastAsia="Times New Roman" w:hAnsi="Times New Roman" w:cs="Times New Roman"/>
                <w:b w:val="0"/>
                <w:bCs w:val="0"/>
                <w:color w:val="000000"/>
                <w:kern w:val="0"/>
                <w14:ligatures w14:val="none"/>
              </w:rPr>
              <w:t>Loss &amp; regularization</w:t>
            </w:r>
          </w:p>
        </w:tc>
        <w:tc>
          <w:tcPr>
            <w:tcW w:w="0" w:type="auto"/>
            <w:hideMark/>
          </w:tcPr>
          <w:p w14:paraId="1CC6D0E2" w14:textId="77777777" w:rsidR="00E75B95" w:rsidRPr="00E75B95" w:rsidRDefault="00E75B95" w:rsidP="00FA06E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Focal loss; classification</w:t>
            </w:r>
            <w:r w:rsidRPr="00E75B95">
              <w:rPr>
                <w:rFonts w:ascii="Times New Roman" w:eastAsia="Times New Roman" w:hAnsi="Times New Roman" w:cs="Times New Roman"/>
                <w:color w:val="000000"/>
                <w:kern w:val="0"/>
                <w14:ligatures w14:val="none"/>
              </w:rPr>
              <w:noBreakHyphen/>
              <w:t>head dropout = 0.20</w:t>
            </w:r>
          </w:p>
        </w:tc>
      </w:tr>
      <w:tr w:rsidR="00E75B95" w:rsidRPr="00E75B95" w14:paraId="2736A26D" w14:textId="77777777" w:rsidTr="00F40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81458" w14:textId="77777777" w:rsidR="00E75B95" w:rsidRPr="00F408EE" w:rsidRDefault="00E75B95" w:rsidP="00FA06E6">
            <w:pPr>
              <w:rPr>
                <w:rFonts w:ascii="Times New Roman" w:eastAsia="Times New Roman" w:hAnsi="Times New Roman" w:cs="Times New Roman"/>
                <w:b w:val="0"/>
                <w:bCs w:val="0"/>
                <w:color w:val="000000"/>
                <w:kern w:val="0"/>
                <w14:ligatures w14:val="none"/>
              </w:rPr>
            </w:pPr>
            <w:r w:rsidRPr="00F408EE">
              <w:rPr>
                <w:rFonts w:ascii="Times New Roman" w:eastAsia="Times New Roman" w:hAnsi="Times New Roman" w:cs="Times New Roman"/>
                <w:b w:val="0"/>
                <w:bCs w:val="0"/>
                <w:color w:val="000000"/>
                <w:kern w:val="0"/>
                <w14:ligatures w14:val="none"/>
              </w:rPr>
              <w:t>Model selection</w:t>
            </w:r>
          </w:p>
        </w:tc>
        <w:tc>
          <w:tcPr>
            <w:tcW w:w="0" w:type="auto"/>
            <w:hideMark/>
          </w:tcPr>
          <w:p w14:paraId="6BF1682E" w14:textId="77777777" w:rsidR="00E75B95" w:rsidRPr="00E75B95" w:rsidRDefault="00E75B95" w:rsidP="00FA06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3</w:t>
            </w:r>
            <w:r w:rsidRPr="00E75B95">
              <w:rPr>
                <w:rFonts w:ascii="Times New Roman" w:eastAsia="Times New Roman" w:hAnsi="Times New Roman" w:cs="Times New Roman"/>
                <w:color w:val="000000"/>
                <w:kern w:val="0"/>
                <w14:ligatures w14:val="none"/>
              </w:rPr>
              <w:noBreakHyphen/>
              <w:t>fold CV; early stopping on validation weighted F1</w:t>
            </w:r>
          </w:p>
        </w:tc>
      </w:tr>
      <w:tr w:rsidR="00E75B95" w:rsidRPr="00E75B95" w14:paraId="6EBDF9AC" w14:textId="77777777" w:rsidTr="00F408EE">
        <w:tc>
          <w:tcPr>
            <w:cnfStyle w:val="001000000000" w:firstRow="0" w:lastRow="0" w:firstColumn="1" w:lastColumn="0" w:oddVBand="0" w:evenVBand="0" w:oddHBand="0" w:evenHBand="0" w:firstRowFirstColumn="0" w:firstRowLastColumn="0" w:lastRowFirstColumn="0" w:lastRowLastColumn="0"/>
            <w:tcW w:w="0" w:type="auto"/>
            <w:hideMark/>
          </w:tcPr>
          <w:p w14:paraId="7601F0DB" w14:textId="77777777" w:rsidR="00E75B95" w:rsidRPr="00F408EE" w:rsidRDefault="00E75B95" w:rsidP="00FA06E6">
            <w:pPr>
              <w:rPr>
                <w:rFonts w:ascii="Times New Roman" w:eastAsia="Times New Roman" w:hAnsi="Times New Roman" w:cs="Times New Roman"/>
                <w:b w:val="0"/>
                <w:bCs w:val="0"/>
                <w:color w:val="000000"/>
                <w:kern w:val="0"/>
                <w14:ligatures w14:val="none"/>
              </w:rPr>
            </w:pPr>
            <w:r w:rsidRPr="00F408EE">
              <w:rPr>
                <w:rFonts w:ascii="Times New Roman" w:eastAsia="Times New Roman" w:hAnsi="Times New Roman" w:cs="Times New Roman"/>
                <w:b w:val="0"/>
                <w:bCs w:val="0"/>
                <w:color w:val="000000"/>
                <w:kern w:val="0"/>
                <w14:ligatures w14:val="none"/>
              </w:rPr>
              <w:t>Reliability checks</w:t>
            </w:r>
          </w:p>
        </w:tc>
        <w:tc>
          <w:tcPr>
            <w:tcW w:w="0" w:type="auto"/>
            <w:hideMark/>
          </w:tcPr>
          <w:p w14:paraId="438209C7" w14:textId="77777777" w:rsidR="00E75B95" w:rsidRPr="00E75B95" w:rsidRDefault="00E75B95" w:rsidP="00FA06E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Probability calibration; stratified human audit</w:t>
            </w:r>
          </w:p>
        </w:tc>
      </w:tr>
      <w:tr w:rsidR="00E75B95" w:rsidRPr="00E75B95" w14:paraId="33473861" w14:textId="77777777" w:rsidTr="00F40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202849" w14:textId="77777777" w:rsidR="00E75B95" w:rsidRPr="00F408EE" w:rsidRDefault="00E75B95" w:rsidP="00FA06E6">
            <w:pPr>
              <w:rPr>
                <w:rFonts w:ascii="Times New Roman" w:eastAsia="Times New Roman" w:hAnsi="Times New Roman" w:cs="Times New Roman"/>
                <w:b w:val="0"/>
                <w:bCs w:val="0"/>
                <w:color w:val="000000"/>
                <w:kern w:val="0"/>
                <w14:ligatures w14:val="none"/>
              </w:rPr>
            </w:pPr>
            <w:r w:rsidRPr="00F408EE">
              <w:rPr>
                <w:rFonts w:ascii="Times New Roman" w:eastAsia="Times New Roman" w:hAnsi="Times New Roman" w:cs="Times New Roman"/>
                <w:b w:val="0"/>
                <w:bCs w:val="0"/>
                <w:color w:val="000000"/>
                <w:kern w:val="0"/>
                <w14:ligatures w14:val="none"/>
              </w:rPr>
              <w:t>High</w:t>
            </w:r>
            <w:r w:rsidRPr="00F408EE">
              <w:rPr>
                <w:rFonts w:ascii="Times New Roman" w:eastAsia="Times New Roman" w:hAnsi="Times New Roman" w:cs="Times New Roman"/>
                <w:b w:val="0"/>
                <w:bCs w:val="0"/>
                <w:color w:val="000000"/>
                <w:kern w:val="0"/>
                <w14:ligatures w14:val="none"/>
              </w:rPr>
              <w:noBreakHyphen/>
              <w:t>confidence rule</w:t>
            </w:r>
          </w:p>
        </w:tc>
        <w:tc>
          <w:tcPr>
            <w:tcW w:w="0" w:type="auto"/>
            <w:hideMark/>
          </w:tcPr>
          <w:p w14:paraId="31B6221B" w14:textId="7C744D09" w:rsidR="00E75B95" w:rsidRPr="00E75B95" w:rsidRDefault="00E75B95" w:rsidP="00FA06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p̂</w:t>
            </w:r>
            <w:r w:rsidR="008F0B6C">
              <w:rPr>
                <w:rFonts w:ascii="Times New Roman" w:eastAsia="Times New Roman" w:hAnsi="Times New Roman" w:cs="Times New Roman"/>
                <w:color w:val="000000"/>
                <w:kern w:val="0"/>
                <w14:ligatures w14:val="none"/>
              </w:rPr>
              <w:t xml:space="preserve"> </w:t>
            </w:r>
            <w:r w:rsidRPr="00E75B95">
              <w:rPr>
                <w:rFonts w:ascii="Times New Roman" w:eastAsia="Times New Roman" w:hAnsi="Times New Roman" w:cs="Times New Roman"/>
                <w:color w:val="000000"/>
                <w:kern w:val="0"/>
                <w14:ligatures w14:val="none"/>
              </w:rPr>
              <w:t>max ≥ 0.80 used for robustness subset</w:t>
            </w:r>
          </w:p>
        </w:tc>
      </w:tr>
      <w:tr w:rsidR="00E75B95" w:rsidRPr="00E75B95" w14:paraId="7E32C62C" w14:textId="77777777" w:rsidTr="00F408EE">
        <w:tc>
          <w:tcPr>
            <w:cnfStyle w:val="001000000000" w:firstRow="0" w:lastRow="0" w:firstColumn="1" w:lastColumn="0" w:oddVBand="0" w:evenVBand="0" w:oddHBand="0" w:evenHBand="0" w:firstRowFirstColumn="0" w:firstRowLastColumn="0" w:lastRowFirstColumn="0" w:lastRowLastColumn="0"/>
            <w:tcW w:w="0" w:type="auto"/>
            <w:hideMark/>
          </w:tcPr>
          <w:p w14:paraId="4E4AC185" w14:textId="77777777" w:rsidR="00E75B95" w:rsidRPr="00F408EE" w:rsidRDefault="00E75B95" w:rsidP="00FA06E6">
            <w:pPr>
              <w:rPr>
                <w:rFonts w:ascii="Times New Roman" w:eastAsia="Times New Roman" w:hAnsi="Times New Roman" w:cs="Times New Roman"/>
                <w:b w:val="0"/>
                <w:bCs w:val="0"/>
                <w:color w:val="000000"/>
                <w:kern w:val="0"/>
                <w14:ligatures w14:val="none"/>
              </w:rPr>
            </w:pPr>
            <w:r w:rsidRPr="00F408EE">
              <w:rPr>
                <w:rFonts w:ascii="Times New Roman" w:eastAsia="Times New Roman" w:hAnsi="Times New Roman" w:cs="Times New Roman"/>
                <w:b w:val="0"/>
                <w:bCs w:val="0"/>
                <w:color w:val="000000"/>
                <w:kern w:val="0"/>
                <w14:ligatures w14:val="none"/>
              </w:rPr>
              <w:t>Deployment scope</w:t>
            </w:r>
          </w:p>
        </w:tc>
        <w:tc>
          <w:tcPr>
            <w:tcW w:w="0" w:type="auto"/>
            <w:hideMark/>
          </w:tcPr>
          <w:p w14:paraId="24EEF4D1" w14:textId="77777777" w:rsidR="00E75B95" w:rsidRPr="00E75B95" w:rsidRDefault="00E75B95" w:rsidP="00FA06E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212,310 owner records countywide</w:t>
            </w:r>
          </w:p>
        </w:tc>
      </w:tr>
    </w:tbl>
    <w:p w14:paraId="1560C4CA" w14:textId="77777777" w:rsidR="001656DD" w:rsidRDefault="001656DD" w:rsidP="00FA06E6">
      <w:pPr>
        <w:spacing w:after="100" w:afterAutospacing="1" w:line="240" w:lineRule="auto"/>
        <w:rPr>
          <w:rFonts w:ascii="Times New Roman" w:eastAsia="Times New Roman" w:hAnsi="Times New Roman" w:cs="Times New Roman"/>
          <w:color w:val="000000"/>
          <w:kern w:val="0"/>
          <w14:ligatures w14:val="none"/>
        </w:rPr>
      </w:pPr>
    </w:p>
    <w:p w14:paraId="7CE9746D" w14:textId="354E3C01" w:rsidR="00E75B95" w:rsidRPr="00E75B95" w:rsidRDefault="00E75B95" w:rsidP="00FA06E6">
      <w:pPr>
        <w:spacing w:after="100" w:afterAutospacing="1" w:line="240" w:lineRule="auto"/>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Table 4. Production classification coverage and high</w:t>
      </w:r>
      <w:r w:rsidRPr="00E75B95">
        <w:rPr>
          <w:rFonts w:ascii="Times New Roman" w:eastAsia="Times New Roman" w:hAnsi="Times New Roman" w:cs="Times New Roman"/>
          <w:color w:val="000000"/>
          <w:kern w:val="0"/>
          <w14:ligatures w14:val="none"/>
        </w:rPr>
        <w:noBreakHyphen/>
        <w:t>confidence shares (countywide)</w:t>
      </w:r>
    </w:p>
    <w:tbl>
      <w:tblPr>
        <w:tblStyle w:val="PlainTable4"/>
        <w:tblW w:w="0" w:type="auto"/>
        <w:tblLook w:val="04A0" w:firstRow="1" w:lastRow="0" w:firstColumn="1" w:lastColumn="0" w:noHBand="0" w:noVBand="1"/>
      </w:tblPr>
      <w:tblGrid>
        <w:gridCol w:w="1500"/>
        <w:gridCol w:w="931"/>
        <w:gridCol w:w="937"/>
        <w:gridCol w:w="2337"/>
        <w:gridCol w:w="2917"/>
      </w:tblGrid>
      <w:tr w:rsidR="00E75B95" w:rsidRPr="00E75B95" w14:paraId="270315B3" w14:textId="77777777" w:rsidTr="00F408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246FC3" w14:textId="77777777" w:rsidR="00E75B95" w:rsidRPr="00E75B95" w:rsidRDefault="00E75B95" w:rsidP="00FA06E6">
            <w:pPr>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Owner type</w:t>
            </w:r>
          </w:p>
        </w:tc>
        <w:tc>
          <w:tcPr>
            <w:tcW w:w="0" w:type="auto"/>
            <w:hideMark/>
          </w:tcPr>
          <w:p w14:paraId="47E0508D" w14:textId="77777777" w:rsidR="00E75B95" w:rsidRPr="00E75B95" w:rsidRDefault="00E75B95" w:rsidP="00FA06E6">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Count</w:t>
            </w:r>
          </w:p>
        </w:tc>
        <w:tc>
          <w:tcPr>
            <w:tcW w:w="0" w:type="auto"/>
            <w:hideMark/>
          </w:tcPr>
          <w:p w14:paraId="037EFA5B" w14:textId="77777777" w:rsidR="00E75B95" w:rsidRPr="00E75B95" w:rsidRDefault="00E75B95" w:rsidP="00FA06E6">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Percent</w:t>
            </w:r>
          </w:p>
        </w:tc>
        <w:tc>
          <w:tcPr>
            <w:tcW w:w="0" w:type="auto"/>
            <w:hideMark/>
          </w:tcPr>
          <w:p w14:paraId="39573353" w14:textId="77777777" w:rsidR="00E75B95" w:rsidRPr="00E75B95" w:rsidRDefault="00E75B95" w:rsidP="00FA06E6">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High</w:t>
            </w:r>
            <w:r w:rsidRPr="00E75B95">
              <w:rPr>
                <w:rFonts w:ascii="Times New Roman" w:eastAsia="Times New Roman" w:hAnsi="Times New Roman" w:cs="Times New Roman"/>
                <w:color w:val="000000"/>
                <w:kern w:val="0"/>
                <w14:ligatures w14:val="none"/>
              </w:rPr>
              <w:noBreakHyphen/>
              <w:t>confidence count</w:t>
            </w:r>
          </w:p>
        </w:tc>
        <w:tc>
          <w:tcPr>
            <w:tcW w:w="0" w:type="auto"/>
            <w:hideMark/>
          </w:tcPr>
          <w:p w14:paraId="6158CED1" w14:textId="77777777" w:rsidR="00E75B95" w:rsidRPr="00E75B95" w:rsidRDefault="00E75B95" w:rsidP="00FA06E6">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High</w:t>
            </w:r>
            <w:r w:rsidRPr="00E75B95">
              <w:rPr>
                <w:rFonts w:ascii="Times New Roman" w:eastAsia="Times New Roman" w:hAnsi="Times New Roman" w:cs="Times New Roman"/>
                <w:color w:val="000000"/>
                <w:kern w:val="0"/>
                <w14:ligatures w14:val="none"/>
              </w:rPr>
              <w:noBreakHyphen/>
              <w:t>confidence coverage %</w:t>
            </w:r>
          </w:p>
        </w:tc>
      </w:tr>
      <w:tr w:rsidR="00E75B95" w:rsidRPr="00E75B95" w14:paraId="6AF11D78" w14:textId="77777777" w:rsidTr="00F40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642B7A" w14:textId="77777777" w:rsidR="00E75B95" w:rsidRPr="00354AC0" w:rsidRDefault="00E75B95" w:rsidP="00FA06E6">
            <w:pPr>
              <w:rPr>
                <w:rFonts w:ascii="Times New Roman" w:eastAsia="Times New Roman" w:hAnsi="Times New Roman" w:cs="Times New Roman"/>
                <w:b w:val="0"/>
                <w:bCs w:val="0"/>
                <w:i/>
                <w:iCs/>
                <w:color w:val="000000"/>
                <w:kern w:val="0"/>
                <w14:ligatures w14:val="none"/>
              </w:rPr>
            </w:pPr>
            <w:r w:rsidRPr="00354AC0">
              <w:rPr>
                <w:rFonts w:ascii="Times New Roman" w:eastAsia="Times New Roman" w:hAnsi="Times New Roman" w:cs="Times New Roman"/>
                <w:b w:val="0"/>
                <w:bCs w:val="0"/>
                <w:i/>
                <w:iCs/>
                <w:color w:val="000000"/>
                <w:kern w:val="0"/>
                <w14:ligatures w14:val="none"/>
              </w:rPr>
              <w:t>Individual</w:t>
            </w:r>
          </w:p>
        </w:tc>
        <w:tc>
          <w:tcPr>
            <w:tcW w:w="0" w:type="auto"/>
            <w:hideMark/>
          </w:tcPr>
          <w:p w14:paraId="69E4AAAE"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162,079</w:t>
            </w:r>
          </w:p>
        </w:tc>
        <w:tc>
          <w:tcPr>
            <w:tcW w:w="0" w:type="auto"/>
            <w:hideMark/>
          </w:tcPr>
          <w:p w14:paraId="0474BA5E"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76.3</w:t>
            </w:r>
          </w:p>
        </w:tc>
        <w:tc>
          <w:tcPr>
            <w:tcW w:w="0" w:type="auto"/>
            <w:hideMark/>
          </w:tcPr>
          <w:p w14:paraId="0D1E63DF"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161,409</w:t>
            </w:r>
          </w:p>
        </w:tc>
        <w:tc>
          <w:tcPr>
            <w:tcW w:w="0" w:type="auto"/>
            <w:hideMark/>
          </w:tcPr>
          <w:p w14:paraId="61EA0C92"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99.6</w:t>
            </w:r>
          </w:p>
        </w:tc>
      </w:tr>
      <w:tr w:rsidR="00E75B95" w:rsidRPr="00E75B95" w14:paraId="7DFC21CF" w14:textId="77777777" w:rsidTr="00F408EE">
        <w:tc>
          <w:tcPr>
            <w:cnfStyle w:val="001000000000" w:firstRow="0" w:lastRow="0" w:firstColumn="1" w:lastColumn="0" w:oddVBand="0" w:evenVBand="0" w:oddHBand="0" w:evenHBand="0" w:firstRowFirstColumn="0" w:firstRowLastColumn="0" w:lastRowFirstColumn="0" w:lastRowLastColumn="0"/>
            <w:tcW w:w="0" w:type="auto"/>
            <w:hideMark/>
          </w:tcPr>
          <w:p w14:paraId="3F047C08" w14:textId="77777777" w:rsidR="00E75B95" w:rsidRPr="00354AC0" w:rsidRDefault="00E75B95" w:rsidP="00FA06E6">
            <w:pPr>
              <w:rPr>
                <w:rFonts w:ascii="Times New Roman" w:eastAsia="Times New Roman" w:hAnsi="Times New Roman" w:cs="Times New Roman"/>
                <w:b w:val="0"/>
                <w:bCs w:val="0"/>
                <w:i/>
                <w:iCs/>
                <w:color w:val="000000"/>
                <w:kern w:val="0"/>
                <w14:ligatures w14:val="none"/>
              </w:rPr>
            </w:pPr>
            <w:r w:rsidRPr="00354AC0">
              <w:rPr>
                <w:rFonts w:ascii="Times New Roman" w:eastAsia="Times New Roman" w:hAnsi="Times New Roman" w:cs="Times New Roman"/>
                <w:b w:val="0"/>
                <w:bCs w:val="0"/>
                <w:i/>
                <w:iCs/>
                <w:color w:val="000000"/>
                <w:kern w:val="0"/>
                <w14:ligatures w14:val="none"/>
              </w:rPr>
              <w:t>LLC</w:t>
            </w:r>
          </w:p>
        </w:tc>
        <w:tc>
          <w:tcPr>
            <w:tcW w:w="0" w:type="auto"/>
            <w:hideMark/>
          </w:tcPr>
          <w:p w14:paraId="2A1706EA" w14:textId="77777777" w:rsidR="00E75B95" w:rsidRPr="00E75B95" w:rsidRDefault="00E75B95"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29,161</w:t>
            </w:r>
          </w:p>
        </w:tc>
        <w:tc>
          <w:tcPr>
            <w:tcW w:w="0" w:type="auto"/>
            <w:hideMark/>
          </w:tcPr>
          <w:p w14:paraId="507107D6" w14:textId="77777777" w:rsidR="00E75B95" w:rsidRPr="00E75B95" w:rsidRDefault="00E75B95"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13.7</w:t>
            </w:r>
          </w:p>
        </w:tc>
        <w:tc>
          <w:tcPr>
            <w:tcW w:w="0" w:type="auto"/>
            <w:hideMark/>
          </w:tcPr>
          <w:p w14:paraId="1B468BDD" w14:textId="77777777" w:rsidR="00E75B95" w:rsidRPr="00E75B95" w:rsidRDefault="00E75B95"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27,722</w:t>
            </w:r>
          </w:p>
        </w:tc>
        <w:tc>
          <w:tcPr>
            <w:tcW w:w="0" w:type="auto"/>
            <w:hideMark/>
          </w:tcPr>
          <w:p w14:paraId="7C705F12" w14:textId="77777777" w:rsidR="00E75B95" w:rsidRPr="00E75B95" w:rsidRDefault="00E75B95"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95.1</w:t>
            </w:r>
          </w:p>
        </w:tc>
      </w:tr>
      <w:tr w:rsidR="00E75B95" w:rsidRPr="00E75B95" w14:paraId="244C18FE" w14:textId="77777777" w:rsidTr="00F40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A9EE2C" w14:textId="77777777" w:rsidR="00E75B95" w:rsidRPr="00354AC0" w:rsidRDefault="00E75B95" w:rsidP="00FA06E6">
            <w:pPr>
              <w:rPr>
                <w:rFonts w:ascii="Times New Roman" w:eastAsia="Times New Roman" w:hAnsi="Times New Roman" w:cs="Times New Roman"/>
                <w:b w:val="0"/>
                <w:bCs w:val="0"/>
                <w:i/>
                <w:iCs/>
                <w:color w:val="000000"/>
                <w:kern w:val="0"/>
                <w14:ligatures w14:val="none"/>
              </w:rPr>
            </w:pPr>
            <w:r w:rsidRPr="00354AC0">
              <w:rPr>
                <w:rFonts w:ascii="Times New Roman" w:eastAsia="Times New Roman" w:hAnsi="Times New Roman" w:cs="Times New Roman"/>
                <w:b w:val="0"/>
                <w:bCs w:val="0"/>
                <w:i/>
                <w:iCs/>
                <w:color w:val="000000"/>
                <w:kern w:val="0"/>
                <w14:ligatures w14:val="none"/>
              </w:rPr>
              <w:t>Corporation</w:t>
            </w:r>
          </w:p>
        </w:tc>
        <w:tc>
          <w:tcPr>
            <w:tcW w:w="0" w:type="auto"/>
            <w:hideMark/>
          </w:tcPr>
          <w:p w14:paraId="2E22DE16"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5,588</w:t>
            </w:r>
          </w:p>
        </w:tc>
        <w:tc>
          <w:tcPr>
            <w:tcW w:w="0" w:type="auto"/>
            <w:hideMark/>
          </w:tcPr>
          <w:p w14:paraId="0AAEAC24"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2.6</w:t>
            </w:r>
          </w:p>
        </w:tc>
        <w:tc>
          <w:tcPr>
            <w:tcW w:w="0" w:type="auto"/>
            <w:hideMark/>
          </w:tcPr>
          <w:p w14:paraId="6A0E92C1"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4,169</w:t>
            </w:r>
          </w:p>
        </w:tc>
        <w:tc>
          <w:tcPr>
            <w:tcW w:w="0" w:type="auto"/>
            <w:hideMark/>
          </w:tcPr>
          <w:p w14:paraId="4C20E05C"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74.6</w:t>
            </w:r>
          </w:p>
        </w:tc>
      </w:tr>
      <w:tr w:rsidR="00E75B95" w:rsidRPr="00E75B95" w14:paraId="7D395673" w14:textId="77777777" w:rsidTr="00F408EE">
        <w:tc>
          <w:tcPr>
            <w:cnfStyle w:val="001000000000" w:firstRow="0" w:lastRow="0" w:firstColumn="1" w:lastColumn="0" w:oddVBand="0" w:evenVBand="0" w:oddHBand="0" w:evenHBand="0" w:firstRowFirstColumn="0" w:firstRowLastColumn="0" w:lastRowFirstColumn="0" w:lastRowLastColumn="0"/>
            <w:tcW w:w="0" w:type="auto"/>
            <w:hideMark/>
          </w:tcPr>
          <w:p w14:paraId="16678D83" w14:textId="77777777" w:rsidR="00E75B95" w:rsidRPr="00354AC0" w:rsidRDefault="00E75B95" w:rsidP="00FA06E6">
            <w:pPr>
              <w:rPr>
                <w:rFonts w:ascii="Times New Roman" w:eastAsia="Times New Roman" w:hAnsi="Times New Roman" w:cs="Times New Roman"/>
                <w:b w:val="0"/>
                <w:bCs w:val="0"/>
                <w:i/>
                <w:iCs/>
                <w:color w:val="000000"/>
                <w:kern w:val="0"/>
                <w14:ligatures w14:val="none"/>
              </w:rPr>
            </w:pPr>
            <w:r w:rsidRPr="00354AC0">
              <w:rPr>
                <w:rFonts w:ascii="Times New Roman" w:eastAsia="Times New Roman" w:hAnsi="Times New Roman" w:cs="Times New Roman"/>
                <w:b w:val="0"/>
                <w:bCs w:val="0"/>
                <w:i/>
                <w:iCs/>
                <w:color w:val="000000"/>
                <w:kern w:val="0"/>
                <w14:ligatures w14:val="none"/>
              </w:rPr>
              <w:t>Trust</w:t>
            </w:r>
          </w:p>
        </w:tc>
        <w:tc>
          <w:tcPr>
            <w:tcW w:w="0" w:type="auto"/>
            <w:hideMark/>
          </w:tcPr>
          <w:p w14:paraId="1DAC87C6" w14:textId="77777777" w:rsidR="00E75B95" w:rsidRPr="00E75B95" w:rsidRDefault="00E75B95"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7,006</w:t>
            </w:r>
          </w:p>
        </w:tc>
        <w:tc>
          <w:tcPr>
            <w:tcW w:w="0" w:type="auto"/>
            <w:hideMark/>
          </w:tcPr>
          <w:p w14:paraId="7EE17EB5" w14:textId="77777777" w:rsidR="00E75B95" w:rsidRPr="00E75B95" w:rsidRDefault="00E75B95"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3.3</w:t>
            </w:r>
          </w:p>
        </w:tc>
        <w:tc>
          <w:tcPr>
            <w:tcW w:w="0" w:type="auto"/>
            <w:hideMark/>
          </w:tcPr>
          <w:p w14:paraId="2BC6E668" w14:textId="77777777" w:rsidR="00E75B95" w:rsidRPr="00E75B95" w:rsidRDefault="00E75B95"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6,844</w:t>
            </w:r>
          </w:p>
        </w:tc>
        <w:tc>
          <w:tcPr>
            <w:tcW w:w="0" w:type="auto"/>
            <w:hideMark/>
          </w:tcPr>
          <w:p w14:paraId="0881F8FA" w14:textId="77777777" w:rsidR="00E75B95" w:rsidRPr="00E75B95" w:rsidRDefault="00E75B95"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97.7</w:t>
            </w:r>
          </w:p>
        </w:tc>
      </w:tr>
      <w:tr w:rsidR="00E75B95" w:rsidRPr="00E75B95" w14:paraId="49330296" w14:textId="77777777" w:rsidTr="00F40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B66C7F" w14:textId="77777777" w:rsidR="00E75B95" w:rsidRPr="00354AC0" w:rsidRDefault="00E75B95" w:rsidP="00FA06E6">
            <w:pPr>
              <w:rPr>
                <w:rFonts w:ascii="Times New Roman" w:eastAsia="Times New Roman" w:hAnsi="Times New Roman" w:cs="Times New Roman"/>
                <w:b w:val="0"/>
                <w:bCs w:val="0"/>
                <w:i/>
                <w:iCs/>
                <w:color w:val="000000"/>
                <w:kern w:val="0"/>
                <w14:ligatures w14:val="none"/>
              </w:rPr>
            </w:pPr>
            <w:r w:rsidRPr="00354AC0">
              <w:rPr>
                <w:rFonts w:ascii="Times New Roman" w:eastAsia="Times New Roman" w:hAnsi="Times New Roman" w:cs="Times New Roman"/>
                <w:b w:val="0"/>
                <w:bCs w:val="0"/>
                <w:i/>
                <w:iCs/>
                <w:color w:val="000000"/>
                <w:kern w:val="0"/>
                <w14:ligatures w14:val="none"/>
              </w:rPr>
              <w:t>Gov/Nonprofit</w:t>
            </w:r>
          </w:p>
        </w:tc>
        <w:tc>
          <w:tcPr>
            <w:tcW w:w="0" w:type="auto"/>
            <w:hideMark/>
          </w:tcPr>
          <w:p w14:paraId="406CFB36"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8,476</w:t>
            </w:r>
          </w:p>
        </w:tc>
        <w:tc>
          <w:tcPr>
            <w:tcW w:w="0" w:type="auto"/>
            <w:hideMark/>
          </w:tcPr>
          <w:p w14:paraId="2FEE0D80"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4.0</w:t>
            </w:r>
          </w:p>
        </w:tc>
        <w:tc>
          <w:tcPr>
            <w:tcW w:w="0" w:type="auto"/>
            <w:hideMark/>
          </w:tcPr>
          <w:p w14:paraId="5A88BAE5"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7,516</w:t>
            </w:r>
          </w:p>
        </w:tc>
        <w:tc>
          <w:tcPr>
            <w:tcW w:w="0" w:type="auto"/>
            <w:hideMark/>
          </w:tcPr>
          <w:p w14:paraId="4A76C366"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88.7</w:t>
            </w:r>
          </w:p>
        </w:tc>
      </w:tr>
      <w:tr w:rsidR="00E75B95" w:rsidRPr="00E75B95" w14:paraId="52379186" w14:textId="77777777" w:rsidTr="00F408EE">
        <w:tc>
          <w:tcPr>
            <w:cnfStyle w:val="001000000000" w:firstRow="0" w:lastRow="0" w:firstColumn="1" w:lastColumn="0" w:oddVBand="0" w:evenVBand="0" w:oddHBand="0" w:evenHBand="0" w:firstRowFirstColumn="0" w:firstRowLastColumn="0" w:lastRowFirstColumn="0" w:lastRowLastColumn="0"/>
            <w:tcW w:w="0" w:type="auto"/>
            <w:hideMark/>
          </w:tcPr>
          <w:p w14:paraId="44F708DD" w14:textId="77777777" w:rsidR="00E75B95" w:rsidRPr="00354AC0" w:rsidRDefault="00E75B95" w:rsidP="00FA06E6">
            <w:pPr>
              <w:rPr>
                <w:rFonts w:ascii="Times New Roman" w:eastAsia="Times New Roman" w:hAnsi="Times New Roman" w:cs="Times New Roman"/>
                <w:b w:val="0"/>
                <w:bCs w:val="0"/>
                <w:i/>
                <w:iCs/>
                <w:color w:val="000000"/>
                <w:kern w:val="0"/>
                <w14:ligatures w14:val="none"/>
              </w:rPr>
            </w:pPr>
            <w:r w:rsidRPr="00354AC0">
              <w:rPr>
                <w:rFonts w:ascii="Times New Roman" w:eastAsia="Times New Roman" w:hAnsi="Times New Roman" w:cs="Times New Roman"/>
                <w:b w:val="0"/>
                <w:bCs w:val="0"/>
                <w:i/>
                <w:iCs/>
                <w:color w:val="000000"/>
                <w:kern w:val="0"/>
                <w14:ligatures w14:val="none"/>
              </w:rPr>
              <w:t>Total</w:t>
            </w:r>
          </w:p>
        </w:tc>
        <w:tc>
          <w:tcPr>
            <w:tcW w:w="0" w:type="auto"/>
            <w:hideMark/>
          </w:tcPr>
          <w:p w14:paraId="541BCDFE" w14:textId="77777777" w:rsidR="00E75B95" w:rsidRPr="00E75B95" w:rsidRDefault="00E75B95"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212,310</w:t>
            </w:r>
          </w:p>
        </w:tc>
        <w:tc>
          <w:tcPr>
            <w:tcW w:w="0" w:type="auto"/>
            <w:hideMark/>
          </w:tcPr>
          <w:p w14:paraId="49BA5C98" w14:textId="77777777" w:rsidR="00E75B95" w:rsidRPr="00E75B95" w:rsidRDefault="00E75B95"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100.0</w:t>
            </w:r>
          </w:p>
        </w:tc>
        <w:tc>
          <w:tcPr>
            <w:tcW w:w="0" w:type="auto"/>
            <w:hideMark/>
          </w:tcPr>
          <w:p w14:paraId="0D7F0C76" w14:textId="77777777" w:rsidR="00E75B95" w:rsidRPr="00E75B95" w:rsidRDefault="00E75B95"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207,660</w:t>
            </w:r>
          </w:p>
        </w:tc>
        <w:tc>
          <w:tcPr>
            <w:tcW w:w="0" w:type="auto"/>
            <w:hideMark/>
          </w:tcPr>
          <w:p w14:paraId="5E0DCB27" w14:textId="77777777" w:rsidR="00E75B95" w:rsidRPr="00E75B95" w:rsidRDefault="00E75B95"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97.8</w:t>
            </w:r>
          </w:p>
        </w:tc>
      </w:tr>
    </w:tbl>
    <w:p w14:paraId="4F285287" w14:textId="77777777" w:rsidR="001656DD" w:rsidRDefault="001656DD" w:rsidP="00FA06E6">
      <w:pPr>
        <w:spacing w:after="100" w:afterAutospacing="1" w:line="240" w:lineRule="auto"/>
        <w:rPr>
          <w:rFonts w:ascii="Times New Roman" w:eastAsia="Times New Roman" w:hAnsi="Times New Roman" w:cs="Times New Roman"/>
          <w:color w:val="000000"/>
          <w:kern w:val="0"/>
          <w14:ligatures w14:val="none"/>
        </w:rPr>
      </w:pPr>
    </w:p>
    <w:p w14:paraId="38D6B346" w14:textId="3C6A255E" w:rsidR="00E75B95" w:rsidRPr="00E75B95" w:rsidRDefault="00E75B95" w:rsidP="00FA06E6">
      <w:pPr>
        <w:spacing w:after="100" w:afterAutospacing="1" w:line="240" w:lineRule="auto"/>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Table 5. SFR owner</w:t>
      </w:r>
      <w:r w:rsidRPr="00E75B95">
        <w:rPr>
          <w:rFonts w:ascii="Times New Roman" w:eastAsia="Times New Roman" w:hAnsi="Times New Roman" w:cs="Times New Roman"/>
          <w:color w:val="000000"/>
          <w:kern w:val="0"/>
          <w14:ligatures w14:val="none"/>
        </w:rPr>
        <w:noBreakHyphen/>
        <w:t xml:space="preserve">type distribution </w:t>
      </w:r>
    </w:p>
    <w:tbl>
      <w:tblPr>
        <w:tblStyle w:val="PlainTable4"/>
        <w:tblW w:w="0" w:type="auto"/>
        <w:tblLook w:val="04A0" w:firstRow="1" w:lastRow="0" w:firstColumn="1" w:lastColumn="0" w:noHBand="0" w:noVBand="1"/>
      </w:tblPr>
      <w:tblGrid>
        <w:gridCol w:w="1500"/>
        <w:gridCol w:w="931"/>
        <w:gridCol w:w="937"/>
      </w:tblGrid>
      <w:tr w:rsidR="00E75B95" w:rsidRPr="00E75B95" w14:paraId="40667940" w14:textId="77777777" w:rsidTr="00F408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A845FF" w14:textId="77777777" w:rsidR="00E75B95" w:rsidRPr="00E75B95" w:rsidRDefault="00E75B95" w:rsidP="00FA06E6">
            <w:pPr>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Owner type</w:t>
            </w:r>
          </w:p>
        </w:tc>
        <w:tc>
          <w:tcPr>
            <w:tcW w:w="0" w:type="auto"/>
            <w:hideMark/>
          </w:tcPr>
          <w:p w14:paraId="1591F8A5" w14:textId="77777777" w:rsidR="00E75B95" w:rsidRPr="00E75B95" w:rsidRDefault="00E75B95" w:rsidP="00FA06E6">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Count</w:t>
            </w:r>
          </w:p>
        </w:tc>
        <w:tc>
          <w:tcPr>
            <w:tcW w:w="0" w:type="auto"/>
            <w:hideMark/>
          </w:tcPr>
          <w:p w14:paraId="1BFC7D7A" w14:textId="77777777" w:rsidR="00E75B95" w:rsidRPr="00E75B95" w:rsidRDefault="00E75B95" w:rsidP="00FA06E6">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Percent</w:t>
            </w:r>
          </w:p>
        </w:tc>
      </w:tr>
      <w:tr w:rsidR="00E75B95" w:rsidRPr="00E75B95" w14:paraId="178058FC" w14:textId="77777777" w:rsidTr="00F40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46747A" w14:textId="77777777" w:rsidR="00E75B95" w:rsidRPr="00354AC0" w:rsidRDefault="00E75B95" w:rsidP="00FA06E6">
            <w:pPr>
              <w:rPr>
                <w:rFonts w:ascii="Times New Roman" w:eastAsia="Times New Roman" w:hAnsi="Times New Roman" w:cs="Times New Roman"/>
                <w:b w:val="0"/>
                <w:bCs w:val="0"/>
                <w:i/>
                <w:iCs/>
                <w:color w:val="000000"/>
                <w:kern w:val="0"/>
                <w14:ligatures w14:val="none"/>
              </w:rPr>
            </w:pPr>
            <w:r w:rsidRPr="00354AC0">
              <w:rPr>
                <w:rFonts w:ascii="Times New Roman" w:eastAsia="Times New Roman" w:hAnsi="Times New Roman" w:cs="Times New Roman"/>
                <w:b w:val="0"/>
                <w:bCs w:val="0"/>
                <w:i/>
                <w:iCs/>
                <w:color w:val="000000"/>
                <w:kern w:val="0"/>
                <w14:ligatures w14:val="none"/>
              </w:rPr>
              <w:t>Individual</w:t>
            </w:r>
          </w:p>
        </w:tc>
        <w:tc>
          <w:tcPr>
            <w:tcW w:w="0" w:type="auto"/>
            <w:hideMark/>
          </w:tcPr>
          <w:p w14:paraId="47EF3932"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152,260</w:t>
            </w:r>
          </w:p>
        </w:tc>
        <w:tc>
          <w:tcPr>
            <w:tcW w:w="0" w:type="auto"/>
            <w:hideMark/>
          </w:tcPr>
          <w:p w14:paraId="3F721AF1"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82.60</w:t>
            </w:r>
          </w:p>
        </w:tc>
      </w:tr>
      <w:tr w:rsidR="00E75B95" w:rsidRPr="00E75B95" w14:paraId="0D795788" w14:textId="77777777" w:rsidTr="00F408EE">
        <w:tc>
          <w:tcPr>
            <w:cnfStyle w:val="001000000000" w:firstRow="0" w:lastRow="0" w:firstColumn="1" w:lastColumn="0" w:oddVBand="0" w:evenVBand="0" w:oddHBand="0" w:evenHBand="0" w:firstRowFirstColumn="0" w:firstRowLastColumn="0" w:lastRowFirstColumn="0" w:lastRowLastColumn="0"/>
            <w:tcW w:w="0" w:type="auto"/>
            <w:hideMark/>
          </w:tcPr>
          <w:p w14:paraId="31E26F53" w14:textId="77777777" w:rsidR="00E75B95" w:rsidRPr="00354AC0" w:rsidRDefault="00E75B95" w:rsidP="00FA06E6">
            <w:pPr>
              <w:rPr>
                <w:rFonts w:ascii="Times New Roman" w:eastAsia="Times New Roman" w:hAnsi="Times New Roman" w:cs="Times New Roman"/>
                <w:b w:val="0"/>
                <w:bCs w:val="0"/>
                <w:i/>
                <w:iCs/>
                <w:color w:val="000000"/>
                <w:kern w:val="0"/>
                <w14:ligatures w14:val="none"/>
              </w:rPr>
            </w:pPr>
            <w:r w:rsidRPr="00354AC0">
              <w:rPr>
                <w:rFonts w:ascii="Times New Roman" w:eastAsia="Times New Roman" w:hAnsi="Times New Roman" w:cs="Times New Roman"/>
                <w:b w:val="0"/>
                <w:bCs w:val="0"/>
                <w:i/>
                <w:iCs/>
                <w:color w:val="000000"/>
                <w:kern w:val="0"/>
                <w14:ligatures w14:val="none"/>
              </w:rPr>
              <w:t>LLC</w:t>
            </w:r>
          </w:p>
        </w:tc>
        <w:tc>
          <w:tcPr>
            <w:tcW w:w="0" w:type="auto"/>
            <w:hideMark/>
          </w:tcPr>
          <w:p w14:paraId="56D58A55" w14:textId="77777777" w:rsidR="00E75B95" w:rsidRPr="00E75B95" w:rsidRDefault="00E75B95"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20,507</w:t>
            </w:r>
          </w:p>
        </w:tc>
        <w:tc>
          <w:tcPr>
            <w:tcW w:w="0" w:type="auto"/>
            <w:hideMark/>
          </w:tcPr>
          <w:p w14:paraId="5928CE25" w14:textId="77777777" w:rsidR="00E75B95" w:rsidRPr="00E75B95" w:rsidRDefault="00E75B95"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11.12</w:t>
            </w:r>
          </w:p>
        </w:tc>
      </w:tr>
      <w:tr w:rsidR="00E75B95" w:rsidRPr="00E75B95" w14:paraId="7704ED97" w14:textId="77777777" w:rsidTr="00F40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1FBA14" w14:textId="77777777" w:rsidR="00E75B95" w:rsidRPr="00354AC0" w:rsidRDefault="00E75B95" w:rsidP="00FA06E6">
            <w:pPr>
              <w:rPr>
                <w:rFonts w:ascii="Times New Roman" w:eastAsia="Times New Roman" w:hAnsi="Times New Roman" w:cs="Times New Roman"/>
                <w:b w:val="0"/>
                <w:bCs w:val="0"/>
                <w:i/>
                <w:iCs/>
                <w:color w:val="000000"/>
                <w:kern w:val="0"/>
                <w14:ligatures w14:val="none"/>
              </w:rPr>
            </w:pPr>
            <w:r w:rsidRPr="00354AC0">
              <w:rPr>
                <w:rFonts w:ascii="Times New Roman" w:eastAsia="Times New Roman" w:hAnsi="Times New Roman" w:cs="Times New Roman"/>
                <w:b w:val="0"/>
                <w:bCs w:val="0"/>
                <w:i/>
                <w:iCs/>
                <w:color w:val="000000"/>
                <w:kern w:val="0"/>
                <w14:ligatures w14:val="none"/>
              </w:rPr>
              <w:lastRenderedPageBreak/>
              <w:t>Trust</w:t>
            </w:r>
          </w:p>
        </w:tc>
        <w:tc>
          <w:tcPr>
            <w:tcW w:w="0" w:type="auto"/>
            <w:hideMark/>
          </w:tcPr>
          <w:p w14:paraId="7332312F"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6,415</w:t>
            </w:r>
          </w:p>
        </w:tc>
        <w:tc>
          <w:tcPr>
            <w:tcW w:w="0" w:type="auto"/>
            <w:hideMark/>
          </w:tcPr>
          <w:p w14:paraId="6795C073"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3.48</w:t>
            </w:r>
          </w:p>
        </w:tc>
      </w:tr>
      <w:tr w:rsidR="00E75B95" w:rsidRPr="00E75B95" w14:paraId="59067CC4" w14:textId="77777777" w:rsidTr="00F408EE">
        <w:tc>
          <w:tcPr>
            <w:cnfStyle w:val="001000000000" w:firstRow="0" w:lastRow="0" w:firstColumn="1" w:lastColumn="0" w:oddVBand="0" w:evenVBand="0" w:oddHBand="0" w:evenHBand="0" w:firstRowFirstColumn="0" w:firstRowLastColumn="0" w:lastRowFirstColumn="0" w:lastRowLastColumn="0"/>
            <w:tcW w:w="0" w:type="auto"/>
            <w:hideMark/>
          </w:tcPr>
          <w:p w14:paraId="131BB6B0" w14:textId="77777777" w:rsidR="00E75B95" w:rsidRPr="00354AC0" w:rsidRDefault="00E75B95" w:rsidP="00FA06E6">
            <w:pPr>
              <w:rPr>
                <w:rFonts w:ascii="Times New Roman" w:eastAsia="Times New Roman" w:hAnsi="Times New Roman" w:cs="Times New Roman"/>
                <w:b w:val="0"/>
                <w:bCs w:val="0"/>
                <w:i/>
                <w:iCs/>
                <w:color w:val="000000"/>
                <w:kern w:val="0"/>
                <w14:ligatures w14:val="none"/>
              </w:rPr>
            </w:pPr>
            <w:r w:rsidRPr="00354AC0">
              <w:rPr>
                <w:rFonts w:ascii="Times New Roman" w:eastAsia="Times New Roman" w:hAnsi="Times New Roman" w:cs="Times New Roman"/>
                <w:b w:val="0"/>
                <w:bCs w:val="0"/>
                <w:i/>
                <w:iCs/>
                <w:color w:val="000000"/>
                <w:kern w:val="0"/>
                <w14:ligatures w14:val="none"/>
              </w:rPr>
              <w:t>Gov/Nonprofit</w:t>
            </w:r>
          </w:p>
        </w:tc>
        <w:tc>
          <w:tcPr>
            <w:tcW w:w="0" w:type="auto"/>
            <w:hideMark/>
          </w:tcPr>
          <w:p w14:paraId="293C48F1" w14:textId="77777777" w:rsidR="00E75B95" w:rsidRPr="00E75B95" w:rsidRDefault="00E75B95"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2,639</w:t>
            </w:r>
          </w:p>
        </w:tc>
        <w:tc>
          <w:tcPr>
            <w:tcW w:w="0" w:type="auto"/>
            <w:hideMark/>
          </w:tcPr>
          <w:p w14:paraId="08C71893" w14:textId="77777777" w:rsidR="00E75B95" w:rsidRPr="00E75B95" w:rsidRDefault="00E75B95"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1.43</w:t>
            </w:r>
          </w:p>
        </w:tc>
      </w:tr>
      <w:tr w:rsidR="00E75B95" w:rsidRPr="00E75B95" w14:paraId="365FAC19" w14:textId="77777777" w:rsidTr="00F40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ED6256" w14:textId="77777777" w:rsidR="00E75B95" w:rsidRPr="00354AC0" w:rsidRDefault="00E75B95" w:rsidP="00FA06E6">
            <w:pPr>
              <w:rPr>
                <w:rFonts w:ascii="Times New Roman" w:eastAsia="Times New Roman" w:hAnsi="Times New Roman" w:cs="Times New Roman"/>
                <w:b w:val="0"/>
                <w:bCs w:val="0"/>
                <w:i/>
                <w:iCs/>
                <w:color w:val="000000"/>
                <w:kern w:val="0"/>
                <w14:ligatures w14:val="none"/>
              </w:rPr>
            </w:pPr>
            <w:r w:rsidRPr="00354AC0">
              <w:rPr>
                <w:rFonts w:ascii="Times New Roman" w:eastAsia="Times New Roman" w:hAnsi="Times New Roman" w:cs="Times New Roman"/>
                <w:b w:val="0"/>
                <w:bCs w:val="0"/>
                <w:i/>
                <w:iCs/>
                <w:color w:val="000000"/>
                <w:kern w:val="0"/>
                <w14:ligatures w14:val="none"/>
              </w:rPr>
              <w:t>Corporation</w:t>
            </w:r>
          </w:p>
        </w:tc>
        <w:tc>
          <w:tcPr>
            <w:tcW w:w="0" w:type="auto"/>
            <w:hideMark/>
          </w:tcPr>
          <w:p w14:paraId="75E27619"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2,510</w:t>
            </w:r>
          </w:p>
        </w:tc>
        <w:tc>
          <w:tcPr>
            <w:tcW w:w="0" w:type="auto"/>
            <w:hideMark/>
          </w:tcPr>
          <w:p w14:paraId="0BD99CC3"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1.36</w:t>
            </w:r>
          </w:p>
        </w:tc>
      </w:tr>
      <w:tr w:rsidR="00E75B95" w:rsidRPr="00E75B95" w14:paraId="1B26593F" w14:textId="77777777" w:rsidTr="00F408EE">
        <w:tc>
          <w:tcPr>
            <w:cnfStyle w:val="001000000000" w:firstRow="0" w:lastRow="0" w:firstColumn="1" w:lastColumn="0" w:oddVBand="0" w:evenVBand="0" w:oddHBand="0" w:evenHBand="0" w:firstRowFirstColumn="0" w:firstRowLastColumn="0" w:lastRowFirstColumn="0" w:lastRowLastColumn="0"/>
            <w:tcW w:w="0" w:type="auto"/>
            <w:hideMark/>
          </w:tcPr>
          <w:p w14:paraId="0F5A0AF5" w14:textId="77777777" w:rsidR="00E75B95" w:rsidRPr="00354AC0" w:rsidRDefault="00E75B95" w:rsidP="00FA06E6">
            <w:pPr>
              <w:rPr>
                <w:rFonts w:ascii="Times New Roman" w:eastAsia="Times New Roman" w:hAnsi="Times New Roman" w:cs="Times New Roman"/>
                <w:b w:val="0"/>
                <w:bCs w:val="0"/>
                <w:i/>
                <w:iCs/>
                <w:color w:val="000000"/>
                <w:kern w:val="0"/>
                <w14:ligatures w14:val="none"/>
              </w:rPr>
            </w:pPr>
            <w:r w:rsidRPr="00354AC0">
              <w:rPr>
                <w:rFonts w:ascii="Times New Roman" w:eastAsia="Times New Roman" w:hAnsi="Times New Roman" w:cs="Times New Roman"/>
                <w:b w:val="0"/>
                <w:bCs w:val="0"/>
                <w:i/>
                <w:iCs/>
                <w:color w:val="000000"/>
                <w:kern w:val="0"/>
                <w14:ligatures w14:val="none"/>
              </w:rPr>
              <w:t>Total</w:t>
            </w:r>
          </w:p>
        </w:tc>
        <w:tc>
          <w:tcPr>
            <w:tcW w:w="0" w:type="auto"/>
            <w:hideMark/>
          </w:tcPr>
          <w:p w14:paraId="0C63249C" w14:textId="77777777" w:rsidR="00E75B95" w:rsidRPr="00E75B95" w:rsidRDefault="00E75B95"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184,333</w:t>
            </w:r>
          </w:p>
        </w:tc>
        <w:tc>
          <w:tcPr>
            <w:tcW w:w="0" w:type="auto"/>
            <w:hideMark/>
          </w:tcPr>
          <w:p w14:paraId="528032B6" w14:textId="77777777" w:rsidR="00E75B95" w:rsidRPr="00E75B95" w:rsidRDefault="00E75B95"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100.00</w:t>
            </w:r>
          </w:p>
        </w:tc>
      </w:tr>
    </w:tbl>
    <w:p w14:paraId="3782F053" w14:textId="77777777" w:rsidR="00FA06E6" w:rsidRDefault="00FA06E6" w:rsidP="00FA06E6">
      <w:pPr>
        <w:spacing w:after="100" w:afterAutospacing="1" w:line="240" w:lineRule="auto"/>
        <w:outlineLvl w:val="2"/>
        <w:rPr>
          <w:rFonts w:ascii="Times New Roman" w:eastAsia="Times New Roman" w:hAnsi="Times New Roman" w:cs="Times New Roman"/>
          <w:b/>
          <w:bCs/>
          <w:color w:val="000000"/>
          <w:kern w:val="0"/>
          <w14:ligatures w14:val="none"/>
        </w:rPr>
      </w:pPr>
    </w:p>
    <w:p w14:paraId="5972FEC0" w14:textId="0D5CADC4" w:rsidR="00E75B95" w:rsidRPr="002A03F2" w:rsidRDefault="00E75B95" w:rsidP="00FA06E6">
      <w:pPr>
        <w:spacing w:after="100" w:afterAutospacing="1" w:line="240" w:lineRule="auto"/>
        <w:outlineLvl w:val="2"/>
        <w:rPr>
          <w:rFonts w:ascii="Times New Roman" w:eastAsia="Times New Roman" w:hAnsi="Times New Roman" w:cs="Times New Roman"/>
          <w:b/>
          <w:bCs/>
          <w:color w:val="000000"/>
          <w:kern w:val="0"/>
          <w14:ligatures w14:val="none"/>
        </w:rPr>
      </w:pPr>
      <w:r w:rsidRPr="002A03F2">
        <w:rPr>
          <w:rFonts w:ascii="Times New Roman" w:eastAsia="Times New Roman" w:hAnsi="Times New Roman" w:cs="Times New Roman"/>
          <w:b/>
          <w:bCs/>
          <w:color w:val="000000"/>
          <w:kern w:val="0"/>
          <w14:ligatures w14:val="none"/>
        </w:rPr>
        <w:t>3.</w:t>
      </w:r>
      <w:r w:rsidR="00C31FF7">
        <w:rPr>
          <w:rFonts w:ascii="Times New Roman" w:eastAsia="Times New Roman" w:hAnsi="Times New Roman" w:cs="Times New Roman"/>
          <w:b/>
          <w:bCs/>
          <w:color w:val="000000"/>
          <w:kern w:val="0"/>
          <w14:ligatures w14:val="none"/>
        </w:rPr>
        <w:t>3</w:t>
      </w:r>
      <w:r w:rsidRPr="002A03F2">
        <w:rPr>
          <w:rFonts w:ascii="Times New Roman" w:eastAsia="Times New Roman" w:hAnsi="Times New Roman" w:cs="Times New Roman"/>
          <w:b/>
          <w:bCs/>
          <w:color w:val="000000"/>
          <w:kern w:val="0"/>
          <w14:ligatures w14:val="none"/>
        </w:rPr>
        <w:t xml:space="preserve"> Variables </w:t>
      </w:r>
      <w:r w:rsidR="002A03F2" w:rsidRPr="002A03F2">
        <w:rPr>
          <w:rFonts w:ascii="Times New Roman" w:eastAsia="Times New Roman" w:hAnsi="Times New Roman" w:cs="Times New Roman"/>
          <w:b/>
          <w:bCs/>
          <w:color w:val="000000"/>
          <w:kern w:val="0"/>
          <w14:ligatures w14:val="none"/>
        </w:rPr>
        <w:t>&amp;</w:t>
      </w:r>
      <w:r w:rsidRPr="002A03F2">
        <w:rPr>
          <w:rFonts w:ascii="Times New Roman" w:eastAsia="Times New Roman" w:hAnsi="Times New Roman" w:cs="Times New Roman"/>
          <w:b/>
          <w:bCs/>
          <w:color w:val="000000"/>
          <w:kern w:val="0"/>
          <w14:ligatures w14:val="none"/>
        </w:rPr>
        <w:t xml:space="preserve"> </w:t>
      </w:r>
      <w:r w:rsidR="002A03F2" w:rsidRPr="002A03F2">
        <w:rPr>
          <w:rFonts w:ascii="Times New Roman" w:eastAsia="Times New Roman" w:hAnsi="Times New Roman" w:cs="Times New Roman"/>
          <w:b/>
          <w:bCs/>
          <w:color w:val="000000"/>
          <w:kern w:val="0"/>
          <w14:ligatures w14:val="none"/>
        </w:rPr>
        <w:t>T</w:t>
      </w:r>
      <w:r w:rsidRPr="002A03F2">
        <w:rPr>
          <w:rFonts w:ascii="Times New Roman" w:eastAsia="Times New Roman" w:hAnsi="Times New Roman" w:cs="Times New Roman"/>
          <w:b/>
          <w:bCs/>
          <w:color w:val="000000"/>
          <w:kern w:val="0"/>
          <w14:ligatures w14:val="none"/>
        </w:rPr>
        <w:t>ransformations</w:t>
      </w:r>
    </w:p>
    <w:p w14:paraId="4BF3ABC5" w14:textId="720AECE5" w:rsidR="001024F0" w:rsidRPr="001024F0" w:rsidRDefault="001024F0" w:rsidP="00FA06E6">
      <w:pPr>
        <w:spacing w:after="100" w:afterAutospacing="1" w:line="240" w:lineRule="auto"/>
        <w:outlineLvl w:val="2"/>
        <w:rPr>
          <w:rFonts w:ascii="Times New Roman" w:eastAsia="Times New Roman" w:hAnsi="Times New Roman" w:cs="Times New Roman"/>
          <w:color w:val="000000"/>
          <w:kern w:val="0"/>
          <w14:ligatures w14:val="none"/>
        </w:rPr>
      </w:pPr>
      <w:r w:rsidRPr="001024F0">
        <w:rPr>
          <w:rFonts w:ascii="Times New Roman" w:eastAsia="Times New Roman" w:hAnsi="Times New Roman" w:cs="Times New Roman"/>
          <w:color w:val="000000"/>
          <w:kern w:val="0"/>
          <w14:ligatures w14:val="none"/>
        </w:rPr>
        <w:t xml:space="preserve">To isolate the effect of ownership, our models include several control variables to account for </w:t>
      </w:r>
      <w:r w:rsidR="008372E9">
        <w:rPr>
          <w:rFonts w:ascii="Times New Roman" w:eastAsia="Times New Roman" w:hAnsi="Times New Roman" w:cs="Times New Roman"/>
          <w:color w:val="000000"/>
          <w:kern w:val="0"/>
          <w14:ligatures w14:val="none"/>
        </w:rPr>
        <w:t>parcel</w:t>
      </w:r>
      <w:r w:rsidRPr="001024F0">
        <w:rPr>
          <w:rFonts w:ascii="Times New Roman" w:eastAsia="Times New Roman" w:hAnsi="Times New Roman" w:cs="Times New Roman"/>
          <w:color w:val="000000"/>
          <w:kern w:val="0"/>
          <w14:ligatures w14:val="none"/>
        </w:rPr>
        <w:t xml:space="preserve"> characteristics. The core controls are a parcel's total assessed value and its size in acres. To better meet model assumptions, </w:t>
      </w:r>
      <w:r w:rsidR="00B51D6D" w:rsidRPr="001024F0">
        <w:rPr>
          <w:rFonts w:ascii="Times New Roman" w:eastAsia="Times New Roman" w:hAnsi="Times New Roman" w:cs="Times New Roman"/>
          <w:color w:val="000000"/>
          <w:kern w:val="0"/>
          <w14:ligatures w14:val="none"/>
        </w:rPr>
        <w:t>both</w:t>
      </w:r>
      <w:r w:rsidRPr="001024F0">
        <w:rPr>
          <w:rFonts w:ascii="Times New Roman" w:eastAsia="Times New Roman" w:hAnsi="Times New Roman" w:cs="Times New Roman"/>
          <w:color w:val="000000"/>
          <w:kern w:val="0"/>
          <w14:ligatures w14:val="none"/>
        </w:rPr>
        <w:t xml:space="preserve"> variables were log-transformed. </w:t>
      </w:r>
    </w:p>
    <w:p w14:paraId="3D071713" w14:textId="4172C258" w:rsidR="001024F0" w:rsidRDefault="001024F0" w:rsidP="00FA06E6">
      <w:pPr>
        <w:spacing w:after="100" w:afterAutospacing="1" w:line="240" w:lineRule="auto"/>
        <w:outlineLvl w:val="2"/>
        <w:rPr>
          <w:rFonts w:ascii="Times New Roman" w:eastAsia="Times New Roman" w:hAnsi="Times New Roman" w:cs="Times New Roman"/>
          <w:color w:val="000000"/>
          <w:kern w:val="0"/>
          <w14:ligatures w14:val="none"/>
        </w:rPr>
      </w:pPr>
      <w:r w:rsidRPr="001024F0">
        <w:rPr>
          <w:rFonts w:ascii="Times New Roman" w:eastAsia="Times New Roman" w:hAnsi="Times New Roman" w:cs="Times New Roman"/>
          <w:color w:val="000000"/>
          <w:kern w:val="0"/>
          <w14:ligatures w14:val="none"/>
        </w:rPr>
        <w:t xml:space="preserve">The primary explanatory variable is a set of ten mutually exclusive categories created by crossing the five owner types with the two portfolio scale classifications. In the regression models, </w:t>
      </w:r>
      <w:r w:rsidR="005B5894">
        <w:rPr>
          <w:rFonts w:ascii="Times New Roman" w:eastAsia="Times New Roman" w:hAnsi="Times New Roman" w:cs="Times New Roman"/>
          <w:color w:val="000000"/>
          <w:kern w:val="0"/>
          <w14:ligatures w14:val="none"/>
        </w:rPr>
        <w:t xml:space="preserve">individual </w:t>
      </w:r>
      <w:r w:rsidRPr="001024F0">
        <w:rPr>
          <w:rFonts w:ascii="Times New Roman" w:eastAsia="Times New Roman" w:hAnsi="Times New Roman" w:cs="Times New Roman"/>
          <w:color w:val="000000"/>
          <w:kern w:val="0"/>
          <w14:ligatures w14:val="none"/>
        </w:rPr>
        <w:t>single</w:t>
      </w:r>
      <w:r w:rsidR="002C7F5E">
        <w:rPr>
          <w:rFonts w:ascii="Times New Roman" w:eastAsia="Times New Roman" w:hAnsi="Times New Roman" w:cs="Times New Roman"/>
          <w:color w:val="000000"/>
          <w:kern w:val="0"/>
          <w14:ligatures w14:val="none"/>
        </w:rPr>
        <w:t xml:space="preserve"> </w:t>
      </w:r>
      <w:r w:rsidRPr="001024F0">
        <w:rPr>
          <w:rFonts w:ascii="Times New Roman" w:eastAsia="Times New Roman" w:hAnsi="Times New Roman" w:cs="Times New Roman"/>
          <w:color w:val="000000"/>
          <w:kern w:val="0"/>
          <w14:ligatures w14:val="none"/>
        </w:rPr>
        <w:t xml:space="preserve">parcel </w:t>
      </w:r>
      <w:r w:rsidR="005B5894">
        <w:rPr>
          <w:rFonts w:ascii="Times New Roman" w:eastAsia="Times New Roman" w:hAnsi="Times New Roman" w:cs="Times New Roman"/>
          <w:color w:val="000000"/>
          <w:kern w:val="0"/>
          <w14:ligatures w14:val="none"/>
        </w:rPr>
        <w:t>owners</w:t>
      </w:r>
      <w:r w:rsidRPr="001024F0">
        <w:rPr>
          <w:rFonts w:ascii="Times New Roman" w:eastAsia="Times New Roman" w:hAnsi="Times New Roman" w:cs="Times New Roman"/>
          <w:color w:val="000000"/>
          <w:kern w:val="0"/>
          <w14:ligatures w14:val="none"/>
        </w:rPr>
        <w:t xml:space="preserve"> serve as </w:t>
      </w:r>
      <w:r w:rsidR="005B5894">
        <w:rPr>
          <w:rFonts w:ascii="Times New Roman" w:eastAsia="Times New Roman" w:hAnsi="Times New Roman" w:cs="Times New Roman"/>
          <w:color w:val="000000"/>
          <w:kern w:val="0"/>
          <w14:ligatures w14:val="none"/>
        </w:rPr>
        <w:t xml:space="preserve">the </w:t>
      </w:r>
      <w:r w:rsidRPr="001024F0">
        <w:rPr>
          <w:rFonts w:ascii="Times New Roman" w:eastAsia="Times New Roman" w:hAnsi="Times New Roman" w:cs="Times New Roman"/>
          <w:color w:val="000000"/>
          <w:kern w:val="0"/>
          <w14:ligatures w14:val="none"/>
        </w:rPr>
        <w:t>reference group. A comprehensive dictionary of all variables is available in Table 1.</w:t>
      </w:r>
    </w:p>
    <w:p w14:paraId="4921A9BC" w14:textId="7AAFBF0F" w:rsidR="00E75B95" w:rsidRPr="005E1EE4" w:rsidRDefault="00E75B95" w:rsidP="00FA06E6">
      <w:pPr>
        <w:spacing w:after="100" w:afterAutospacing="1" w:line="240" w:lineRule="auto"/>
        <w:outlineLvl w:val="2"/>
        <w:rPr>
          <w:rFonts w:ascii="Times New Roman" w:eastAsia="Times New Roman" w:hAnsi="Times New Roman" w:cs="Times New Roman"/>
          <w:b/>
          <w:bCs/>
          <w:color w:val="000000"/>
          <w:kern w:val="0"/>
          <w14:ligatures w14:val="none"/>
        </w:rPr>
      </w:pPr>
      <w:r w:rsidRPr="005E1EE4">
        <w:rPr>
          <w:rFonts w:ascii="Times New Roman" w:eastAsia="Times New Roman" w:hAnsi="Times New Roman" w:cs="Times New Roman"/>
          <w:b/>
          <w:bCs/>
          <w:color w:val="000000"/>
          <w:kern w:val="0"/>
          <w14:ligatures w14:val="none"/>
        </w:rPr>
        <w:t>3.</w:t>
      </w:r>
      <w:r w:rsidR="00C31FF7">
        <w:rPr>
          <w:rFonts w:ascii="Times New Roman" w:eastAsia="Times New Roman" w:hAnsi="Times New Roman" w:cs="Times New Roman"/>
          <w:b/>
          <w:bCs/>
          <w:color w:val="000000"/>
          <w:kern w:val="0"/>
          <w14:ligatures w14:val="none"/>
        </w:rPr>
        <w:t>4</w:t>
      </w:r>
      <w:r w:rsidRPr="005E1EE4">
        <w:rPr>
          <w:rFonts w:ascii="Times New Roman" w:eastAsia="Times New Roman" w:hAnsi="Times New Roman" w:cs="Times New Roman"/>
          <w:b/>
          <w:bCs/>
          <w:color w:val="000000"/>
          <w:kern w:val="0"/>
          <w14:ligatures w14:val="none"/>
        </w:rPr>
        <w:t xml:space="preserve"> Spatial </w:t>
      </w:r>
      <w:r w:rsidR="005E1EE4" w:rsidRPr="005E1EE4">
        <w:rPr>
          <w:rFonts w:ascii="Times New Roman" w:eastAsia="Times New Roman" w:hAnsi="Times New Roman" w:cs="Times New Roman"/>
          <w:b/>
          <w:bCs/>
          <w:color w:val="000000"/>
          <w:kern w:val="0"/>
          <w14:ligatures w14:val="none"/>
        </w:rPr>
        <w:t>D</w:t>
      </w:r>
      <w:r w:rsidRPr="005E1EE4">
        <w:rPr>
          <w:rFonts w:ascii="Times New Roman" w:eastAsia="Times New Roman" w:hAnsi="Times New Roman" w:cs="Times New Roman"/>
          <w:b/>
          <w:bCs/>
          <w:color w:val="000000"/>
          <w:kern w:val="0"/>
          <w14:ligatures w14:val="none"/>
        </w:rPr>
        <w:t xml:space="preserve">iagnostics </w:t>
      </w:r>
    </w:p>
    <w:p w14:paraId="3AF9F844" w14:textId="7D3A0617" w:rsidR="009476E8" w:rsidRPr="009476E8" w:rsidRDefault="009476E8" w:rsidP="00FA06E6">
      <w:pPr>
        <w:pStyle w:val="NormalWeb"/>
        <w:spacing w:before="0" w:beforeAutospacing="0"/>
        <w:rPr>
          <w:color w:val="000000"/>
          <w:sz w:val="22"/>
          <w:szCs w:val="22"/>
        </w:rPr>
      </w:pPr>
      <w:r w:rsidRPr="009476E8">
        <w:rPr>
          <w:color w:val="000000"/>
          <w:sz w:val="22"/>
          <w:szCs w:val="22"/>
        </w:rPr>
        <w:t>A preliminary spatial analysis revealed that both flood exposure and certain ownership forms are not randomly distributed but instead exhibit significant geographic clustering. To formally test this, we calculated the global</w:t>
      </w:r>
      <w:r w:rsidRPr="009476E8">
        <w:rPr>
          <w:rStyle w:val="apple-converted-space"/>
          <w:rFonts w:eastAsiaTheme="majorEastAsia"/>
          <w:color w:val="000000"/>
          <w:sz w:val="22"/>
          <w:szCs w:val="22"/>
        </w:rPr>
        <w:t> </w:t>
      </w:r>
      <w:r w:rsidRPr="009476E8">
        <w:rPr>
          <w:color w:val="000000"/>
          <w:sz w:val="22"/>
          <w:szCs w:val="22"/>
        </w:rPr>
        <w:t>Moran’s I</w:t>
      </w:r>
      <w:r w:rsidRPr="009476E8">
        <w:rPr>
          <w:rStyle w:val="apple-converted-space"/>
          <w:rFonts w:eastAsiaTheme="majorEastAsia"/>
          <w:color w:val="000000"/>
          <w:sz w:val="22"/>
          <w:szCs w:val="22"/>
        </w:rPr>
        <w:t> </w:t>
      </w:r>
      <w:r w:rsidRPr="009476E8">
        <w:rPr>
          <w:color w:val="000000"/>
          <w:sz w:val="22"/>
          <w:szCs w:val="22"/>
        </w:rPr>
        <w:t>statistic, a measure of spatial autocorrelation. The test confirmed strong clustering for parcels located in flood hazard areas (I = 0.783) and significant, though more moderate, clustering for parcels owned by LLCs (I = 0.268) and Corporations (I = 0.196). A subsequent</w:t>
      </w:r>
      <w:r w:rsidRPr="009476E8">
        <w:rPr>
          <w:rStyle w:val="apple-converted-space"/>
          <w:rFonts w:eastAsiaTheme="majorEastAsia"/>
          <w:color w:val="000000"/>
          <w:sz w:val="22"/>
          <w:szCs w:val="22"/>
        </w:rPr>
        <w:t> </w:t>
      </w:r>
      <w:r w:rsidRPr="009476E8">
        <w:rPr>
          <w:color w:val="000000"/>
          <w:sz w:val="22"/>
          <w:szCs w:val="22"/>
        </w:rPr>
        <w:t>LISA</w:t>
      </w:r>
      <w:r w:rsidRPr="009476E8">
        <w:rPr>
          <w:rStyle w:val="apple-converted-space"/>
          <w:rFonts w:eastAsiaTheme="majorEastAsia"/>
          <w:color w:val="000000"/>
          <w:sz w:val="22"/>
          <w:szCs w:val="22"/>
        </w:rPr>
        <w:t> </w:t>
      </w:r>
      <w:r w:rsidRPr="009476E8">
        <w:rPr>
          <w:color w:val="000000"/>
          <w:sz w:val="22"/>
          <w:szCs w:val="22"/>
        </w:rPr>
        <w:t>(Local Indicators of Spatial Association) analysis identified the specific locations of these hotspots, revealing numerous high-risk clusters that align with the county's hydrography and known investment patterns.</w:t>
      </w:r>
    </w:p>
    <w:p w14:paraId="22B626BE" w14:textId="4A19D5CD" w:rsidR="009476E8" w:rsidRPr="009476E8" w:rsidRDefault="009476E8" w:rsidP="00FA06E6">
      <w:pPr>
        <w:pStyle w:val="NormalWeb"/>
        <w:spacing w:before="0" w:beforeAutospacing="0"/>
        <w:rPr>
          <w:color w:val="000000"/>
          <w:sz w:val="22"/>
          <w:szCs w:val="22"/>
        </w:rPr>
      </w:pPr>
      <w:r w:rsidRPr="009476E8">
        <w:rPr>
          <w:color w:val="000000"/>
          <w:sz w:val="22"/>
          <w:szCs w:val="22"/>
        </w:rPr>
        <w:t xml:space="preserve">This high degree of spatial clustering could confound the relationship between ownership and flood </w:t>
      </w:r>
      <w:r w:rsidR="001656DD">
        <w:rPr>
          <w:color w:val="000000"/>
          <w:sz w:val="22"/>
          <w:szCs w:val="22"/>
        </w:rPr>
        <w:t>exposure</w:t>
      </w:r>
      <w:r w:rsidRPr="009476E8">
        <w:rPr>
          <w:color w:val="000000"/>
          <w:sz w:val="22"/>
          <w:szCs w:val="22"/>
        </w:rPr>
        <w:t>. To address this, our primary model incorporate</w:t>
      </w:r>
      <w:r w:rsidR="001656DD">
        <w:rPr>
          <w:color w:val="000000"/>
          <w:sz w:val="22"/>
          <w:szCs w:val="22"/>
        </w:rPr>
        <w:t>s</w:t>
      </w:r>
      <w:r w:rsidRPr="009476E8">
        <w:rPr>
          <w:rStyle w:val="apple-converted-space"/>
          <w:rFonts w:eastAsiaTheme="majorEastAsia"/>
          <w:color w:val="000000"/>
          <w:sz w:val="22"/>
          <w:szCs w:val="22"/>
        </w:rPr>
        <w:t> </w:t>
      </w:r>
      <w:r w:rsidRPr="009476E8">
        <w:rPr>
          <w:color w:val="000000"/>
          <w:sz w:val="22"/>
          <w:szCs w:val="22"/>
        </w:rPr>
        <w:t xml:space="preserve">neighborhood fixed effects. This approach statistically controls for all unobserved, time-invariant characteristics shared by parcels within the same assessor neighborhood, such as localized drainage patterns, elevation, and historical subdivision design. By absorbing this micro-spatial heterogeneity, the fixed effects allow for a more robust estimate of the association between ownership structure and flood exposure. </w:t>
      </w:r>
    </w:p>
    <w:p w14:paraId="7BE6167C" w14:textId="2B68E35F" w:rsidR="00E75B95" w:rsidRPr="002A03F2" w:rsidRDefault="00E75B95" w:rsidP="00FA06E6">
      <w:pPr>
        <w:spacing w:after="100" w:afterAutospacing="1" w:line="240" w:lineRule="auto"/>
        <w:outlineLvl w:val="2"/>
        <w:rPr>
          <w:rFonts w:ascii="Times New Roman" w:eastAsia="Times New Roman" w:hAnsi="Times New Roman" w:cs="Times New Roman"/>
          <w:b/>
          <w:bCs/>
          <w:color w:val="000000"/>
          <w:kern w:val="0"/>
          <w14:ligatures w14:val="none"/>
        </w:rPr>
      </w:pPr>
      <w:r w:rsidRPr="002A03F2">
        <w:rPr>
          <w:rFonts w:ascii="Times New Roman" w:eastAsia="Times New Roman" w:hAnsi="Times New Roman" w:cs="Times New Roman"/>
          <w:b/>
          <w:bCs/>
          <w:color w:val="000000"/>
          <w:kern w:val="0"/>
          <w14:ligatures w14:val="none"/>
        </w:rPr>
        <w:t>3.</w:t>
      </w:r>
      <w:r w:rsidR="00C31FF7">
        <w:rPr>
          <w:rFonts w:ascii="Times New Roman" w:eastAsia="Times New Roman" w:hAnsi="Times New Roman" w:cs="Times New Roman"/>
          <w:b/>
          <w:bCs/>
          <w:color w:val="000000"/>
          <w:kern w:val="0"/>
          <w14:ligatures w14:val="none"/>
        </w:rPr>
        <w:t>5</w:t>
      </w:r>
      <w:r w:rsidRPr="002A03F2">
        <w:rPr>
          <w:rFonts w:ascii="Times New Roman" w:eastAsia="Times New Roman" w:hAnsi="Times New Roman" w:cs="Times New Roman"/>
          <w:b/>
          <w:bCs/>
          <w:color w:val="000000"/>
          <w:kern w:val="0"/>
          <w14:ligatures w14:val="none"/>
        </w:rPr>
        <w:t xml:space="preserve"> </w:t>
      </w:r>
      <w:r w:rsidR="000E2A9E">
        <w:rPr>
          <w:rFonts w:ascii="Times New Roman" w:eastAsia="Times New Roman" w:hAnsi="Times New Roman" w:cs="Times New Roman"/>
          <w:b/>
          <w:bCs/>
          <w:color w:val="000000"/>
          <w:kern w:val="0"/>
          <w14:ligatures w14:val="none"/>
        </w:rPr>
        <w:t xml:space="preserve">Model </w:t>
      </w:r>
      <w:r w:rsidR="002A03F2">
        <w:rPr>
          <w:rFonts w:ascii="Times New Roman" w:eastAsia="Times New Roman" w:hAnsi="Times New Roman" w:cs="Times New Roman"/>
          <w:b/>
          <w:bCs/>
          <w:color w:val="000000"/>
          <w:kern w:val="0"/>
          <w14:ligatures w14:val="none"/>
        </w:rPr>
        <w:t>S</w:t>
      </w:r>
      <w:r w:rsidRPr="002A03F2">
        <w:rPr>
          <w:rFonts w:ascii="Times New Roman" w:eastAsia="Times New Roman" w:hAnsi="Times New Roman" w:cs="Times New Roman"/>
          <w:b/>
          <w:bCs/>
          <w:color w:val="000000"/>
          <w:kern w:val="0"/>
          <w14:ligatures w14:val="none"/>
        </w:rPr>
        <w:t>pecification</w:t>
      </w:r>
      <w:r w:rsidR="002A03F2">
        <w:rPr>
          <w:rFonts w:ascii="Times New Roman" w:eastAsia="Times New Roman" w:hAnsi="Times New Roman" w:cs="Times New Roman"/>
          <w:b/>
          <w:bCs/>
          <w:color w:val="000000"/>
          <w:kern w:val="0"/>
          <w14:ligatures w14:val="none"/>
        </w:rPr>
        <w:t>s</w:t>
      </w:r>
    </w:p>
    <w:p w14:paraId="310DAC75" w14:textId="77777777" w:rsidR="00E22C9A" w:rsidRPr="00E22C9A" w:rsidRDefault="00E22C9A" w:rsidP="00FA06E6">
      <w:pPr>
        <w:pStyle w:val="NormalWeb"/>
        <w:spacing w:before="0" w:beforeAutospacing="0"/>
        <w:rPr>
          <w:color w:val="000000"/>
          <w:sz w:val="22"/>
          <w:szCs w:val="22"/>
        </w:rPr>
      </w:pPr>
      <w:r w:rsidRPr="00E22C9A">
        <w:rPr>
          <w:color w:val="000000"/>
          <w:sz w:val="22"/>
          <w:szCs w:val="22"/>
        </w:rPr>
        <w:t>To estimate the association between a parcel's ownership structure and its flood exposure, we use a</w:t>
      </w:r>
      <w:r w:rsidRPr="00E22C9A">
        <w:rPr>
          <w:rStyle w:val="apple-converted-space"/>
          <w:rFonts w:eastAsiaTheme="majorEastAsia"/>
          <w:color w:val="000000"/>
          <w:sz w:val="22"/>
          <w:szCs w:val="22"/>
        </w:rPr>
        <w:t> </w:t>
      </w:r>
      <w:r w:rsidRPr="00E22C9A">
        <w:rPr>
          <w:color w:val="000000"/>
          <w:sz w:val="22"/>
          <w:szCs w:val="22"/>
        </w:rPr>
        <w:t>modified Poisson generalized linear model (GLM)</w:t>
      </w:r>
      <w:r w:rsidRPr="00E22C9A">
        <w:rPr>
          <w:rStyle w:val="apple-converted-space"/>
          <w:rFonts w:eastAsiaTheme="majorEastAsia"/>
          <w:color w:val="000000"/>
          <w:sz w:val="22"/>
          <w:szCs w:val="22"/>
        </w:rPr>
        <w:t> </w:t>
      </w:r>
      <w:r w:rsidRPr="00E22C9A">
        <w:rPr>
          <w:color w:val="000000"/>
          <w:sz w:val="22"/>
          <w:szCs w:val="22"/>
        </w:rPr>
        <w:t>with a</w:t>
      </w:r>
      <w:r w:rsidRPr="00E22C9A">
        <w:rPr>
          <w:rStyle w:val="apple-converted-space"/>
          <w:rFonts w:eastAsiaTheme="majorEastAsia"/>
          <w:color w:val="000000"/>
          <w:sz w:val="22"/>
          <w:szCs w:val="22"/>
        </w:rPr>
        <w:t> </w:t>
      </w:r>
      <w:r w:rsidRPr="00E22C9A">
        <w:rPr>
          <w:color w:val="000000"/>
          <w:sz w:val="22"/>
          <w:szCs w:val="22"/>
        </w:rPr>
        <w:t>log link. This specific model is chosen because it allows the exponentiated coefficients to be directly interpreted as</w:t>
      </w:r>
      <w:r w:rsidRPr="00E22C9A">
        <w:rPr>
          <w:rStyle w:val="apple-converted-space"/>
          <w:rFonts w:eastAsiaTheme="majorEastAsia"/>
          <w:color w:val="000000"/>
          <w:sz w:val="22"/>
          <w:szCs w:val="22"/>
        </w:rPr>
        <w:t> </w:t>
      </w:r>
      <w:r w:rsidRPr="00E22C9A">
        <w:rPr>
          <w:color w:val="000000"/>
          <w:sz w:val="22"/>
          <w:szCs w:val="22"/>
        </w:rPr>
        <w:t>risk ratios (RR), which are more intuitive than odds ratios for a binary outcome in prospective studies (Zou, 2004). To ensure the statistical validity of our findings, we use</w:t>
      </w:r>
      <w:r w:rsidRPr="00E22C9A">
        <w:rPr>
          <w:rStyle w:val="apple-converted-space"/>
          <w:rFonts w:eastAsiaTheme="majorEastAsia"/>
          <w:color w:val="000000"/>
          <w:sz w:val="22"/>
          <w:szCs w:val="22"/>
        </w:rPr>
        <w:t> </w:t>
      </w:r>
      <w:r w:rsidRPr="00E22C9A">
        <w:rPr>
          <w:color w:val="000000"/>
          <w:sz w:val="22"/>
          <w:szCs w:val="22"/>
        </w:rPr>
        <w:t>HC3 robust</w:t>
      </w:r>
      <w:r w:rsidRPr="00E22C9A">
        <w:rPr>
          <w:rStyle w:val="apple-converted-space"/>
          <w:rFonts w:eastAsiaTheme="majorEastAsia"/>
          <w:color w:val="000000"/>
          <w:sz w:val="22"/>
          <w:szCs w:val="22"/>
        </w:rPr>
        <w:t> </w:t>
      </w:r>
      <w:r w:rsidRPr="00E22C9A">
        <w:rPr>
          <w:color w:val="000000"/>
          <w:sz w:val="22"/>
          <w:szCs w:val="22"/>
        </w:rPr>
        <w:t>standard errors.</w:t>
      </w:r>
    </w:p>
    <w:p w14:paraId="749DBFB2" w14:textId="349FA614" w:rsidR="00E22C9A" w:rsidRPr="00E22C9A" w:rsidRDefault="00E22C9A" w:rsidP="00FA06E6">
      <w:pPr>
        <w:pStyle w:val="NormalWeb"/>
        <w:spacing w:before="0" w:beforeAutospacing="0"/>
        <w:rPr>
          <w:color w:val="000000"/>
          <w:sz w:val="22"/>
          <w:szCs w:val="22"/>
        </w:rPr>
      </w:pPr>
      <w:r w:rsidRPr="00E22C9A">
        <w:rPr>
          <w:color w:val="000000"/>
          <w:sz w:val="22"/>
          <w:szCs w:val="22"/>
        </w:rPr>
        <w:t>The model is designed to isolate the effect of ownership by holding key confounding factors constant. The linear predictor includes indicator variables for each of the ten owner-types by portfolio-scale groups, controls for the log-transformed total value and acreage of the parcel, and a full set of</w:t>
      </w:r>
      <w:r w:rsidRPr="00E22C9A">
        <w:rPr>
          <w:rStyle w:val="apple-converted-space"/>
          <w:rFonts w:eastAsiaTheme="majorEastAsia"/>
          <w:color w:val="000000"/>
          <w:sz w:val="22"/>
          <w:szCs w:val="22"/>
        </w:rPr>
        <w:t> </w:t>
      </w:r>
      <w:r w:rsidRPr="00E22C9A">
        <w:rPr>
          <w:color w:val="000000"/>
          <w:sz w:val="22"/>
          <w:szCs w:val="22"/>
        </w:rPr>
        <w:t>neighborhood fixed effects. The results are presented as risk ratios for each owner group relative to single-parcel Individuals, along with their 95 percent confidence intervals. A catalog of all model variants and the samples used for each is provided in</w:t>
      </w:r>
      <w:r w:rsidRPr="00E22C9A">
        <w:rPr>
          <w:rStyle w:val="apple-converted-space"/>
          <w:rFonts w:eastAsiaTheme="majorEastAsia"/>
          <w:color w:val="000000"/>
          <w:sz w:val="22"/>
          <w:szCs w:val="22"/>
        </w:rPr>
        <w:t> </w:t>
      </w:r>
      <w:r w:rsidRPr="00E22C9A">
        <w:rPr>
          <w:color w:val="000000"/>
          <w:sz w:val="22"/>
          <w:szCs w:val="22"/>
        </w:rPr>
        <w:t xml:space="preserve">Table </w:t>
      </w:r>
      <w:r w:rsidR="005E6451">
        <w:rPr>
          <w:color w:val="000000"/>
          <w:sz w:val="22"/>
          <w:szCs w:val="22"/>
        </w:rPr>
        <w:t>6</w:t>
      </w:r>
      <w:r w:rsidRPr="00E22C9A">
        <w:rPr>
          <w:color w:val="000000"/>
          <w:sz w:val="22"/>
          <w:szCs w:val="22"/>
        </w:rPr>
        <w:t>.</w:t>
      </w:r>
    </w:p>
    <w:p w14:paraId="343F9F42" w14:textId="354A7BDE" w:rsidR="00E75B95" w:rsidRPr="00E75B95" w:rsidRDefault="00E75B95" w:rsidP="00FA06E6">
      <w:pPr>
        <w:spacing w:after="100" w:afterAutospacing="1" w:line="240" w:lineRule="auto"/>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 xml:space="preserve">Table </w:t>
      </w:r>
      <w:r w:rsidR="005E6451">
        <w:rPr>
          <w:rFonts w:ascii="Times New Roman" w:eastAsia="Times New Roman" w:hAnsi="Times New Roman" w:cs="Times New Roman"/>
          <w:color w:val="000000"/>
          <w:kern w:val="0"/>
          <w14:ligatures w14:val="none"/>
        </w:rPr>
        <w:t>6</w:t>
      </w:r>
      <w:r w:rsidRPr="00E75B95">
        <w:rPr>
          <w:rFonts w:ascii="Times New Roman" w:eastAsia="Times New Roman" w:hAnsi="Times New Roman" w:cs="Times New Roman"/>
          <w:color w:val="000000"/>
          <w:kern w:val="0"/>
          <w14:ligatures w14:val="none"/>
        </w:rPr>
        <w:t xml:space="preserve">. Model specifications </w:t>
      </w:r>
    </w:p>
    <w:tbl>
      <w:tblPr>
        <w:tblStyle w:val="PlainTable4"/>
        <w:tblW w:w="0" w:type="auto"/>
        <w:tblLook w:val="04A0" w:firstRow="1" w:lastRow="0" w:firstColumn="1" w:lastColumn="0" w:noHBand="0" w:noVBand="1"/>
      </w:tblPr>
      <w:tblGrid>
        <w:gridCol w:w="1145"/>
        <w:gridCol w:w="2464"/>
        <w:gridCol w:w="1231"/>
        <w:gridCol w:w="1561"/>
        <w:gridCol w:w="931"/>
        <w:gridCol w:w="1164"/>
        <w:gridCol w:w="864"/>
      </w:tblGrid>
      <w:tr w:rsidR="00CA71AE" w:rsidRPr="00E75B95" w14:paraId="2035E0A1" w14:textId="77777777" w:rsidTr="00F408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CD7AE6" w14:textId="77777777" w:rsidR="00E75B95" w:rsidRPr="00E75B95" w:rsidRDefault="00E75B95" w:rsidP="00FA06E6">
            <w:pPr>
              <w:jc w:val="center"/>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lastRenderedPageBreak/>
              <w:t>Label</w:t>
            </w:r>
          </w:p>
        </w:tc>
        <w:tc>
          <w:tcPr>
            <w:tcW w:w="2730" w:type="dxa"/>
            <w:hideMark/>
          </w:tcPr>
          <w:p w14:paraId="70F08DD0" w14:textId="77777777" w:rsidR="00E75B95" w:rsidRPr="00E75B95" w:rsidRDefault="00E75B95" w:rsidP="00FA06E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Specification</w:t>
            </w:r>
          </w:p>
        </w:tc>
        <w:tc>
          <w:tcPr>
            <w:tcW w:w="696" w:type="dxa"/>
            <w:hideMark/>
          </w:tcPr>
          <w:p w14:paraId="577D509C" w14:textId="77777777" w:rsidR="00E75B95" w:rsidRPr="00E75B95" w:rsidRDefault="00E75B95" w:rsidP="00FA06E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Distance term</w:t>
            </w:r>
          </w:p>
        </w:tc>
        <w:tc>
          <w:tcPr>
            <w:tcW w:w="0" w:type="auto"/>
            <w:hideMark/>
          </w:tcPr>
          <w:p w14:paraId="7D8A47A9" w14:textId="77777777" w:rsidR="00E75B95" w:rsidRPr="00E75B95" w:rsidRDefault="00E75B95" w:rsidP="00FA06E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Neighborhood FE</w:t>
            </w:r>
          </w:p>
        </w:tc>
        <w:tc>
          <w:tcPr>
            <w:tcW w:w="0" w:type="auto"/>
            <w:hideMark/>
          </w:tcPr>
          <w:p w14:paraId="3CEC1A2D" w14:textId="7B727064" w:rsidR="00E75B95" w:rsidRPr="00E75B95" w:rsidRDefault="00E75B95" w:rsidP="00FA06E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full SFR</w:t>
            </w:r>
          </w:p>
        </w:tc>
        <w:tc>
          <w:tcPr>
            <w:tcW w:w="0" w:type="auto"/>
            <w:hideMark/>
          </w:tcPr>
          <w:p w14:paraId="48B50CE2" w14:textId="3B2A836B" w:rsidR="00E75B95" w:rsidRPr="00E75B95" w:rsidRDefault="00E75B95" w:rsidP="00FA06E6">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 xml:space="preserve"> high</w:t>
            </w:r>
            <w:r w:rsidRPr="00E75B95">
              <w:rPr>
                <w:rFonts w:ascii="Times New Roman" w:eastAsia="Times New Roman" w:hAnsi="Times New Roman" w:cs="Times New Roman"/>
                <w:color w:val="000000"/>
                <w:kern w:val="0"/>
                <w14:ligatures w14:val="none"/>
              </w:rPr>
              <w:noBreakHyphen/>
              <w:t>conf.</w:t>
            </w:r>
          </w:p>
        </w:tc>
        <w:tc>
          <w:tcPr>
            <w:tcW w:w="0" w:type="auto"/>
            <w:hideMark/>
          </w:tcPr>
          <w:p w14:paraId="64BC2074" w14:textId="77777777" w:rsidR="00E75B95" w:rsidRPr="00E75B95" w:rsidRDefault="00E75B95" w:rsidP="00FA06E6">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FE groups</w:t>
            </w:r>
          </w:p>
        </w:tc>
      </w:tr>
      <w:tr w:rsidR="00CA71AE" w:rsidRPr="00E75B95" w14:paraId="6A94DCF2" w14:textId="77777777" w:rsidTr="00F40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735D6" w14:textId="77777777" w:rsidR="00E75B95" w:rsidRPr="00E75B95" w:rsidRDefault="00E75B95" w:rsidP="00FA06E6">
            <w:pPr>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M0</w:t>
            </w:r>
          </w:p>
        </w:tc>
        <w:tc>
          <w:tcPr>
            <w:tcW w:w="2730" w:type="dxa"/>
            <w:hideMark/>
          </w:tcPr>
          <w:p w14:paraId="1FD9392C" w14:textId="70DB3B23" w:rsidR="00E75B95" w:rsidRPr="00E75B95" w:rsidRDefault="00E75B95" w:rsidP="00FA06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 xml:space="preserve">Entity × Scale indicators </w:t>
            </w:r>
          </w:p>
        </w:tc>
        <w:tc>
          <w:tcPr>
            <w:tcW w:w="696" w:type="dxa"/>
            <w:hideMark/>
          </w:tcPr>
          <w:p w14:paraId="6B730C12" w14:textId="77777777" w:rsidR="00E75B95" w:rsidRPr="00E75B95" w:rsidRDefault="00E75B95" w:rsidP="00FA06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w:t>
            </w:r>
          </w:p>
        </w:tc>
        <w:tc>
          <w:tcPr>
            <w:tcW w:w="0" w:type="auto"/>
            <w:hideMark/>
          </w:tcPr>
          <w:p w14:paraId="37A30C7F" w14:textId="77777777" w:rsidR="00E75B95" w:rsidRPr="00E75B95" w:rsidRDefault="00E75B95" w:rsidP="00FA06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No</w:t>
            </w:r>
          </w:p>
        </w:tc>
        <w:tc>
          <w:tcPr>
            <w:tcW w:w="0" w:type="auto"/>
            <w:hideMark/>
          </w:tcPr>
          <w:p w14:paraId="052324A7"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184,333</w:t>
            </w:r>
          </w:p>
        </w:tc>
        <w:tc>
          <w:tcPr>
            <w:tcW w:w="0" w:type="auto"/>
            <w:hideMark/>
          </w:tcPr>
          <w:p w14:paraId="3041DD35"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181,156</w:t>
            </w:r>
          </w:p>
        </w:tc>
        <w:tc>
          <w:tcPr>
            <w:tcW w:w="0" w:type="auto"/>
            <w:hideMark/>
          </w:tcPr>
          <w:p w14:paraId="69CFF91E"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w:t>
            </w:r>
          </w:p>
        </w:tc>
      </w:tr>
      <w:tr w:rsidR="00CA71AE" w:rsidRPr="00E75B95" w14:paraId="3E96D93F" w14:textId="77777777" w:rsidTr="00F408EE">
        <w:tc>
          <w:tcPr>
            <w:cnfStyle w:val="001000000000" w:firstRow="0" w:lastRow="0" w:firstColumn="1" w:lastColumn="0" w:oddVBand="0" w:evenVBand="0" w:oddHBand="0" w:evenHBand="0" w:firstRowFirstColumn="0" w:firstRowLastColumn="0" w:lastRowFirstColumn="0" w:lastRowLastColumn="0"/>
            <w:tcW w:w="0" w:type="auto"/>
            <w:hideMark/>
          </w:tcPr>
          <w:p w14:paraId="6BED2314" w14:textId="77777777" w:rsidR="00E75B95" w:rsidRPr="00E75B95" w:rsidRDefault="00E75B95" w:rsidP="00FA06E6">
            <w:pPr>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M1</w:t>
            </w:r>
          </w:p>
        </w:tc>
        <w:tc>
          <w:tcPr>
            <w:tcW w:w="2730" w:type="dxa"/>
            <w:hideMark/>
          </w:tcPr>
          <w:p w14:paraId="03679714" w14:textId="77777777" w:rsidR="00E75B95" w:rsidRPr="00E75B95" w:rsidRDefault="00E75B95" w:rsidP="00FA06E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M0 + log(value) + log(acres)</w:t>
            </w:r>
          </w:p>
        </w:tc>
        <w:tc>
          <w:tcPr>
            <w:tcW w:w="696" w:type="dxa"/>
            <w:hideMark/>
          </w:tcPr>
          <w:p w14:paraId="381B8174" w14:textId="77777777" w:rsidR="00E75B95" w:rsidRPr="00E75B95" w:rsidRDefault="00E75B95" w:rsidP="00FA06E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w:t>
            </w:r>
          </w:p>
        </w:tc>
        <w:tc>
          <w:tcPr>
            <w:tcW w:w="0" w:type="auto"/>
            <w:hideMark/>
          </w:tcPr>
          <w:p w14:paraId="124218E8" w14:textId="77777777" w:rsidR="00E75B95" w:rsidRPr="00E75B95" w:rsidRDefault="00E75B95" w:rsidP="00FA06E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No</w:t>
            </w:r>
          </w:p>
        </w:tc>
        <w:tc>
          <w:tcPr>
            <w:tcW w:w="0" w:type="auto"/>
            <w:hideMark/>
          </w:tcPr>
          <w:p w14:paraId="0CC246FD" w14:textId="77777777" w:rsidR="00E75B95" w:rsidRPr="00E75B95" w:rsidRDefault="00E75B95"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184,333</w:t>
            </w:r>
          </w:p>
        </w:tc>
        <w:tc>
          <w:tcPr>
            <w:tcW w:w="0" w:type="auto"/>
            <w:hideMark/>
          </w:tcPr>
          <w:p w14:paraId="142A0F0F" w14:textId="77777777" w:rsidR="00E75B95" w:rsidRPr="00E75B95" w:rsidRDefault="00E75B95"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181,156</w:t>
            </w:r>
          </w:p>
        </w:tc>
        <w:tc>
          <w:tcPr>
            <w:tcW w:w="0" w:type="auto"/>
            <w:hideMark/>
          </w:tcPr>
          <w:p w14:paraId="2C90804D" w14:textId="77777777" w:rsidR="00E75B95" w:rsidRPr="00E75B95" w:rsidRDefault="00E75B95"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w:t>
            </w:r>
          </w:p>
        </w:tc>
      </w:tr>
      <w:tr w:rsidR="00CA71AE" w:rsidRPr="00E75B95" w14:paraId="134CF8BF" w14:textId="77777777" w:rsidTr="00F40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192678" w14:textId="77777777" w:rsidR="00E75B95" w:rsidRPr="00E75B95" w:rsidRDefault="00E75B95" w:rsidP="00FA06E6">
            <w:pPr>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M2 (primary)</w:t>
            </w:r>
          </w:p>
        </w:tc>
        <w:tc>
          <w:tcPr>
            <w:tcW w:w="2730" w:type="dxa"/>
            <w:hideMark/>
          </w:tcPr>
          <w:p w14:paraId="2BE5A89B" w14:textId="77777777" w:rsidR="00E75B95" w:rsidRPr="00E75B95" w:rsidRDefault="00E75B95" w:rsidP="00FA06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M1 + neighborhood FE</w:t>
            </w:r>
          </w:p>
        </w:tc>
        <w:tc>
          <w:tcPr>
            <w:tcW w:w="696" w:type="dxa"/>
            <w:hideMark/>
          </w:tcPr>
          <w:p w14:paraId="24820213" w14:textId="77777777" w:rsidR="00E75B95" w:rsidRPr="00E75B95" w:rsidRDefault="00E75B95" w:rsidP="00FA06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w:t>
            </w:r>
          </w:p>
        </w:tc>
        <w:tc>
          <w:tcPr>
            <w:tcW w:w="0" w:type="auto"/>
            <w:hideMark/>
          </w:tcPr>
          <w:p w14:paraId="2A965C7C" w14:textId="77777777" w:rsidR="00E75B95" w:rsidRPr="00E75B95" w:rsidRDefault="00E75B95" w:rsidP="00FA06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Yes</w:t>
            </w:r>
          </w:p>
        </w:tc>
        <w:tc>
          <w:tcPr>
            <w:tcW w:w="0" w:type="auto"/>
            <w:hideMark/>
          </w:tcPr>
          <w:p w14:paraId="6566C2C2"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182,911</w:t>
            </w:r>
          </w:p>
        </w:tc>
        <w:tc>
          <w:tcPr>
            <w:tcW w:w="0" w:type="auto"/>
            <w:hideMark/>
          </w:tcPr>
          <w:p w14:paraId="324A71C8"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179,797</w:t>
            </w:r>
          </w:p>
        </w:tc>
        <w:tc>
          <w:tcPr>
            <w:tcW w:w="0" w:type="auto"/>
            <w:hideMark/>
          </w:tcPr>
          <w:p w14:paraId="6CFBCF4F"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470</w:t>
            </w:r>
          </w:p>
        </w:tc>
      </w:tr>
      <w:tr w:rsidR="00CA71AE" w:rsidRPr="00E75B95" w14:paraId="310E5700" w14:textId="77777777" w:rsidTr="00F408EE">
        <w:tc>
          <w:tcPr>
            <w:cnfStyle w:val="001000000000" w:firstRow="0" w:lastRow="0" w:firstColumn="1" w:lastColumn="0" w:oddVBand="0" w:evenVBand="0" w:oddHBand="0" w:evenHBand="0" w:firstRowFirstColumn="0" w:firstRowLastColumn="0" w:lastRowFirstColumn="0" w:lastRowLastColumn="0"/>
            <w:tcW w:w="0" w:type="auto"/>
            <w:hideMark/>
          </w:tcPr>
          <w:p w14:paraId="0AEF7236" w14:textId="77777777" w:rsidR="00E75B95" w:rsidRPr="00E75B95" w:rsidRDefault="00E75B95" w:rsidP="00FA06E6">
            <w:pPr>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M3</w:t>
            </w:r>
          </w:p>
        </w:tc>
        <w:tc>
          <w:tcPr>
            <w:tcW w:w="2730" w:type="dxa"/>
            <w:hideMark/>
          </w:tcPr>
          <w:p w14:paraId="1EFD2549" w14:textId="77777777" w:rsidR="00E75B95" w:rsidRPr="00E75B95" w:rsidRDefault="00E75B95" w:rsidP="00FA06E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M1 + log(1+distance)</w:t>
            </w:r>
          </w:p>
        </w:tc>
        <w:tc>
          <w:tcPr>
            <w:tcW w:w="696" w:type="dxa"/>
            <w:hideMark/>
          </w:tcPr>
          <w:p w14:paraId="708C26AD" w14:textId="77777777" w:rsidR="00E75B95" w:rsidRPr="00E75B95" w:rsidRDefault="00E75B95" w:rsidP="00FA06E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Continuous</w:t>
            </w:r>
          </w:p>
        </w:tc>
        <w:tc>
          <w:tcPr>
            <w:tcW w:w="0" w:type="auto"/>
            <w:hideMark/>
          </w:tcPr>
          <w:p w14:paraId="4BB4ADCA" w14:textId="77777777" w:rsidR="00E75B95" w:rsidRPr="00E75B95" w:rsidRDefault="00E75B95" w:rsidP="00FA06E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No</w:t>
            </w:r>
          </w:p>
        </w:tc>
        <w:tc>
          <w:tcPr>
            <w:tcW w:w="0" w:type="auto"/>
            <w:hideMark/>
          </w:tcPr>
          <w:p w14:paraId="6D7BEA48" w14:textId="77777777" w:rsidR="00E75B95" w:rsidRPr="00E75B95" w:rsidRDefault="00E75B95"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184,333</w:t>
            </w:r>
          </w:p>
        </w:tc>
        <w:tc>
          <w:tcPr>
            <w:tcW w:w="0" w:type="auto"/>
            <w:hideMark/>
          </w:tcPr>
          <w:p w14:paraId="45D7CC6F" w14:textId="77777777" w:rsidR="00E75B95" w:rsidRPr="00E75B95" w:rsidRDefault="00E75B95"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181,156</w:t>
            </w:r>
          </w:p>
        </w:tc>
        <w:tc>
          <w:tcPr>
            <w:tcW w:w="0" w:type="auto"/>
            <w:hideMark/>
          </w:tcPr>
          <w:p w14:paraId="02CA96F8" w14:textId="77777777" w:rsidR="00E75B95" w:rsidRPr="00E75B95" w:rsidRDefault="00E75B95"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w:t>
            </w:r>
          </w:p>
        </w:tc>
      </w:tr>
      <w:tr w:rsidR="00CA71AE" w:rsidRPr="00E75B95" w14:paraId="34D738FF" w14:textId="77777777" w:rsidTr="00F40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2C699B" w14:textId="77777777" w:rsidR="00E75B95" w:rsidRPr="00E75B95" w:rsidRDefault="00E75B95" w:rsidP="00FA06E6">
            <w:pPr>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M4</w:t>
            </w:r>
          </w:p>
        </w:tc>
        <w:tc>
          <w:tcPr>
            <w:tcW w:w="2730" w:type="dxa"/>
            <w:hideMark/>
          </w:tcPr>
          <w:p w14:paraId="58DC182E" w14:textId="77777777" w:rsidR="00E75B95" w:rsidRPr="00E75B95" w:rsidRDefault="00E75B95" w:rsidP="00FA06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M1 + log(1+distance) + neighborhood FE</w:t>
            </w:r>
          </w:p>
        </w:tc>
        <w:tc>
          <w:tcPr>
            <w:tcW w:w="696" w:type="dxa"/>
            <w:hideMark/>
          </w:tcPr>
          <w:p w14:paraId="0E987162" w14:textId="77777777" w:rsidR="00E75B95" w:rsidRPr="00E75B95" w:rsidRDefault="00E75B95" w:rsidP="00FA06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Continuous</w:t>
            </w:r>
          </w:p>
        </w:tc>
        <w:tc>
          <w:tcPr>
            <w:tcW w:w="0" w:type="auto"/>
            <w:hideMark/>
          </w:tcPr>
          <w:p w14:paraId="094279D2" w14:textId="77777777" w:rsidR="00E75B95" w:rsidRPr="00E75B95" w:rsidRDefault="00E75B95" w:rsidP="00FA06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Yes</w:t>
            </w:r>
          </w:p>
        </w:tc>
        <w:tc>
          <w:tcPr>
            <w:tcW w:w="0" w:type="auto"/>
            <w:hideMark/>
          </w:tcPr>
          <w:p w14:paraId="56483020"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182,911</w:t>
            </w:r>
          </w:p>
        </w:tc>
        <w:tc>
          <w:tcPr>
            <w:tcW w:w="0" w:type="auto"/>
            <w:hideMark/>
          </w:tcPr>
          <w:p w14:paraId="2A6B165D"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179,797</w:t>
            </w:r>
          </w:p>
        </w:tc>
        <w:tc>
          <w:tcPr>
            <w:tcW w:w="0" w:type="auto"/>
            <w:hideMark/>
          </w:tcPr>
          <w:p w14:paraId="6945C659" w14:textId="77777777" w:rsidR="00E75B95" w:rsidRPr="00E75B95" w:rsidRDefault="00E75B95"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470</w:t>
            </w:r>
          </w:p>
        </w:tc>
      </w:tr>
    </w:tbl>
    <w:p w14:paraId="4D1687AC" w14:textId="1D0C8040" w:rsidR="00C95C2A" w:rsidRDefault="00C95C2A" w:rsidP="00FA06E6">
      <w:pPr>
        <w:spacing w:after="100" w:afterAutospacing="1" w:line="240" w:lineRule="auto"/>
        <w:rPr>
          <w:rFonts w:ascii="Times New Roman" w:eastAsia="Times New Roman" w:hAnsi="Times New Roman" w:cs="Times New Roman"/>
          <w:b/>
          <w:bCs/>
          <w:color w:val="000000"/>
          <w:kern w:val="0"/>
          <w14:ligatures w14:val="none"/>
        </w:rPr>
      </w:pPr>
      <w:r w:rsidRPr="009476E8">
        <w:rPr>
          <w:rFonts w:ascii="Times New Roman" w:eastAsia="Times New Roman" w:hAnsi="Times New Roman" w:cs="Times New Roman"/>
          <w:b/>
          <w:bCs/>
          <w:color w:val="000000"/>
          <w:kern w:val="0"/>
          <w14:ligatures w14:val="none"/>
        </w:rPr>
        <w:t>3.</w:t>
      </w:r>
      <w:r w:rsidR="00C31FF7">
        <w:rPr>
          <w:rFonts w:ascii="Times New Roman" w:eastAsia="Times New Roman" w:hAnsi="Times New Roman" w:cs="Times New Roman"/>
          <w:b/>
          <w:bCs/>
          <w:color w:val="000000"/>
          <w:kern w:val="0"/>
          <w14:ligatures w14:val="none"/>
        </w:rPr>
        <w:t>6</w:t>
      </w:r>
      <w:r w:rsidRPr="009476E8">
        <w:rPr>
          <w:rFonts w:ascii="Times New Roman" w:eastAsia="Times New Roman" w:hAnsi="Times New Roman" w:cs="Times New Roman"/>
          <w:b/>
          <w:bCs/>
          <w:color w:val="000000"/>
          <w:kern w:val="0"/>
          <w14:ligatures w14:val="none"/>
        </w:rPr>
        <w:t xml:space="preserve"> </w:t>
      </w:r>
      <w:r w:rsidR="00E75B95" w:rsidRPr="009476E8">
        <w:rPr>
          <w:rFonts w:ascii="Times New Roman" w:eastAsia="Times New Roman" w:hAnsi="Times New Roman" w:cs="Times New Roman"/>
          <w:b/>
          <w:bCs/>
          <w:color w:val="000000"/>
          <w:kern w:val="0"/>
          <w14:ligatures w14:val="none"/>
        </w:rPr>
        <w:t xml:space="preserve">Multiple </w:t>
      </w:r>
      <w:r w:rsidR="009476E8">
        <w:rPr>
          <w:rFonts w:ascii="Times New Roman" w:eastAsia="Times New Roman" w:hAnsi="Times New Roman" w:cs="Times New Roman"/>
          <w:b/>
          <w:bCs/>
          <w:color w:val="000000"/>
          <w:kern w:val="0"/>
          <w14:ligatures w14:val="none"/>
        </w:rPr>
        <w:t>T</w:t>
      </w:r>
      <w:r w:rsidR="00E75B95" w:rsidRPr="009476E8">
        <w:rPr>
          <w:rFonts w:ascii="Times New Roman" w:eastAsia="Times New Roman" w:hAnsi="Times New Roman" w:cs="Times New Roman"/>
          <w:b/>
          <w:bCs/>
          <w:color w:val="000000"/>
          <w:kern w:val="0"/>
          <w14:ligatures w14:val="none"/>
        </w:rPr>
        <w:t xml:space="preserve">esting &amp; </w:t>
      </w:r>
      <w:r w:rsidR="009476E8">
        <w:rPr>
          <w:rFonts w:ascii="Times New Roman" w:eastAsia="Times New Roman" w:hAnsi="Times New Roman" w:cs="Times New Roman"/>
          <w:b/>
          <w:bCs/>
          <w:color w:val="000000"/>
          <w:kern w:val="0"/>
          <w14:ligatures w14:val="none"/>
        </w:rPr>
        <w:t>I</w:t>
      </w:r>
      <w:r w:rsidR="00E75B95" w:rsidRPr="009476E8">
        <w:rPr>
          <w:rFonts w:ascii="Times New Roman" w:eastAsia="Times New Roman" w:hAnsi="Times New Roman" w:cs="Times New Roman"/>
          <w:b/>
          <w:bCs/>
          <w:color w:val="000000"/>
          <w:kern w:val="0"/>
          <w14:ligatures w14:val="none"/>
        </w:rPr>
        <w:t>nterpretation</w:t>
      </w:r>
    </w:p>
    <w:p w14:paraId="4F5995C1" w14:textId="4066AD43" w:rsidR="001069E7" w:rsidRPr="001069E7" w:rsidRDefault="00BE7CF6" w:rsidP="00FA06E6">
      <w:pPr>
        <w:spacing w:after="100" w:afterAutospacing="1" w:line="240" w:lineRule="auto"/>
        <w:rPr>
          <w:rFonts w:ascii="Times New Roman" w:eastAsia="Times New Roman" w:hAnsi="Times New Roman" w:cs="Times New Roman"/>
          <w:color w:val="000000"/>
          <w:kern w:val="0"/>
          <w14:ligatures w14:val="none"/>
        </w:rPr>
      </w:pPr>
      <w:r w:rsidRPr="00CA71AE">
        <w:rPr>
          <w:rFonts w:ascii="Times New Roman" w:eastAsia="Times New Roman" w:hAnsi="Times New Roman" w:cs="Times New Roman"/>
          <w:noProof/>
          <w:color w:val="000000"/>
          <w:kern w:val="0"/>
          <w14:ligatures w14:val="none"/>
        </w:rPr>
        <w:drawing>
          <wp:anchor distT="0" distB="0" distL="114300" distR="114300" simplePos="0" relativeHeight="251666432" behindDoc="0" locked="0" layoutInCell="1" allowOverlap="1" wp14:anchorId="1DE354B7" wp14:editId="3E11B670">
            <wp:simplePos x="0" y="0"/>
            <wp:positionH relativeFrom="column">
              <wp:posOffset>0</wp:posOffset>
            </wp:positionH>
            <wp:positionV relativeFrom="paragraph">
              <wp:posOffset>580390</wp:posOffset>
            </wp:positionV>
            <wp:extent cx="4935855" cy="4330065"/>
            <wp:effectExtent l="0" t="0" r="4445" b="635"/>
            <wp:wrapTopAndBottom/>
            <wp:docPr id="336828048" name="Picture 1" descr="A table of mathematical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28048" name="Picture 1" descr="A table of mathematical equation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35855" cy="4330065"/>
                    </a:xfrm>
                    <a:prstGeom prst="rect">
                      <a:avLst/>
                    </a:prstGeom>
                  </pic:spPr>
                </pic:pic>
              </a:graphicData>
            </a:graphic>
            <wp14:sizeRelH relativeFrom="page">
              <wp14:pctWidth>0</wp14:pctWidth>
            </wp14:sizeRelH>
            <wp14:sizeRelV relativeFrom="page">
              <wp14:pctHeight>0</wp14:pctHeight>
            </wp14:sizeRelV>
          </wp:anchor>
        </w:drawing>
      </w:r>
      <w:r w:rsidR="004771BB">
        <w:rPr>
          <w:rFonts w:ascii="Times New Roman" w:eastAsia="Times New Roman" w:hAnsi="Times New Roman" w:cs="Times New Roman"/>
          <w:color w:val="000000"/>
          <w:kern w:val="0"/>
          <w14:ligatures w14:val="none"/>
        </w:rPr>
        <w:t>This study</w:t>
      </w:r>
      <w:r w:rsidR="001069E7" w:rsidRPr="001069E7">
        <w:rPr>
          <w:rFonts w:ascii="Times New Roman" w:eastAsia="Times New Roman" w:hAnsi="Times New Roman" w:cs="Times New Roman"/>
          <w:color w:val="000000"/>
          <w:kern w:val="0"/>
          <w14:ligatures w14:val="none"/>
        </w:rPr>
        <w:t xml:space="preserve"> was designed to test several key hypotheses. The primary, prespecified contrast compares the flood exposure of single</w:t>
      </w:r>
      <w:r w:rsidR="00A257B4">
        <w:rPr>
          <w:rFonts w:ascii="Times New Roman" w:eastAsia="Times New Roman" w:hAnsi="Times New Roman" w:cs="Times New Roman"/>
          <w:color w:val="000000"/>
          <w:kern w:val="0"/>
          <w14:ligatures w14:val="none"/>
        </w:rPr>
        <w:t xml:space="preserve"> </w:t>
      </w:r>
      <w:r w:rsidR="001069E7" w:rsidRPr="001069E7">
        <w:rPr>
          <w:rFonts w:ascii="Times New Roman" w:eastAsia="Times New Roman" w:hAnsi="Times New Roman" w:cs="Times New Roman"/>
          <w:color w:val="000000"/>
          <w:kern w:val="0"/>
          <w14:ligatures w14:val="none"/>
        </w:rPr>
        <w:t>parcel LLCs to our reference group of single</w:t>
      </w:r>
      <w:r w:rsidR="00A257B4">
        <w:rPr>
          <w:rFonts w:ascii="Times New Roman" w:eastAsia="Times New Roman" w:hAnsi="Times New Roman" w:cs="Times New Roman"/>
          <w:color w:val="000000"/>
          <w:kern w:val="0"/>
          <w14:ligatures w14:val="none"/>
        </w:rPr>
        <w:t xml:space="preserve"> </w:t>
      </w:r>
      <w:r w:rsidR="001069E7" w:rsidRPr="001069E7">
        <w:rPr>
          <w:rFonts w:ascii="Times New Roman" w:eastAsia="Times New Roman" w:hAnsi="Times New Roman" w:cs="Times New Roman"/>
          <w:color w:val="000000"/>
          <w:kern w:val="0"/>
          <w14:ligatures w14:val="none"/>
        </w:rPr>
        <w:t>parcel</w:t>
      </w:r>
      <w:r w:rsidR="00A257B4">
        <w:rPr>
          <w:rFonts w:ascii="Times New Roman" w:eastAsia="Times New Roman" w:hAnsi="Times New Roman" w:cs="Times New Roman"/>
          <w:color w:val="000000"/>
          <w:kern w:val="0"/>
          <w14:ligatures w14:val="none"/>
        </w:rPr>
        <w:t xml:space="preserve"> owning</w:t>
      </w:r>
      <w:r w:rsidR="001069E7" w:rsidRPr="001069E7">
        <w:rPr>
          <w:rFonts w:ascii="Times New Roman" w:eastAsia="Times New Roman" w:hAnsi="Times New Roman" w:cs="Times New Roman"/>
          <w:color w:val="000000"/>
          <w:kern w:val="0"/>
          <w14:ligatures w14:val="none"/>
        </w:rPr>
        <w:t xml:space="preserve"> </w:t>
      </w:r>
      <w:r w:rsidR="00A257B4">
        <w:rPr>
          <w:rFonts w:ascii="Times New Roman" w:eastAsia="Times New Roman" w:hAnsi="Times New Roman" w:cs="Times New Roman"/>
          <w:color w:val="000000"/>
          <w:kern w:val="0"/>
          <w14:ligatures w14:val="none"/>
        </w:rPr>
        <w:t>i</w:t>
      </w:r>
      <w:r w:rsidR="001069E7" w:rsidRPr="001069E7">
        <w:rPr>
          <w:rFonts w:ascii="Times New Roman" w:eastAsia="Times New Roman" w:hAnsi="Times New Roman" w:cs="Times New Roman"/>
          <w:color w:val="000000"/>
          <w:kern w:val="0"/>
          <w14:ligatures w14:val="none"/>
        </w:rPr>
        <w:t>ndividuals. We also conduct secondary analyses to explore the role of portfolio scale within each organizational form, using Wald tests to compare single- and multi-parcel owners for LLCs, Corporations, Trusts, and Government/Nonprofits. To account for these multiple comparisons, we control the false discovery rate</w:t>
      </w:r>
      <w:r w:rsidR="00DE534E">
        <w:rPr>
          <w:rFonts w:ascii="Times New Roman" w:eastAsia="Times New Roman" w:hAnsi="Times New Roman" w:cs="Times New Roman"/>
          <w:color w:val="000000"/>
          <w:kern w:val="0"/>
          <w14:ligatures w14:val="none"/>
        </w:rPr>
        <w:t xml:space="preserve"> (FDR)</w:t>
      </w:r>
      <w:r w:rsidR="001069E7" w:rsidRPr="001069E7">
        <w:rPr>
          <w:rFonts w:ascii="Times New Roman" w:eastAsia="Times New Roman" w:hAnsi="Times New Roman" w:cs="Times New Roman"/>
          <w:color w:val="000000"/>
          <w:kern w:val="0"/>
          <w14:ligatures w14:val="none"/>
        </w:rPr>
        <w:t xml:space="preserve"> using the Benjamini-Hochberg procedure (Benjamini &amp; Hochberg, 1995). To make the model's outputs more intuitive, we translate the adjusted risk ratios into expected baseline differences, expressing the results as the number of flood-exposed parcels per 1,000 for each group.</w:t>
      </w:r>
    </w:p>
    <w:p w14:paraId="1E636D2D" w14:textId="1E32F861" w:rsidR="00D82F08" w:rsidRPr="00A23DB1" w:rsidRDefault="001069E7" w:rsidP="00FA06E6">
      <w:pPr>
        <w:spacing w:after="100" w:afterAutospacing="1" w:line="240" w:lineRule="auto"/>
        <w:rPr>
          <w:rFonts w:ascii="Times New Roman" w:eastAsia="Times New Roman" w:hAnsi="Times New Roman" w:cs="Times New Roman"/>
          <w:b/>
          <w:bCs/>
          <w:color w:val="000000"/>
          <w:kern w:val="0"/>
          <w14:ligatures w14:val="none"/>
        </w:rPr>
      </w:pPr>
      <w:r w:rsidRPr="001069E7">
        <w:rPr>
          <w:rFonts w:ascii="Times New Roman" w:eastAsia="Times New Roman" w:hAnsi="Times New Roman" w:cs="Times New Roman"/>
          <w:color w:val="000000"/>
          <w:kern w:val="0"/>
          <w14:ligatures w14:val="none"/>
        </w:rPr>
        <w:t xml:space="preserve">In a separate descriptive analysis, we </w:t>
      </w:r>
      <w:r w:rsidR="00F05790">
        <w:rPr>
          <w:rFonts w:ascii="Times New Roman" w:eastAsia="Times New Roman" w:hAnsi="Times New Roman" w:cs="Times New Roman"/>
          <w:color w:val="000000"/>
          <w:kern w:val="0"/>
          <w14:ligatures w14:val="none"/>
        </w:rPr>
        <w:t>seek</w:t>
      </w:r>
      <w:r w:rsidRPr="001069E7">
        <w:rPr>
          <w:rFonts w:ascii="Times New Roman" w:eastAsia="Times New Roman" w:hAnsi="Times New Roman" w:cs="Times New Roman"/>
          <w:color w:val="000000"/>
          <w:kern w:val="0"/>
          <w14:ligatures w14:val="none"/>
        </w:rPr>
        <w:t xml:space="preserve"> to quantify how the ownership of flood-exposed parcels is concentrated within each organizational form. For this, we construct Lorenz curves and calculat</w:t>
      </w:r>
      <w:r w:rsidR="00736063">
        <w:rPr>
          <w:rFonts w:ascii="Times New Roman" w:eastAsia="Times New Roman" w:hAnsi="Times New Roman" w:cs="Times New Roman"/>
          <w:color w:val="000000"/>
          <w:kern w:val="0"/>
          <w14:ligatures w14:val="none"/>
        </w:rPr>
        <w:t>e</w:t>
      </w:r>
      <w:r w:rsidRPr="001069E7">
        <w:rPr>
          <w:rFonts w:ascii="Times New Roman" w:eastAsia="Times New Roman" w:hAnsi="Times New Roman" w:cs="Times New Roman"/>
          <w:color w:val="000000"/>
          <w:kern w:val="0"/>
          <w14:ligatures w14:val="none"/>
        </w:rPr>
        <w:t xml:space="preserve"> Gini </w:t>
      </w:r>
      <w:r w:rsidRPr="001069E7">
        <w:rPr>
          <w:rFonts w:ascii="Times New Roman" w:eastAsia="Times New Roman" w:hAnsi="Times New Roman" w:cs="Times New Roman"/>
          <w:color w:val="000000"/>
          <w:kern w:val="0"/>
          <w14:ligatures w14:val="none"/>
        </w:rPr>
        <w:lastRenderedPageBreak/>
        <w:t>coefficients at the owner-of-record level. This analysis involve</w:t>
      </w:r>
      <w:r w:rsidR="00736063">
        <w:rPr>
          <w:rFonts w:ascii="Times New Roman" w:eastAsia="Times New Roman" w:hAnsi="Times New Roman" w:cs="Times New Roman"/>
          <w:color w:val="000000"/>
          <w:kern w:val="0"/>
          <w14:ligatures w14:val="none"/>
        </w:rPr>
        <w:t>s</w:t>
      </w:r>
      <w:r w:rsidRPr="001069E7">
        <w:rPr>
          <w:rFonts w:ascii="Times New Roman" w:eastAsia="Times New Roman" w:hAnsi="Times New Roman" w:cs="Times New Roman"/>
          <w:color w:val="000000"/>
          <w:kern w:val="0"/>
          <w14:ligatures w14:val="none"/>
        </w:rPr>
        <w:t xml:space="preserve"> two comparisons: first, we examine the distribution of SFHA parcels among only those owners who hold at least one such property; second, we t</w:t>
      </w:r>
      <w:r w:rsidR="00736063">
        <w:rPr>
          <w:rFonts w:ascii="Times New Roman" w:eastAsia="Times New Roman" w:hAnsi="Times New Roman" w:cs="Times New Roman"/>
          <w:color w:val="000000"/>
          <w:kern w:val="0"/>
          <w14:ligatures w14:val="none"/>
        </w:rPr>
        <w:t>ake</w:t>
      </w:r>
      <w:r w:rsidRPr="001069E7">
        <w:rPr>
          <w:rFonts w:ascii="Times New Roman" w:eastAsia="Times New Roman" w:hAnsi="Times New Roman" w:cs="Times New Roman"/>
          <w:color w:val="000000"/>
          <w:kern w:val="0"/>
          <w14:ligatures w14:val="none"/>
        </w:rPr>
        <w:t xml:space="preserve"> a broader view that included all owners of a given type, even those with zero SFHA holdings. This dual approach allows us to understand concentration both among the affected owners and across the owner </w:t>
      </w:r>
      <w:r w:rsidR="007F2978" w:rsidRPr="001069E7">
        <w:rPr>
          <w:rFonts w:ascii="Times New Roman" w:eastAsia="Times New Roman" w:hAnsi="Times New Roman" w:cs="Times New Roman"/>
          <w:color w:val="000000"/>
          <w:kern w:val="0"/>
          <w14:ligatures w14:val="none"/>
        </w:rPr>
        <w:t>category</w:t>
      </w:r>
      <w:r w:rsidR="007F2978">
        <w:rPr>
          <w:rFonts w:ascii="Times New Roman" w:eastAsia="Times New Roman" w:hAnsi="Times New Roman" w:cs="Times New Roman"/>
          <w:color w:val="000000"/>
          <w:kern w:val="0"/>
          <w14:ligatures w14:val="none"/>
        </w:rPr>
        <w:t xml:space="preserve"> broadly</w:t>
      </w:r>
      <w:r w:rsidRPr="001069E7">
        <w:rPr>
          <w:rFonts w:ascii="Times New Roman" w:eastAsia="Times New Roman" w:hAnsi="Times New Roman" w:cs="Times New Roman"/>
          <w:color w:val="000000"/>
          <w:kern w:val="0"/>
          <w14:ligatures w14:val="none"/>
        </w:rPr>
        <w:t xml:space="preserve">. </w:t>
      </w:r>
      <w:r w:rsidR="00736063">
        <w:rPr>
          <w:rFonts w:ascii="Times New Roman" w:eastAsia="Times New Roman" w:hAnsi="Times New Roman" w:cs="Times New Roman"/>
          <w:color w:val="000000"/>
          <w:kern w:val="0"/>
          <w14:ligatures w14:val="none"/>
        </w:rPr>
        <w:t>Finally, w</w:t>
      </w:r>
      <w:r w:rsidRPr="001069E7">
        <w:rPr>
          <w:rFonts w:ascii="Times New Roman" w:eastAsia="Times New Roman" w:hAnsi="Times New Roman" w:cs="Times New Roman"/>
          <w:color w:val="000000"/>
          <w:kern w:val="0"/>
          <w14:ligatures w14:val="none"/>
        </w:rPr>
        <w:t>e use two-sample Kolmogorov-Smirnov tests to assess distributional differences</w:t>
      </w:r>
      <w:r w:rsidR="00D82F08">
        <w:rPr>
          <w:rFonts w:ascii="Times New Roman" w:eastAsia="Times New Roman" w:hAnsi="Times New Roman" w:cs="Times New Roman"/>
          <w:color w:val="000000"/>
          <w:kern w:val="0"/>
          <w14:ligatures w14:val="none"/>
        </w:rPr>
        <w:t>.</w:t>
      </w:r>
    </w:p>
    <w:p w14:paraId="066CB7E5" w14:textId="11C7ADC1" w:rsidR="00ED18B6" w:rsidRPr="00A23DB1" w:rsidRDefault="00E75B95" w:rsidP="00FA06E6">
      <w:pPr>
        <w:spacing w:after="100" w:afterAutospacing="1" w:line="240" w:lineRule="auto"/>
        <w:rPr>
          <w:rFonts w:ascii="Times New Roman" w:hAnsi="Times New Roman" w:cs="Times New Roman"/>
          <w:b/>
          <w:bCs/>
          <w:color w:val="000000"/>
        </w:rPr>
      </w:pPr>
      <w:r w:rsidRPr="00A23DB1">
        <w:rPr>
          <w:rFonts w:ascii="Times New Roman" w:eastAsia="Times New Roman" w:hAnsi="Times New Roman" w:cs="Times New Roman"/>
          <w:b/>
          <w:bCs/>
          <w:color w:val="000000"/>
          <w:kern w:val="0"/>
          <w14:ligatures w14:val="none"/>
        </w:rPr>
        <w:t>3.</w:t>
      </w:r>
      <w:r w:rsidR="00C31FF7">
        <w:rPr>
          <w:rFonts w:ascii="Times New Roman" w:eastAsia="Times New Roman" w:hAnsi="Times New Roman" w:cs="Times New Roman"/>
          <w:b/>
          <w:bCs/>
          <w:color w:val="000000"/>
          <w:kern w:val="0"/>
          <w14:ligatures w14:val="none"/>
        </w:rPr>
        <w:t>7</w:t>
      </w:r>
      <w:r w:rsidRPr="00A23DB1">
        <w:rPr>
          <w:rFonts w:ascii="Times New Roman" w:eastAsia="Times New Roman" w:hAnsi="Times New Roman" w:cs="Times New Roman"/>
          <w:b/>
          <w:bCs/>
          <w:color w:val="000000"/>
          <w:kern w:val="0"/>
          <w14:ligatures w14:val="none"/>
        </w:rPr>
        <w:t xml:space="preserve"> </w:t>
      </w:r>
      <w:r w:rsidR="00ED18B6" w:rsidRPr="00A23DB1">
        <w:rPr>
          <w:rFonts w:ascii="Times New Roman" w:hAnsi="Times New Roman" w:cs="Times New Roman"/>
          <w:b/>
          <w:bCs/>
          <w:color w:val="000000"/>
        </w:rPr>
        <w:t>Data Exclusions and Robustness Checks</w:t>
      </w:r>
    </w:p>
    <w:p w14:paraId="11423487" w14:textId="68E6263B" w:rsidR="00E75B95" w:rsidRPr="00E75B95" w:rsidRDefault="00E75B95" w:rsidP="00FA06E6">
      <w:pPr>
        <w:spacing w:after="100" w:afterAutospacing="1" w:line="240" w:lineRule="auto"/>
        <w:outlineLvl w:val="2"/>
        <w:rPr>
          <w:rFonts w:ascii="Times New Roman" w:eastAsia="Times New Roman" w:hAnsi="Times New Roman" w:cs="Times New Roman"/>
          <w:color w:val="000000"/>
          <w:kern w:val="0"/>
          <w14:ligatures w14:val="none"/>
        </w:rPr>
      </w:pPr>
      <w:r w:rsidRPr="00E75B95">
        <w:rPr>
          <w:rFonts w:ascii="Times New Roman" w:eastAsia="Times New Roman" w:hAnsi="Times New Roman" w:cs="Times New Roman"/>
          <w:color w:val="000000"/>
          <w:kern w:val="0"/>
          <w14:ligatures w14:val="none"/>
        </w:rPr>
        <w:t>We exclude parcels with missing ownership labels, invalid</w:t>
      </w:r>
      <w:r w:rsidR="00FF0FB4">
        <w:rPr>
          <w:rFonts w:ascii="Times New Roman" w:eastAsia="Times New Roman" w:hAnsi="Times New Roman" w:cs="Times New Roman"/>
          <w:color w:val="000000"/>
          <w:kern w:val="0"/>
          <w14:ligatures w14:val="none"/>
        </w:rPr>
        <w:t xml:space="preserve"> or </w:t>
      </w:r>
      <w:r w:rsidRPr="00E75B95">
        <w:rPr>
          <w:rFonts w:ascii="Times New Roman" w:eastAsia="Times New Roman" w:hAnsi="Times New Roman" w:cs="Times New Roman"/>
          <w:color w:val="000000"/>
          <w:kern w:val="0"/>
          <w14:ligatures w14:val="none"/>
        </w:rPr>
        <w:t>missing geometry, or missing value</w:t>
      </w:r>
      <w:r w:rsidR="00FF0FB4">
        <w:rPr>
          <w:rFonts w:ascii="Times New Roman" w:eastAsia="Times New Roman" w:hAnsi="Times New Roman" w:cs="Times New Roman"/>
          <w:color w:val="000000"/>
          <w:kern w:val="0"/>
          <w14:ligatures w14:val="none"/>
        </w:rPr>
        <w:t xml:space="preserve">. </w:t>
      </w:r>
      <w:r w:rsidRPr="00E75B95">
        <w:rPr>
          <w:rFonts w:ascii="Times New Roman" w:eastAsia="Times New Roman" w:hAnsi="Times New Roman" w:cs="Times New Roman"/>
          <w:color w:val="000000"/>
          <w:kern w:val="0"/>
          <w14:ligatures w14:val="none"/>
        </w:rPr>
        <w:t>We re</w:t>
      </w:r>
      <w:r w:rsidRPr="00E75B95">
        <w:rPr>
          <w:rFonts w:ascii="Times New Roman" w:eastAsia="Times New Roman" w:hAnsi="Times New Roman" w:cs="Times New Roman"/>
          <w:color w:val="000000"/>
          <w:kern w:val="0"/>
          <w14:ligatures w14:val="none"/>
        </w:rPr>
        <w:noBreakHyphen/>
        <w:t>estimate all models on the high</w:t>
      </w:r>
      <w:r w:rsidRPr="00E75B95">
        <w:rPr>
          <w:rFonts w:ascii="Times New Roman" w:eastAsia="Times New Roman" w:hAnsi="Times New Roman" w:cs="Times New Roman"/>
          <w:color w:val="000000"/>
          <w:kern w:val="0"/>
          <w14:ligatures w14:val="none"/>
        </w:rPr>
        <w:noBreakHyphen/>
        <w:t>confidence subset (p̂</w:t>
      </w:r>
      <w:r w:rsidR="00FB7C7F">
        <w:rPr>
          <w:rFonts w:ascii="Times New Roman" w:eastAsia="Times New Roman" w:hAnsi="Times New Roman" w:cs="Times New Roman"/>
          <w:color w:val="000000"/>
          <w:kern w:val="0"/>
          <w14:ligatures w14:val="none"/>
        </w:rPr>
        <w:t xml:space="preserve"> </w:t>
      </w:r>
      <w:r w:rsidRPr="00E75B95">
        <w:rPr>
          <w:rFonts w:ascii="Times New Roman" w:eastAsia="Times New Roman" w:hAnsi="Times New Roman" w:cs="Times New Roman"/>
          <w:color w:val="000000"/>
          <w:kern w:val="0"/>
          <w14:ligatures w14:val="none"/>
        </w:rPr>
        <w:t>max ≥ 0.80), and the key contrasts persist. Exposure results are stable when switching from the majority</w:t>
      </w:r>
      <w:r w:rsidRPr="00E75B95">
        <w:rPr>
          <w:rFonts w:ascii="Times New Roman" w:eastAsia="Times New Roman" w:hAnsi="Times New Roman" w:cs="Times New Roman"/>
          <w:color w:val="000000"/>
          <w:kern w:val="0"/>
          <w14:ligatures w14:val="none"/>
        </w:rPr>
        <w:noBreakHyphen/>
        <w:t>area to the 10 percent overlap rule. </w:t>
      </w:r>
    </w:p>
    <w:p w14:paraId="77C11134" w14:textId="77777777" w:rsidR="008F0498" w:rsidRPr="00C04C47" w:rsidRDefault="008F0498" w:rsidP="00FA06E6">
      <w:pPr>
        <w:rPr>
          <w:rFonts w:ascii="Times New Roman" w:hAnsi="Times New Roman" w:cs="Times New Roman"/>
          <w:b/>
          <w:bCs/>
        </w:rPr>
      </w:pPr>
      <w:r w:rsidRPr="00C04C47">
        <w:rPr>
          <w:rFonts w:ascii="Times New Roman" w:hAnsi="Times New Roman" w:cs="Times New Roman"/>
          <w:b/>
          <w:bCs/>
        </w:rPr>
        <w:t>4. Results</w:t>
      </w:r>
    </w:p>
    <w:p w14:paraId="30AA5F14" w14:textId="02E91C31" w:rsidR="002A4775" w:rsidRDefault="002A4775" w:rsidP="00FA06E6">
      <w:pPr>
        <w:rPr>
          <w:rFonts w:ascii="Times New Roman" w:hAnsi="Times New Roman" w:cs="Times New Roman"/>
        </w:rPr>
      </w:pPr>
      <w:r w:rsidRPr="00FE51CC">
        <w:rPr>
          <w:rFonts w:ascii="Times New Roman" w:eastAsia="Times New Roman" w:hAnsi="Times New Roman" w:cs="Times New Roman"/>
          <w:noProof/>
          <w:color w:val="000000"/>
          <w:kern w:val="0"/>
        </w:rPr>
        <w:drawing>
          <wp:inline distT="0" distB="0" distL="0" distR="0" wp14:anchorId="43EB3FD2" wp14:editId="32FC21BA">
            <wp:extent cx="5728970" cy="2588725"/>
            <wp:effectExtent l="0" t="0" r="0" b="2540"/>
            <wp:docPr id="605511327"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11327" name="Picture 1" descr="A map of a city&#10;&#10;AI-generated content may be incorrect."/>
                    <pic:cNvPicPr/>
                  </pic:nvPicPr>
                  <pic:blipFill rotWithShape="1">
                    <a:blip r:embed="rId6" cstate="print">
                      <a:extLst>
                        <a:ext uri="{28A0092B-C50C-407E-A947-70E740481C1C}">
                          <a14:useLocalDpi xmlns:a14="http://schemas.microsoft.com/office/drawing/2010/main" val="0"/>
                        </a:ext>
                      </a:extLst>
                    </a:blip>
                    <a:srcRect l="1498" t="20696" r="2082" b="21212"/>
                    <a:stretch>
                      <a:fillRect/>
                    </a:stretch>
                  </pic:blipFill>
                  <pic:spPr bwMode="auto">
                    <a:xfrm>
                      <a:off x="0" y="0"/>
                      <a:ext cx="5730864" cy="2589581"/>
                    </a:xfrm>
                    <a:prstGeom prst="rect">
                      <a:avLst/>
                    </a:prstGeom>
                    <a:ln>
                      <a:noFill/>
                    </a:ln>
                    <a:extLst>
                      <a:ext uri="{53640926-AAD7-44D8-BBD7-CCE9431645EC}">
                        <a14:shadowObscured xmlns:a14="http://schemas.microsoft.com/office/drawing/2010/main"/>
                      </a:ext>
                    </a:extLst>
                  </pic:spPr>
                </pic:pic>
              </a:graphicData>
            </a:graphic>
          </wp:inline>
        </w:drawing>
      </w:r>
    </w:p>
    <w:p w14:paraId="45D4D2AC" w14:textId="77777777" w:rsidR="003D38EB" w:rsidRPr="00FE51CC" w:rsidRDefault="003D38EB" w:rsidP="00FA06E6">
      <w:pPr>
        <w:spacing w:after="100" w:afterAutospacing="1" w:line="240" w:lineRule="auto"/>
        <w:rPr>
          <w:rFonts w:ascii="Times New Roman" w:eastAsia="Times New Roman" w:hAnsi="Times New Roman" w:cs="Times New Roman"/>
          <w:color w:val="000000"/>
          <w:kern w:val="0"/>
          <w14:ligatures w14:val="none"/>
        </w:rPr>
      </w:pPr>
      <w:r w:rsidRPr="00FE51CC">
        <w:rPr>
          <w:rFonts w:ascii="Times New Roman" w:eastAsia="Times New Roman" w:hAnsi="Times New Roman" w:cs="Times New Roman"/>
          <w:color w:val="000000"/>
          <w:kern w:val="0"/>
          <w14:ligatures w14:val="none"/>
        </w:rPr>
        <w:t>Figure 1. Map of Douglas County Single Family Residential Parcels by Entity Type</w:t>
      </w:r>
    </w:p>
    <w:p w14:paraId="44BDFF96" w14:textId="5B7E27E4" w:rsidR="008F0498" w:rsidRPr="008F0498" w:rsidRDefault="001F3E7C" w:rsidP="00FA06E6">
      <w:pPr>
        <w:rPr>
          <w:rFonts w:ascii="Times New Roman" w:hAnsi="Times New Roman" w:cs="Times New Roman"/>
        </w:rPr>
      </w:pPr>
      <w:r>
        <w:rPr>
          <w:rFonts w:ascii="Times New Roman" w:hAnsi="Times New Roman" w:cs="Times New Roman"/>
        </w:rPr>
        <w:br/>
      </w:r>
      <w:r w:rsidR="008F0498" w:rsidRPr="008F0498">
        <w:rPr>
          <w:rFonts w:ascii="Times New Roman" w:hAnsi="Times New Roman" w:cs="Times New Roman"/>
        </w:rPr>
        <w:t>Unless otherwise noted, estimates adjust for parcel value and parcel size and include neighborhood fixed effects. The estimation sample for the primary fixed</w:t>
      </w:r>
      <w:r w:rsidR="008F0498" w:rsidRPr="008F0498">
        <w:rPr>
          <w:rFonts w:ascii="Times New Roman" w:hAnsi="Times New Roman" w:cs="Times New Roman"/>
        </w:rPr>
        <w:noBreakHyphen/>
        <w:t xml:space="preserve">effects specification is 182,911 parcels across 470 neighborhoods; unadjusted and core models without fixed effects use 184,333 parcels. </w:t>
      </w:r>
      <w:r w:rsidR="00F61625">
        <w:rPr>
          <w:rFonts w:ascii="Times New Roman" w:hAnsi="Times New Roman" w:cs="Times New Roman"/>
        </w:rPr>
        <w:t xml:space="preserve">The </w:t>
      </w:r>
      <w:r>
        <w:rPr>
          <w:rFonts w:ascii="Times New Roman" w:hAnsi="Times New Roman" w:cs="Times New Roman"/>
        </w:rPr>
        <w:t>SFR entity by parcel is mapped in F</w:t>
      </w:r>
      <w:r w:rsidR="003D38EB">
        <w:rPr>
          <w:rFonts w:ascii="Times New Roman" w:hAnsi="Times New Roman" w:cs="Times New Roman"/>
        </w:rPr>
        <w:t>igure 1.</w:t>
      </w:r>
    </w:p>
    <w:p w14:paraId="4802F588" w14:textId="634F95D7" w:rsidR="008F0498" w:rsidRPr="00C15426" w:rsidRDefault="008F0498" w:rsidP="00FA06E6">
      <w:pPr>
        <w:rPr>
          <w:rFonts w:ascii="Times New Roman" w:hAnsi="Times New Roman" w:cs="Times New Roman"/>
          <w:b/>
          <w:bCs/>
        </w:rPr>
      </w:pPr>
      <w:r w:rsidRPr="00C15426">
        <w:rPr>
          <w:rFonts w:ascii="Times New Roman" w:hAnsi="Times New Roman" w:cs="Times New Roman"/>
          <w:b/>
          <w:bCs/>
        </w:rPr>
        <w:t xml:space="preserve">4.1 Unadjusted SFHA </w:t>
      </w:r>
      <w:r w:rsidR="000E2A9E">
        <w:rPr>
          <w:rFonts w:ascii="Times New Roman" w:hAnsi="Times New Roman" w:cs="Times New Roman"/>
          <w:b/>
          <w:bCs/>
        </w:rPr>
        <w:t>R</w:t>
      </w:r>
      <w:r w:rsidRPr="00C15426">
        <w:rPr>
          <w:rFonts w:ascii="Times New Roman" w:hAnsi="Times New Roman" w:cs="Times New Roman"/>
          <w:b/>
          <w:bCs/>
        </w:rPr>
        <w:t>ates</w:t>
      </w:r>
    </w:p>
    <w:p w14:paraId="155678CC" w14:textId="6D1DC2BB" w:rsidR="00C15426" w:rsidRPr="00C15426" w:rsidRDefault="00C15426" w:rsidP="00FA06E6">
      <w:pPr>
        <w:pStyle w:val="NormalWeb"/>
        <w:spacing w:before="0" w:beforeAutospacing="0"/>
        <w:rPr>
          <w:color w:val="000000"/>
          <w:sz w:val="22"/>
          <w:szCs w:val="22"/>
        </w:rPr>
      </w:pPr>
      <w:r w:rsidRPr="00C15426">
        <w:rPr>
          <w:color w:val="000000"/>
          <w:sz w:val="22"/>
          <w:szCs w:val="22"/>
        </w:rPr>
        <w:t>A preliminary review of the data reveals that the unadjusted rates of flood exposure differ markedly across the various ownership structures and portfolio sizes.</w:t>
      </w:r>
      <w:r w:rsidRPr="00C15426">
        <w:rPr>
          <w:rStyle w:val="apple-converted-space"/>
          <w:rFonts w:eastAsiaTheme="majorEastAsia"/>
          <w:color w:val="000000"/>
          <w:sz w:val="22"/>
          <w:szCs w:val="22"/>
        </w:rPr>
        <w:t> </w:t>
      </w:r>
      <w:r w:rsidRPr="00C15426">
        <w:rPr>
          <w:color w:val="000000"/>
          <w:sz w:val="22"/>
          <w:szCs w:val="22"/>
        </w:rPr>
        <w:t xml:space="preserve">Table </w:t>
      </w:r>
      <w:r w:rsidR="005E6451">
        <w:rPr>
          <w:color w:val="000000"/>
          <w:sz w:val="22"/>
          <w:szCs w:val="22"/>
        </w:rPr>
        <w:t>7</w:t>
      </w:r>
      <w:r w:rsidRPr="00C15426">
        <w:rPr>
          <w:rStyle w:val="apple-converted-space"/>
          <w:rFonts w:eastAsiaTheme="majorEastAsia"/>
          <w:color w:val="000000"/>
          <w:sz w:val="22"/>
          <w:szCs w:val="22"/>
        </w:rPr>
        <w:t> </w:t>
      </w:r>
      <w:r w:rsidRPr="00C15426">
        <w:rPr>
          <w:color w:val="000000"/>
          <w:sz w:val="22"/>
          <w:szCs w:val="22"/>
        </w:rPr>
        <w:t>provides a detailed breakdown of the parcel counts and the unadjusted incidence of SFHA location for each of the ten ownership groups.</w:t>
      </w:r>
    </w:p>
    <w:p w14:paraId="3164D545" w14:textId="1143D736" w:rsidR="00C15426" w:rsidRPr="00C15426" w:rsidRDefault="00C15426" w:rsidP="00FA06E6">
      <w:pPr>
        <w:pStyle w:val="NormalWeb"/>
        <w:spacing w:before="0" w:beforeAutospacing="0"/>
        <w:rPr>
          <w:color w:val="000000"/>
          <w:sz w:val="22"/>
          <w:szCs w:val="22"/>
        </w:rPr>
      </w:pPr>
      <w:r w:rsidRPr="00C15426">
        <w:rPr>
          <w:color w:val="000000"/>
          <w:sz w:val="22"/>
          <w:szCs w:val="22"/>
        </w:rPr>
        <w:t>Individuals</w:t>
      </w:r>
      <w:r w:rsidRPr="00C15426">
        <w:rPr>
          <w:rStyle w:val="apple-converted-space"/>
          <w:rFonts w:eastAsiaTheme="majorEastAsia"/>
          <w:color w:val="000000"/>
          <w:sz w:val="22"/>
          <w:szCs w:val="22"/>
        </w:rPr>
        <w:t> </w:t>
      </w:r>
      <w:r w:rsidRPr="00C15426">
        <w:rPr>
          <w:color w:val="000000"/>
          <w:sz w:val="22"/>
          <w:szCs w:val="22"/>
        </w:rPr>
        <w:t xml:space="preserve">are the most common owner type, accounting for </w:t>
      </w:r>
      <w:r w:rsidR="002C7F5E" w:rsidRPr="00C15426">
        <w:rPr>
          <w:color w:val="000000"/>
          <w:sz w:val="22"/>
          <w:szCs w:val="22"/>
        </w:rPr>
        <w:t>most</w:t>
      </w:r>
      <w:r w:rsidRPr="00C15426">
        <w:rPr>
          <w:color w:val="000000"/>
          <w:sz w:val="22"/>
          <w:szCs w:val="22"/>
        </w:rPr>
        <w:t xml:space="preserve"> </w:t>
      </w:r>
      <w:r w:rsidR="00370AA4" w:rsidRPr="00C15426">
        <w:rPr>
          <w:color w:val="000000"/>
          <w:sz w:val="22"/>
          <w:szCs w:val="22"/>
        </w:rPr>
        <w:t>single</w:t>
      </w:r>
      <w:r w:rsidR="00370AA4">
        <w:rPr>
          <w:color w:val="000000"/>
          <w:sz w:val="22"/>
          <w:szCs w:val="22"/>
        </w:rPr>
        <w:t>-family</w:t>
      </w:r>
      <w:r w:rsidRPr="00C15426">
        <w:rPr>
          <w:color w:val="000000"/>
          <w:sz w:val="22"/>
          <w:szCs w:val="22"/>
        </w:rPr>
        <w:t xml:space="preserve"> parcels, while</w:t>
      </w:r>
      <w:r w:rsidRPr="00C15426">
        <w:rPr>
          <w:rStyle w:val="apple-converted-space"/>
          <w:rFonts w:eastAsiaTheme="majorEastAsia"/>
          <w:color w:val="000000"/>
          <w:sz w:val="22"/>
          <w:szCs w:val="22"/>
        </w:rPr>
        <w:t> </w:t>
      </w:r>
      <w:r w:rsidRPr="00C15426">
        <w:rPr>
          <w:color w:val="000000"/>
          <w:sz w:val="22"/>
          <w:szCs w:val="22"/>
        </w:rPr>
        <w:t>LLCs</w:t>
      </w:r>
      <w:r w:rsidRPr="00C15426">
        <w:rPr>
          <w:rStyle w:val="apple-converted-space"/>
          <w:rFonts w:eastAsiaTheme="majorEastAsia"/>
          <w:color w:val="000000"/>
          <w:sz w:val="22"/>
          <w:szCs w:val="22"/>
        </w:rPr>
        <w:t> </w:t>
      </w:r>
      <w:r w:rsidRPr="00C15426">
        <w:rPr>
          <w:color w:val="000000"/>
          <w:sz w:val="22"/>
          <w:szCs w:val="22"/>
        </w:rPr>
        <w:t>are the next most frequent. Although the overall rate of SFHA exposure in the study area is low at approximately 1.1 percent, a few groups stand out with much higher raw rates. Specifically,</w:t>
      </w:r>
      <w:r w:rsidRPr="00C15426">
        <w:rPr>
          <w:rStyle w:val="apple-converted-space"/>
          <w:rFonts w:eastAsiaTheme="majorEastAsia"/>
          <w:color w:val="000000"/>
          <w:sz w:val="22"/>
          <w:szCs w:val="22"/>
        </w:rPr>
        <w:t> </w:t>
      </w:r>
      <w:r w:rsidRPr="00C15426">
        <w:rPr>
          <w:color w:val="000000"/>
          <w:sz w:val="22"/>
          <w:szCs w:val="22"/>
        </w:rPr>
        <w:t>single</w:t>
      </w:r>
      <w:r w:rsidR="000B0315">
        <w:rPr>
          <w:color w:val="000000"/>
          <w:sz w:val="22"/>
          <w:szCs w:val="22"/>
        </w:rPr>
        <w:t xml:space="preserve"> </w:t>
      </w:r>
      <w:r w:rsidRPr="00C15426">
        <w:rPr>
          <w:color w:val="000000"/>
          <w:sz w:val="22"/>
          <w:szCs w:val="22"/>
        </w:rPr>
        <w:t>parcel LLCs and</w:t>
      </w:r>
      <w:r w:rsidRPr="00C15426">
        <w:rPr>
          <w:rStyle w:val="apple-converted-space"/>
          <w:rFonts w:eastAsiaTheme="majorEastAsia"/>
          <w:color w:val="000000"/>
          <w:sz w:val="22"/>
          <w:szCs w:val="22"/>
        </w:rPr>
        <w:t> </w:t>
      </w:r>
      <w:r w:rsidRPr="00C15426">
        <w:rPr>
          <w:color w:val="000000"/>
          <w:sz w:val="22"/>
          <w:szCs w:val="22"/>
        </w:rPr>
        <w:t>single</w:t>
      </w:r>
      <w:r w:rsidR="000B0315">
        <w:rPr>
          <w:color w:val="000000"/>
          <w:sz w:val="22"/>
          <w:szCs w:val="22"/>
        </w:rPr>
        <w:t xml:space="preserve"> </w:t>
      </w:r>
      <w:r w:rsidRPr="00C15426">
        <w:rPr>
          <w:color w:val="000000"/>
          <w:sz w:val="22"/>
          <w:szCs w:val="22"/>
        </w:rPr>
        <w:t xml:space="preserve">parcel </w:t>
      </w:r>
      <w:r w:rsidR="00736063">
        <w:rPr>
          <w:color w:val="000000"/>
          <w:sz w:val="22"/>
          <w:szCs w:val="22"/>
        </w:rPr>
        <w:t>c</w:t>
      </w:r>
      <w:r w:rsidRPr="00C15426">
        <w:rPr>
          <w:color w:val="000000"/>
          <w:sz w:val="22"/>
          <w:szCs w:val="22"/>
        </w:rPr>
        <w:t>orporations</w:t>
      </w:r>
      <w:r w:rsidRPr="00C15426">
        <w:rPr>
          <w:rStyle w:val="apple-converted-space"/>
          <w:rFonts w:eastAsiaTheme="majorEastAsia"/>
          <w:color w:val="000000"/>
          <w:sz w:val="22"/>
          <w:szCs w:val="22"/>
        </w:rPr>
        <w:t> </w:t>
      </w:r>
      <w:r w:rsidRPr="00C15426">
        <w:rPr>
          <w:color w:val="000000"/>
          <w:sz w:val="22"/>
          <w:szCs w:val="22"/>
        </w:rPr>
        <w:t xml:space="preserve">have noticeably higher incidences of flood exposure than the reference group of </w:t>
      </w:r>
      <w:r w:rsidR="001656DD">
        <w:rPr>
          <w:color w:val="000000"/>
          <w:sz w:val="22"/>
          <w:szCs w:val="22"/>
        </w:rPr>
        <w:t xml:space="preserve">individual </w:t>
      </w:r>
      <w:r w:rsidRPr="00C15426">
        <w:rPr>
          <w:color w:val="000000"/>
          <w:sz w:val="22"/>
          <w:szCs w:val="22"/>
        </w:rPr>
        <w:t>single</w:t>
      </w:r>
      <w:r w:rsidR="005E4C98">
        <w:rPr>
          <w:color w:val="000000"/>
          <w:sz w:val="22"/>
          <w:szCs w:val="22"/>
        </w:rPr>
        <w:t xml:space="preserve"> </w:t>
      </w:r>
      <w:r w:rsidRPr="00C15426">
        <w:rPr>
          <w:color w:val="000000"/>
          <w:sz w:val="22"/>
          <w:szCs w:val="22"/>
        </w:rPr>
        <w:t>parcel</w:t>
      </w:r>
      <w:r w:rsidR="00A257B4">
        <w:rPr>
          <w:color w:val="000000"/>
          <w:sz w:val="22"/>
          <w:szCs w:val="22"/>
        </w:rPr>
        <w:t xml:space="preserve"> o</w:t>
      </w:r>
      <w:r w:rsidR="001656DD">
        <w:rPr>
          <w:color w:val="000000"/>
          <w:sz w:val="22"/>
          <w:szCs w:val="22"/>
        </w:rPr>
        <w:t>wners</w:t>
      </w:r>
      <w:r w:rsidRPr="00C15426">
        <w:rPr>
          <w:color w:val="000000"/>
          <w:sz w:val="22"/>
          <w:szCs w:val="22"/>
        </w:rPr>
        <w:t xml:space="preserve">. </w:t>
      </w:r>
    </w:p>
    <w:p w14:paraId="6B93923C" w14:textId="768BE8CD" w:rsidR="008F0498" w:rsidRPr="008F0498" w:rsidRDefault="008F0498" w:rsidP="00FA06E6">
      <w:pPr>
        <w:rPr>
          <w:rFonts w:ascii="Times New Roman" w:hAnsi="Times New Roman" w:cs="Times New Roman"/>
        </w:rPr>
      </w:pPr>
      <w:r w:rsidRPr="008F0498">
        <w:rPr>
          <w:rFonts w:ascii="Times New Roman" w:hAnsi="Times New Roman" w:cs="Times New Roman"/>
        </w:rPr>
        <w:lastRenderedPageBreak/>
        <w:t xml:space="preserve">Table </w:t>
      </w:r>
      <w:r w:rsidR="005E6451">
        <w:rPr>
          <w:rFonts w:ascii="Times New Roman" w:hAnsi="Times New Roman" w:cs="Times New Roman"/>
        </w:rPr>
        <w:t>7</w:t>
      </w:r>
      <w:r w:rsidRPr="008F0498">
        <w:rPr>
          <w:rFonts w:ascii="Times New Roman" w:hAnsi="Times New Roman" w:cs="Times New Roman"/>
        </w:rPr>
        <w:t xml:space="preserve">. Counts and unadjusted SFHA rates by organizational form and portfolio scale </w:t>
      </w:r>
    </w:p>
    <w:tbl>
      <w:tblPr>
        <w:tblStyle w:val="PlainTable4"/>
        <w:tblW w:w="0" w:type="auto"/>
        <w:tblLook w:val="04A0" w:firstRow="1" w:lastRow="0" w:firstColumn="1" w:lastColumn="0" w:noHBand="0" w:noVBand="1"/>
      </w:tblPr>
      <w:tblGrid>
        <w:gridCol w:w="3068"/>
        <w:gridCol w:w="931"/>
        <w:gridCol w:w="1145"/>
        <w:gridCol w:w="1646"/>
        <w:gridCol w:w="1710"/>
      </w:tblGrid>
      <w:tr w:rsidR="008F0498" w:rsidRPr="008F0498" w14:paraId="376F7DBC" w14:textId="77777777" w:rsidTr="00F408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5DF366" w14:textId="0AF35522" w:rsidR="008F0498" w:rsidRPr="008F0498" w:rsidRDefault="008F0498" w:rsidP="00FA06E6">
            <w:pPr>
              <w:rPr>
                <w:rFonts w:ascii="Times New Roman" w:hAnsi="Times New Roman" w:cs="Times New Roman"/>
              </w:rPr>
            </w:pPr>
            <w:r w:rsidRPr="008F0498">
              <w:rPr>
                <w:rFonts w:ascii="Times New Roman" w:hAnsi="Times New Roman" w:cs="Times New Roman"/>
              </w:rPr>
              <w:t xml:space="preserve">Entity &amp; </w:t>
            </w:r>
            <w:r w:rsidR="005D798B">
              <w:rPr>
                <w:rFonts w:ascii="Times New Roman" w:hAnsi="Times New Roman" w:cs="Times New Roman"/>
              </w:rPr>
              <w:t>S</w:t>
            </w:r>
            <w:r w:rsidRPr="008F0498">
              <w:rPr>
                <w:rFonts w:ascii="Times New Roman" w:hAnsi="Times New Roman" w:cs="Times New Roman"/>
              </w:rPr>
              <w:t>cale</w:t>
            </w:r>
          </w:p>
        </w:tc>
        <w:tc>
          <w:tcPr>
            <w:tcW w:w="0" w:type="auto"/>
            <w:hideMark/>
          </w:tcPr>
          <w:p w14:paraId="0A4F3D3D" w14:textId="77777777" w:rsidR="008F0498" w:rsidRPr="008F0498" w:rsidRDefault="008F0498" w:rsidP="00FA06E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Parcels</w:t>
            </w:r>
          </w:p>
        </w:tc>
        <w:tc>
          <w:tcPr>
            <w:tcW w:w="0" w:type="auto"/>
            <w:hideMark/>
          </w:tcPr>
          <w:p w14:paraId="1CED14F2" w14:textId="09E4C770" w:rsidR="008F0498" w:rsidRPr="008F0498" w:rsidRDefault="005D498F" w:rsidP="00FA06E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 of </w:t>
            </w:r>
            <w:r w:rsidR="008F0498" w:rsidRPr="008F0498">
              <w:rPr>
                <w:rFonts w:ascii="Times New Roman" w:hAnsi="Times New Roman" w:cs="Times New Roman"/>
              </w:rPr>
              <w:t xml:space="preserve">SFR </w:t>
            </w:r>
          </w:p>
        </w:tc>
        <w:tc>
          <w:tcPr>
            <w:tcW w:w="0" w:type="auto"/>
            <w:hideMark/>
          </w:tcPr>
          <w:p w14:paraId="4E493BD7" w14:textId="28C3BEB3" w:rsidR="008F0498" w:rsidRPr="008F0498" w:rsidRDefault="008F0498" w:rsidP="00FA06E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SFHA rate (%)</w:t>
            </w:r>
          </w:p>
        </w:tc>
        <w:tc>
          <w:tcPr>
            <w:tcW w:w="0" w:type="auto"/>
            <w:hideMark/>
          </w:tcPr>
          <w:p w14:paraId="6A897C39" w14:textId="77777777" w:rsidR="008F0498" w:rsidRPr="008F0498" w:rsidRDefault="008F0498" w:rsidP="00FA06E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SFHA per 1,000</w:t>
            </w:r>
          </w:p>
        </w:tc>
      </w:tr>
      <w:tr w:rsidR="008F0498" w:rsidRPr="008F0498" w14:paraId="4826E11A" w14:textId="77777777" w:rsidTr="00F40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3765C5" w14:textId="77777777" w:rsidR="008F0498" w:rsidRPr="00F408EE" w:rsidRDefault="008F0498" w:rsidP="00FA06E6">
            <w:pPr>
              <w:rPr>
                <w:rFonts w:ascii="Times New Roman" w:hAnsi="Times New Roman" w:cs="Times New Roman"/>
                <w:b w:val="0"/>
                <w:bCs w:val="0"/>
                <w:i/>
                <w:iCs/>
              </w:rPr>
            </w:pPr>
            <w:r w:rsidRPr="00F408EE">
              <w:rPr>
                <w:rFonts w:ascii="Times New Roman" w:hAnsi="Times New Roman" w:cs="Times New Roman"/>
                <w:b w:val="0"/>
                <w:bCs w:val="0"/>
                <w:i/>
                <w:iCs/>
              </w:rPr>
              <w:t>Individual — Single</w:t>
            </w:r>
          </w:p>
        </w:tc>
        <w:tc>
          <w:tcPr>
            <w:tcW w:w="0" w:type="auto"/>
            <w:hideMark/>
          </w:tcPr>
          <w:p w14:paraId="2748138E" w14:textId="77777777"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131,436</w:t>
            </w:r>
          </w:p>
        </w:tc>
        <w:tc>
          <w:tcPr>
            <w:tcW w:w="0" w:type="auto"/>
            <w:hideMark/>
          </w:tcPr>
          <w:p w14:paraId="1322F206" w14:textId="77777777"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71.30</w:t>
            </w:r>
          </w:p>
        </w:tc>
        <w:tc>
          <w:tcPr>
            <w:tcW w:w="0" w:type="auto"/>
            <w:hideMark/>
          </w:tcPr>
          <w:p w14:paraId="3EAB95F0" w14:textId="77777777"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0.81</w:t>
            </w:r>
          </w:p>
        </w:tc>
        <w:tc>
          <w:tcPr>
            <w:tcW w:w="0" w:type="auto"/>
            <w:hideMark/>
          </w:tcPr>
          <w:p w14:paraId="57A3F625" w14:textId="77777777"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8.1</w:t>
            </w:r>
          </w:p>
        </w:tc>
      </w:tr>
      <w:tr w:rsidR="008F0498" w:rsidRPr="008F0498" w14:paraId="64F4379F" w14:textId="77777777" w:rsidTr="00F408EE">
        <w:tc>
          <w:tcPr>
            <w:cnfStyle w:val="001000000000" w:firstRow="0" w:lastRow="0" w:firstColumn="1" w:lastColumn="0" w:oddVBand="0" w:evenVBand="0" w:oddHBand="0" w:evenHBand="0" w:firstRowFirstColumn="0" w:firstRowLastColumn="0" w:lastRowFirstColumn="0" w:lastRowLastColumn="0"/>
            <w:tcW w:w="0" w:type="auto"/>
            <w:hideMark/>
          </w:tcPr>
          <w:p w14:paraId="16967F5C" w14:textId="77777777" w:rsidR="008F0498" w:rsidRPr="00F408EE" w:rsidRDefault="008F0498" w:rsidP="00FA06E6">
            <w:pPr>
              <w:rPr>
                <w:rFonts w:ascii="Times New Roman" w:hAnsi="Times New Roman" w:cs="Times New Roman"/>
                <w:b w:val="0"/>
                <w:bCs w:val="0"/>
                <w:i/>
                <w:iCs/>
              </w:rPr>
            </w:pPr>
            <w:r w:rsidRPr="00F408EE">
              <w:rPr>
                <w:rFonts w:ascii="Times New Roman" w:hAnsi="Times New Roman" w:cs="Times New Roman"/>
                <w:b w:val="0"/>
                <w:bCs w:val="0"/>
                <w:i/>
                <w:iCs/>
              </w:rPr>
              <w:t>Individual — Multi</w:t>
            </w:r>
          </w:p>
        </w:tc>
        <w:tc>
          <w:tcPr>
            <w:tcW w:w="0" w:type="auto"/>
            <w:hideMark/>
          </w:tcPr>
          <w:p w14:paraId="26A0A8E4" w14:textId="77777777" w:rsidR="008F0498" w:rsidRPr="008F0498" w:rsidRDefault="008F049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20,826</w:t>
            </w:r>
          </w:p>
        </w:tc>
        <w:tc>
          <w:tcPr>
            <w:tcW w:w="0" w:type="auto"/>
            <w:hideMark/>
          </w:tcPr>
          <w:p w14:paraId="7C7BFCB4" w14:textId="77777777" w:rsidR="008F0498" w:rsidRPr="008F0498" w:rsidRDefault="008F049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11.30</w:t>
            </w:r>
          </w:p>
        </w:tc>
        <w:tc>
          <w:tcPr>
            <w:tcW w:w="0" w:type="auto"/>
            <w:hideMark/>
          </w:tcPr>
          <w:p w14:paraId="3B9A8957" w14:textId="77777777" w:rsidR="008F0498" w:rsidRPr="008F0498" w:rsidRDefault="008F049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1.25</w:t>
            </w:r>
          </w:p>
        </w:tc>
        <w:tc>
          <w:tcPr>
            <w:tcW w:w="0" w:type="auto"/>
            <w:hideMark/>
          </w:tcPr>
          <w:p w14:paraId="3293A380" w14:textId="77777777" w:rsidR="008F0498" w:rsidRPr="008F0498" w:rsidRDefault="008F049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12.5</w:t>
            </w:r>
          </w:p>
        </w:tc>
      </w:tr>
      <w:tr w:rsidR="008F0498" w:rsidRPr="008F0498" w14:paraId="35701021" w14:textId="77777777" w:rsidTr="00F40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06AB9A" w14:textId="77777777" w:rsidR="008F0498" w:rsidRPr="00F408EE" w:rsidRDefault="008F0498" w:rsidP="00FA06E6">
            <w:pPr>
              <w:rPr>
                <w:rFonts w:ascii="Times New Roman" w:hAnsi="Times New Roman" w:cs="Times New Roman"/>
                <w:b w:val="0"/>
                <w:bCs w:val="0"/>
                <w:i/>
                <w:iCs/>
              </w:rPr>
            </w:pPr>
            <w:r w:rsidRPr="00F408EE">
              <w:rPr>
                <w:rFonts w:ascii="Times New Roman" w:hAnsi="Times New Roman" w:cs="Times New Roman"/>
                <w:b w:val="0"/>
                <w:bCs w:val="0"/>
                <w:i/>
                <w:iCs/>
              </w:rPr>
              <w:t>LLC — Single</w:t>
            </w:r>
          </w:p>
        </w:tc>
        <w:tc>
          <w:tcPr>
            <w:tcW w:w="0" w:type="auto"/>
            <w:hideMark/>
          </w:tcPr>
          <w:p w14:paraId="02F1E873" w14:textId="77777777"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4,725</w:t>
            </w:r>
          </w:p>
        </w:tc>
        <w:tc>
          <w:tcPr>
            <w:tcW w:w="0" w:type="auto"/>
            <w:hideMark/>
          </w:tcPr>
          <w:p w14:paraId="156F2B6B" w14:textId="77777777"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2.56</w:t>
            </w:r>
          </w:p>
        </w:tc>
        <w:tc>
          <w:tcPr>
            <w:tcW w:w="0" w:type="auto"/>
            <w:hideMark/>
          </w:tcPr>
          <w:p w14:paraId="64E15EB8" w14:textId="77777777"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4.83</w:t>
            </w:r>
          </w:p>
        </w:tc>
        <w:tc>
          <w:tcPr>
            <w:tcW w:w="0" w:type="auto"/>
            <w:hideMark/>
          </w:tcPr>
          <w:p w14:paraId="34FBA830" w14:textId="77777777"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48.3</w:t>
            </w:r>
          </w:p>
        </w:tc>
      </w:tr>
      <w:tr w:rsidR="008F0498" w:rsidRPr="008F0498" w14:paraId="59EA13B1" w14:textId="77777777" w:rsidTr="00F408EE">
        <w:tc>
          <w:tcPr>
            <w:cnfStyle w:val="001000000000" w:firstRow="0" w:lastRow="0" w:firstColumn="1" w:lastColumn="0" w:oddVBand="0" w:evenVBand="0" w:oddHBand="0" w:evenHBand="0" w:firstRowFirstColumn="0" w:firstRowLastColumn="0" w:lastRowFirstColumn="0" w:lastRowLastColumn="0"/>
            <w:tcW w:w="0" w:type="auto"/>
            <w:hideMark/>
          </w:tcPr>
          <w:p w14:paraId="2727A1E6" w14:textId="77777777" w:rsidR="008F0498" w:rsidRPr="00F408EE" w:rsidRDefault="008F0498" w:rsidP="00FA06E6">
            <w:pPr>
              <w:rPr>
                <w:rFonts w:ascii="Times New Roman" w:hAnsi="Times New Roman" w:cs="Times New Roman"/>
                <w:b w:val="0"/>
                <w:bCs w:val="0"/>
                <w:i/>
                <w:iCs/>
              </w:rPr>
            </w:pPr>
            <w:r w:rsidRPr="00F408EE">
              <w:rPr>
                <w:rFonts w:ascii="Times New Roman" w:hAnsi="Times New Roman" w:cs="Times New Roman"/>
                <w:b w:val="0"/>
                <w:bCs w:val="0"/>
                <w:i/>
                <w:iCs/>
              </w:rPr>
              <w:t>LLC — Multi</w:t>
            </w:r>
          </w:p>
        </w:tc>
        <w:tc>
          <w:tcPr>
            <w:tcW w:w="0" w:type="auto"/>
            <w:hideMark/>
          </w:tcPr>
          <w:p w14:paraId="367ABB37" w14:textId="77777777" w:rsidR="008F0498" w:rsidRPr="008F0498" w:rsidRDefault="008F049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15,782</w:t>
            </w:r>
          </w:p>
        </w:tc>
        <w:tc>
          <w:tcPr>
            <w:tcW w:w="0" w:type="auto"/>
            <w:hideMark/>
          </w:tcPr>
          <w:p w14:paraId="1D6CEB79" w14:textId="77777777" w:rsidR="008F0498" w:rsidRPr="008F0498" w:rsidRDefault="008F049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8.56</w:t>
            </w:r>
          </w:p>
        </w:tc>
        <w:tc>
          <w:tcPr>
            <w:tcW w:w="0" w:type="auto"/>
            <w:hideMark/>
          </w:tcPr>
          <w:p w14:paraId="76924729" w14:textId="77777777" w:rsidR="008F0498" w:rsidRPr="008F0498" w:rsidRDefault="008F049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1.48</w:t>
            </w:r>
          </w:p>
        </w:tc>
        <w:tc>
          <w:tcPr>
            <w:tcW w:w="0" w:type="auto"/>
            <w:hideMark/>
          </w:tcPr>
          <w:p w14:paraId="64C0F7AA" w14:textId="77777777" w:rsidR="008F0498" w:rsidRPr="008F0498" w:rsidRDefault="008F049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14.8</w:t>
            </w:r>
          </w:p>
        </w:tc>
      </w:tr>
      <w:tr w:rsidR="008F0498" w:rsidRPr="008F0498" w14:paraId="528ACFB0" w14:textId="77777777" w:rsidTr="00F40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024C77" w14:textId="77777777" w:rsidR="008F0498" w:rsidRPr="00F408EE" w:rsidRDefault="008F0498" w:rsidP="00FA06E6">
            <w:pPr>
              <w:rPr>
                <w:rFonts w:ascii="Times New Roman" w:hAnsi="Times New Roman" w:cs="Times New Roman"/>
                <w:b w:val="0"/>
                <w:bCs w:val="0"/>
                <w:i/>
                <w:iCs/>
              </w:rPr>
            </w:pPr>
            <w:r w:rsidRPr="00F408EE">
              <w:rPr>
                <w:rFonts w:ascii="Times New Roman" w:hAnsi="Times New Roman" w:cs="Times New Roman"/>
                <w:b w:val="0"/>
                <w:bCs w:val="0"/>
                <w:i/>
                <w:iCs/>
              </w:rPr>
              <w:t>Corporation — Single</w:t>
            </w:r>
          </w:p>
        </w:tc>
        <w:tc>
          <w:tcPr>
            <w:tcW w:w="0" w:type="auto"/>
            <w:hideMark/>
          </w:tcPr>
          <w:p w14:paraId="673C1891" w14:textId="77777777"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762</w:t>
            </w:r>
          </w:p>
        </w:tc>
        <w:tc>
          <w:tcPr>
            <w:tcW w:w="0" w:type="auto"/>
            <w:hideMark/>
          </w:tcPr>
          <w:p w14:paraId="07875A61" w14:textId="77777777"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0.41</w:t>
            </w:r>
          </w:p>
        </w:tc>
        <w:tc>
          <w:tcPr>
            <w:tcW w:w="0" w:type="auto"/>
            <w:hideMark/>
          </w:tcPr>
          <w:p w14:paraId="6EA2FDB2" w14:textId="77777777"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4.07</w:t>
            </w:r>
          </w:p>
        </w:tc>
        <w:tc>
          <w:tcPr>
            <w:tcW w:w="0" w:type="auto"/>
            <w:hideMark/>
          </w:tcPr>
          <w:p w14:paraId="7DEB9A49" w14:textId="77777777"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40.7</w:t>
            </w:r>
          </w:p>
        </w:tc>
      </w:tr>
      <w:tr w:rsidR="008F0498" w:rsidRPr="008F0498" w14:paraId="738617FC" w14:textId="77777777" w:rsidTr="00F408EE">
        <w:tc>
          <w:tcPr>
            <w:cnfStyle w:val="001000000000" w:firstRow="0" w:lastRow="0" w:firstColumn="1" w:lastColumn="0" w:oddVBand="0" w:evenVBand="0" w:oddHBand="0" w:evenHBand="0" w:firstRowFirstColumn="0" w:firstRowLastColumn="0" w:lastRowFirstColumn="0" w:lastRowLastColumn="0"/>
            <w:tcW w:w="0" w:type="auto"/>
            <w:hideMark/>
          </w:tcPr>
          <w:p w14:paraId="324E85CE" w14:textId="77777777" w:rsidR="008F0498" w:rsidRPr="00F408EE" w:rsidRDefault="008F0498" w:rsidP="00FA06E6">
            <w:pPr>
              <w:rPr>
                <w:rFonts w:ascii="Times New Roman" w:hAnsi="Times New Roman" w:cs="Times New Roman"/>
                <w:b w:val="0"/>
                <w:bCs w:val="0"/>
                <w:i/>
                <w:iCs/>
              </w:rPr>
            </w:pPr>
            <w:r w:rsidRPr="00F408EE">
              <w:rPr>
                <w:rFonts w:ascii="Times New Roman" w:hAnsi="Times New Roman" w:cs="Times New Roman"/>
                <w:b w:val="0"/>
                <w:bCs w:val="0"/>
                <w:i/>
                <w:iCs/>
              </w:rPr>
              <w:t>Corporation — Multi</w:t>
            </w:r>
          </w:p>
        </w:tc>
        <w:tc>
          <w:tcPr>
            <w:tcW w:w="0" w:type="auto"/>
            <w:hideMark/>
          </w:tcPr>
          <w:p w14:paraId="096FF4C6" w14:textId="77777777" w:rsidR="008F0498" w:rsidRPr="008F0498" w:rsidRDefault="008F049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1,748</w:t>
            </w:r>
          </w:p>
        </w:tc>
        <w:tc>
          <w:tcPr>
            <w:tcW w:w="0" w:type="auto"/>
            <w:hideMark/>
          </w:tcPr>
          <w:p w14:paraId="270E079A" w14:textId="77777777" w:rsidR="008F0498" w:rsidRPr="008F0498" w:rsidRDefault="008F049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0.95</w:t>
            </w:r>
          </w:p>
        </w:tc>
        <w:tc>
          <w:tcPr>
            <w:tcW w:w="0" w:type="auto"/>
            <w:hideMark/>
          </w:tcPr>
          <w:p w14:paraId="60467736" w14:textId="77777777" w:rsidR="008F0498" w:rsidRPr="008F0498" w:rsidRDefault="008F049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2.92</w:t>
            </w:r>
          </w:p>
        </w:tc>
        <w:tc>
          <w:tcPr>
            <w:tcW w:w="0" w:type="auto"/>
            <w:hideMark/>
          </w:tcPr>
          <w:p w14:paraId="0A582B69" w14:textId="77777777" w:rsidR="008F0498" w:rsidRPr="008F0498" w:rsidRDefault="008F049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29.2</w:t>
            </w:r>
          </w:p>
        </w:tc>
      </w:tr>
      <w:tr w:rsidR="008F0498" w:rsidRPr="008F0498" w14:paraId="4F75A0A7" w14:textId="77777777" w:rsidTr="00F40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530B44" w14:textId="77777777" w:rsidR="008F0498" w:rsidRPr="00F408EE" w:rsidRDefault="008F0498" w:rsidP="00FA06E6">
            <w:pPr>
              <w:rPr>
                <w:rFonts w:ascii="Times New Roman" w:hAnsi="Times New Roman" w:cs="Times New Roman"/>
                <w:b w:val="0"/>
                <w:bCs w:val="0"/>
                <w:i/>
                <w:iCs/>
              </w:rPr>
            </w:pPr>
            <w:r w:rsidRPr="00F408EE">
              <w:rPr>
                <w:rFonts w:ascii="Times New Roman" w:hAnsi="Times New Roman" w:cs="Times New Roman"/>
                <w:b w:val="0"/>
                <w:bCs w:val="0"/>
                <w:i/>
                <w:iCs/>
              </w:rPr>
              <w:t>Trust — Single</w:t>
            </w:r>
          </w:p>
        </w:tc>
        <w:tc>
          <w:tcPr>
            <w:tcW w:w="0" w:type="auto"/>
            <w:hideMark/>
          </w:tcPr>
          <w:p w14:paraId="5EE41F1F" w14:textId="77777777"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5,295</w:t>
            </w:r>
          </w:p>
        </w:tc>
        <w:tc>
          <w:tcPr>
            <w:tcW w:w="0" w:type="auto"/>
            <w:hideMark/>
          </w:tcPr>
          <w:p w14:paraId="708AC5FF" w14:textId="77777777"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2.87</w:t>
            </w:r>
          </w:p>
        </w:tc>
        <w:tc>
          <w:tcPr>
            <w:tcW w:w="0" w:type="auto"/>
            <w:hideMark/>
          </w:tcPr>
          <w:p w14:paraId="16DAAA65" w14:textId="77777777"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1.19</w:t>
            </w:r>
          </w:p>
        </w:tc>
        <w:tc>
          <w:tcPr>
            <w:tcW w:w="0" w:type="auto"/>
            <w:hideMark/>
          </w:tcPr>
          <w:p w14:paraId="5DC7A79A" w14:textId="77777777"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11.9</w:t>
            </w:r>
          </w:p>
        </w:tc>
      </w:tr>
      <w:tr w:rsidR="008F0498" w:rsidRPr="008F0498" w14:paraId="02621419" w14:textId="77777777" w:rsidTr="00F408EE">
        <w:tc>
          <w:tcPr>
            <w:cnfStyle w:val="001000000000" w:firstRow="0" w:lastRow="0" w:firstColumn="1" w:lastColumn="0" w:oddVBand="0" w:evenVBand="0" w:oddHBand="0" w:evenHBand="0" w:firstRowFirstColumn="0" w:firstRowLastColumn="0" w:lastRowFirstColumn="0" w:lastRowLastColumn="0"/>
            <w:tcW w:w="0" w:type="auto"/>
            <w:hideMark/>
          </w:tcPr>
          <w:p w14:paraId="6EA0FB1C" w14:textId="77777777" w:rsidR="008F0498" w:rsidRPr="00F408EE" w:rsidRDefault="008F0498" w:rsidP="00FA06E6">
            <w:pPr>
              <w:rPr>
                <w:rFonts w:ascii="Times New Roman" w:hAnsi="Times New Roman" w:cs="Times New Roman"/>
                <w:b w:val="0"/>
                <w:bCs w:val="0"/>
                <w:i/>
                <w:iCs/>
              </w:rPr>
            </w:pPr>
            <w:r w:rsidRPr="00F408EE">
              <w:rPr>
                <w:rFonts w:ascii="Times New Roman" w:hAnsi="Times New Roman" w:cs="Times New Roman"/>
                <w:b w:val="0"/>
                <w:bCs w:val="0"/>
                <w:i/>
                <w:iCs/>
              </w:rPr>
              <w:t>Trust — Multi</w:t>
            </w:r>
          </w:p>
        </w:tc>
        <w:tc>
          <w:tcPr>
            <w:tcW w:w="0" w:type="auto"/>
            <w:hideMark/>
          </w:tcPr>
          <w:p w14:paraId="30CE5636" w14:textId="77777777" w:rsidR="008F0498" w:rsidRPr="008F0498" w:rsidRDefault="008F049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1,120</w:t>
            </w:r>
          </w:p>
        </w:tc>
        <w:tc>
          <w:tcPr>
            <w:tcW w:w="0" w:type="auto"/>
            <w:hideMark/>
          </w:tcPr>
          <w:p w14:paraId="76CE24D0" w14:textId="77777777" w:rsidR="008F0498" w:rsidRPr="008F0498" w:rsidRDefault="008F049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0.61</w:t>
            </w:r>
          </w:p>
        </w:tc>
        <w:tc>
          <w:tcPr>
            <w:tcW w:w="0" w:type="auto"/>
            <w:hideMark/>
          </w:tcPr>
          <w:p w14:paraId="5D673F8A" w14:textId="77777777" w:rsidR="008F0498" w:rsidRPr="008F0498" w:rsidRDefault="008F049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2.59</w:t>
            </w:r>
          </w:p>
        </w:tc>
        <w:tc>
          <w:tcPr>
            <w:tcW w:w="0" w:type="auto"/>
            <w:hideMark/>
          </w:tcPr>
          <w:p w14:paraId="5CFD7443" w14:textId="77777777" w:rsidR="008F0498" w:rsidRPr="008F0498" w:rsidRDefault="008F049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25.9</w:t>
            </w:r>
          </w:p>
        </w:tc>
      </w:tr>
      <w:tr w:rsidR="008F0498" w:rsidRPr="008F0498" w14:paraId="19B96EB2" w14:textId="77777777" w:rsidTr="00F40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A9A9D3" w14:textId="77777777" w:rsidR="008F0498" w:rsidRPr="00F408EE" w:rsidRDefault="008F0498" w:rsidP="00FA06E6">
            <w:pPr>
              <w:rPr>
                <w:rFonts w:ascii="Times New Roman" w:hAnsi="Times New Roman" w:cs="Times New Roman"/>
                <w:b w:val="0"/>
                <w:bCs w:val="0"/>
                <w:i/>
                <w:iCs/>
              </w:rPr>
            </w:pPr>
            <w:r w:rsidRPr="00F408EE">
              <w:rPr>
                <w:rFonts w:ascii="Times New Roman" w:hAnsi="Times New Roman" w:cs="Times New Roman"/>
                <w:b w:val="0"/>
                <w:bCs w:val="0"/>
                <w:i/>
                <w:iCs/>
              </w:rPr>
              <w:t>Government/Nonprofit — Single</w:t>
            </w:r>
          </w:p>
        </w:tc>
        <w:tc>
          <w:tcPr>
            <w:tcW w:w="0" w:type="auto"/>
            <w:hideMark/>
          </w:tcPr>
          <w:p w14:paraId="12E4B39D" w14:textId="77777777"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803</w:t>
            </w:r>
          </w:p>
        </w:tc>
        <w:tc>
          <w:tcPr>
            <w:tcW w:w="0" w:type="auto"/>
            <w:hideMark/>
          </w:tcPr>
          <w:p w14:paraId="6ACB3BBB" w14:textId="77777777"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0.44</w:t>
            </w:r>
          </w:p>
        </w:tc>
        <w:tc>
          <w:tcPr>
            <w:tcW w:w="0" w:type="auto"/>
            <w:hideMark/>
          </w:tcPr>
          <w:p w14:paraId="11BF5E40" w14:textId="77777777"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3.24</w:t>
            </w:r>
          </w:p>
        </w:tc>
        <w:tc>
          <w:tcPr>
            <w:tcW w:w="0" w:type="auto"/>
            <w:hideMark/>
          </w:tcPr>
          <w:p w14:paraId="758F68EE" w14:textId="77777777"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32.4</w:t>
            </w:r>
          </w:p>
        </w:tc>
      </w:tr>
      <w:tr w:rsidR="008F0498" w:rsidRPr="008F0498" w14:paraId="5965FC8D" w14:textId="77777777" w:rsidTr="00F408EE">
        <w:tc>
          <w:tcPr>
            <w:cnfStyle w:val="001000000000" w:firstRow="0" w:lastRow="0" w:firstColumn="1" w:lastColumn="0" w:oddVBand="0" w:evenVBand="0" w:oddHBand="0" w:evenHBand="0" w:firstRowFirstColumn="0" w:firstRowLastColumn="0" w:lastRowFirstColumn="0" w:lastRowLastColumn="0"/>
            <w:tcW w:w="0" w:type="auto"/>
            <w:hideMark/>
          </w:tcPr>
          <w:p w14:paraId="79D85C48" w14:textId="77777777" w:rsidR="008F0498" w:rsidRPr="00F408EE" w:rsidRDefault="008F0498" w:rsidP="00FA06E6">
            <w:pPr>
              <w:rPr>
                <w:rFonts w:ascii="Times New Roman" w:hAnsi="Times New Roman" w:cs="Times New Roman"/>
                <w:b w:val="0"/>
                <w:bCs w:val="0"/>
                <w:i/>
                <w:iCs/>
              </w:rPr>
            </w:pPr>
            <w:r w:rsidRPr="00F408EE">
              <w:rPr>
                <w:rFonts w:ascii="Times New Roman" w:hAnsi="Times New Roman" w:cs="Times New Roman"/>
                <w:b w:val="0"/>
                <w:bCs w:val="0"/>
                <w:i/>
                <w:iCs/>
              </w:rPr>
              <w:t>Government/Nonprofit — Multi</w:t>
            </w:r>
          </w:p>
        </w:tc>
        <w:tc>
          <w:tcPr>
            <w:tcW w:w="0" w:type="auto"/>
            <w:hideMark/>
          </w:tcPr>
          <w:p w14:paraId="7C592A24" w14:textId="77777777" w:rsidR="008F0498" w:rsidRPr="008F0498" w:rsidRDefault="008F049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1,836</w:t>
            </w:r>
          </w:p>
        </w:tc>
        <w:tc>
          <w:tcPr>
            <w:tcW w:w="0" w:type="auto"/>
            <w:hideMark/>
          </w:tcPr>
          <w:p w14:paraId="03B2AE2E" w14:textId="77777777" w:rsidR="008F0498" w:rsidRPr="008F0498" w:rsidRDefault="008F049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1.00</w:t>
            </w:r>
          </w:p>
        </w:tc>
        <w:tc>
          <w:tcPr>
            <w:tcW w:w="0" w:type="auto"/>
            <w:hideMark/>
          </w:tcPr>
          <w:p w14:paraId="78D0BB00" w14:textId="77777777" w:rsidR="008F0498" w:rsidRPr="008F0498" w:rsidRDefault="008F049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2.18</w:t>
            </w:r>
          </w:p>
        </w:tc>
        <w:tc>
          <w:tcPr>
            <w:tcW w:w="0" w:type="auto"/>
            <w:hideMark/>
          </w:tcPr>
          <w:p w14:paraId="7AA2FA37" w14:textId="77777777" w:rsidR="008F0498" w:rsidRPr="008F0498" w:rsidRDefault="008F049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21.8</w:t>
            </w:r>
          </w:p>
        </w:tc>
      </w:tr>
      <w:tr w:rsidR="008F0498" w:rsidRPr="008F0498" w14:paraId="04F7DF93" w14:textId="77777777" w:rsidTr="00F40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968EB5" w14:textId="77777777" w:rsidR="008F0498" w:rsidRPr="00F408EE" w:rsidRDefault="008F0498" w:rsidP="00FA06E6">
            <w:pPr>
              <w:rPr>
                <w:rFonts w:ascii="Times New Roman" w:hAnsi="Times New Roman" w:cs="Times New Roman"/>
                <w:b w:val="0"/>
                <w:bCs w:val="0"/>
                <w:i/>
                <w:iCs/>
              </w:rPr>
            </w:pPr>
            <w:r w:rsidRPr="00F408EE">
              <w:rPr>
                <w:rFonts w:ascii="Times New Roman" w:hAnsi="Times New Roman" w:cs="Times New Roman"/>
                <w:b w:val="0"/>
                <w:bCs w:val="0"/>
                <w:i/>
                <w:iCs/>
              </w:rPr>
              <w:t>Total</w:t>
            </w:r>
          </w:p>
        </w:tc>
        <w:tc>
          <w:tcPr>
            <w:tcW w:w="0" w:type="auto"/>
            <w:hideMark/>
          </w:tcPr>
          <w:p w14:paraId="02ED754C" w14:textId="77777777"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184,333</w:t>
            </w:r>
          </w:p>
        </w:tc>
        <w:tc>
          <w:tcPr>
            <w:tcW w:w="0" w:type="auto"/>
            <w:hideMark/>
          </w:tcPr>
          <w:p w14:paraId="6AB99948" w14:textId="77777777"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100.00</w:t>
            </w:r>
          </w:p>
        </w:tc>
        <w:tc>
          <w:tcPr>
            <w:tcW w:w="0" w:type="auto"/>
            <w:hideMark/>
          </w:tcPr>
          <w:p w14:paraId="6D3A5398" w14:textId="77777777"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1.10</w:t>
            </w:r>
          </w:p>
        </w:tc>
        <w:tc>
          <w:tcPr>
            <w:tcW w:w="0" w:type="auto"/>
            <w:hideMark/>
          </w:tcPr>
          <w:p w14:paraId="71A5E966" w14:textId="77777777"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11.0</w:t>
            </w:r>
          </w:p>
        </w:tc>
      </w:tr>
    </w:tbl>
    <w:p w14:paraId="66BD25FE" w14:textId="77777777" w:rsidR="008F0498" w:rsidRPr="00640D7D" w:rsidRDefault="008F0498" w:rsidP="00FA06E6">
      <w:pPr>
        <w:rPr>
          <w:rFonts w:ascii="Times New Roman" w:hAnsi="Times New Roman" w:cs="Times New Roman"/>
          <w:b/>
          <w:bCs/>
        </w:rPr>
      </w:pPr>
      <w:r w:rsidRPr="00640D7D">
        <w:rPr>
          <w:rFonts w:ascii="Times New Roman" w:hAnsi="Times New Roman" w:cs="Times New Roman"/>
          <w:b/>
          <w:bCs/>
        </w:rPr>
        <w:t>4.2 Concentration of SFHA holdings</w:t>
      </w:r>
    </w:p>
    <w:p w14:paraId="3363CFF4" w14:textId="1DA5FB68" w:rsidR="00FA414E" w:rsidRDefault="00FA414E" w:rsidP="00FA06E6">
      <w:pPr>
        <w:rPr>
          <w:rFonts w:ascii="Times New Roman" w:hAnsi="Times New Roman" w:cs="Times New Roman"/>
        </w:rPr>
      </w:pPr>
      <w:r w:rsidRPr="00FE51CC">
        <w:rPr>
          <w:noProof/>
        </w:rPr>
        <w:drawing>
          <wp:inline distT="0" distB="0" distL="0" distR="0" wp14:anchorId="03AA885F" wp14:editId="0E35583B">
            <wp:extent cx="4923790" cy="3517571"/>
            <wp:effectExtent l="0" t="0" r="3810" b="635"/>
            <wp:docPr id="77118977" name="Picture 9"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8977" name="Picture 9" descr="A graph of a line graph&#10;&#10;AI-generated content may be incorrect."/>
                    <pic:cNvPicPr/>
                  </pic:nvPicPr>
                  <pic:blipFill rotWithShape="1">
                    <a:blip r:embed="rId7" cstate="print">
                      <a:extLst>
                        <a:ext uri="{28A0092B-C50C-407E-A947-70E740481C1C}">
                          <a14:useLocalDpi xmlns:a14="http://schemas.microsoft.com/office/drawing/2010/main" val="0"/>
                        </a:ext>
                      </a:extLst>
                    </a:blip>
                    <a:srcRect l="1633" t="4541" r="1560" b="1974"/>
                    <a:stretch>
                      <a:fillRect/>
                    </a:stretch>
                  </pic:blipFill>
                  <pic:spPr bwMode="auto">
                    <a:xfrm>
                      <a:off x="0" y="0"/>
                      <a:ext cx="4950893" cy="3536933"/>
                    </a:xfrm>
                    <a:prstGeom prst="rect">
                      <a:avLst/>
                    </a:prstGeom>
                    <a:ln>
                      <a:noFill/>
                    </a:ln>
                    <a:extLst>
                      <a:ext uri="{53640926-AAD7-44D8-BBD7-CCE9431645EC}">
                        <a14:shadowObscured xmlns:a14="http://schemas.microsoft.com/office/drawing/2010/main"/>
                      </a:ext>
                    </a:extLst>
                  </pic:spPr>
                </pic:pic>
              </a:graphicData>
            </a:graphic>
          </wp:inline>
        </w:drawing>
      </w:r>
    </w:p>
    <w:p w14:paraId="49D3B636" w14:textId="7675B94E" w:rsidR="00AC7E80" w:rsidRPr="00FE51CC" w:rsidRDefault="00AC7E80" w:rsidP="00FA06E6">
      <w:pPr>
        <w:pStyle w:val="p1"/>
        <w:spacing w:before="0" w:beforeAutospacing="0"/>
        <w:rPr>
          <w:rStyle w:val="s1"/>
          <w:rFonts w:eastAsiaTheme="majorEastAsia"/>
          <w:b/>
          <w:bCs/>
          <w:sz w:val="22"/>
          <w:szCs w:val="22"/>
        </w:rPr>
      </w:pPr>
      <w:r w:rsidRPr="00FE51CC">
        <w:rPr>
          <w:sz w:val="22"/>
          <w:szCs w:val="22"/>
        </w:rPr>
        <w:t>Figure 2. Concentration of single‑family SFHA‑located parcels by organizational form</w:t>
      </w:r>
    </w:p>
    <w:p w14:paraId="4B754F90" w14:textId="5A020171" w:rsidR="00FA414E" w:rsidRDefault="00FA414E" w:rsidP="00FA06E6">
      <w:pPr>
        <w:rPr>
          <w:rFonts w:ascii="Times New Roman" w:hAnsi="Times New Roman" w:cs="Times New Roman"/>
        </w:rPr>
      </w:pPr>
    </w:p>
    <w:p w14:paraId="6FFE73E1" w14:textId="00C2DA03" w:rsidR="001735E7" w:rsidRPr="001735E7" w:rsidRDefault="001735E7" w:rsidP="00FA06E6">
      <w:pPr>
        <w:rPr>
          <w:rFonts w:ascii="Times New Roman" w:hAnsi="Times New Roman" w:cs="Times New Roman"/>
        </w:rPr>
      </w:pPr>
      <w:r w:rsidRPr="001735E7">
        <w:rPr>
          <w:rFonts w:ascii="Times New Roman" w:hAnsi="Times New Roman" w:cs="Times New Roman"/>
        </w:rPr>
        <w:t xml:space="preserve">The distribution of flood-exposed parcels is not even; instead, it is highly concentrated, with a relatively small number of owners holding a disproportionate share of </w:t>
      </w:r>
      <w:r w:rsidR="000B0315">
        <w:rPr>
          <w:rFonts w:ascii="Times New Roman" w:hAnsi="Times New Roman" w:cs="Times New Roman"/>
        </w:rPr>
        <w:t>exposed</w:t>
      </w:r>
      <w:r w:rsidRPr="001735E7">
        <w:rPr>
          <w:rFonts w:ascii="Times New Roman" w:hAnsi="Times New Roman" w:cs="Times New Roman"/>
        </w:rPr>
        <w:t xml:space="preserve"> properties. Figure 2 illustrates this using Lorenz curves and Gini coefficients, which measure the inequality of the distribution for each organizational form.</w:t>
      </w:r>
    </w:p>
    <w:p w14:paraId="0FB05FB3" w14:textId="0F1570E4" w:rsidR="001735E7" w:rsidRPr="001735E7" w:rsidRDefault="001735E7" w:rsidP="00FA06E6">
      <w:pPr>
        <w:rPr>
          <w:rFonts w:ascii="Times New Roman" w:hAnsi="Times New Roman" w:cs="Times New Roman"/>
        </w:rPr>
      </w:pPr>
      <w:r w:rsidRPr="001735E7">
        <w:rPr>
          <w:rFonts w:ascii="Times New Roman" w:hAnsi="Times New Roman" w:cs="Times New Roman"/>
        </w:rPr>
        <w:t>Among owners holding at least one SFHA parcel, </w:t>
      </w:r>
      <w:r w:rsidR="00736063">
        <w:rPr>
          <w:rFonts w:ascii="Times New Roman" w:hAnsi="Times New Roman" w:cs="Times New Roman"/>
        </w:rPr>
        <w:t>c</w:t>
      </w:r>
      <w:r w:rsidRPr="001735E7">
        <w:rPr>
          <w:rFonts w:ascii="Times New Roman" w:hAnsi="Times New Roman" w:cs="Times New Roman"/>
        </w:rPr>
        <w:t>orporations and </w:t>
      </w:r>
      <w:r w:rsidR="00736063">
        <w:rPr>
          <w:rFonts w:ascii="Times New Roman" w:hAnsi="Times New Roman" w:cs="Times New Roman"/>
        </w:rPr>
        <w:t>g</w:t>
      </w:r>
      <w:r w:rsidRPr="001735E7">
        <w:rPr>
          <w:rFonts w:ascii="Times New Roman" w:hAnsi="Times New Roman" w:cs="Times New Roman"/>
        </w:rPr>
        <w:t>overnment/</w:t>
      </w:r>
      <w:r w:rsidR="00736063">
        <w:rPr>
          <w:rFonts w:ascii="Times New Roman" w:hAnsi="Times New Roman" w:cs="Times New Roman"/>
        </w:rPr>
        <w:t>n</w:t>
      </w:r>
      <w:r w:rsidRPr="001735E7">
        <w:rPr>
          <w:rFonts w:ascii="Times New Roman" w:hAnsi="Times New Roman" w:cs="Times New Roman"/>
        </w:rPr>
        <w:t>onprofit entities exhibit the highest concentration, with Gini coefficients of approximately 0.748 and 0.704, respectively. Holdings by LLCs are also significantly concentrated (Gini ≈ 0.564), while the distribution among Individuals and Trusts is comparatively more diffuse.</w:t>
      </w:r>
    </w:p>
    <w:p w14:paraId="7C540B26" w14:textId="7C9F8E33" w:rsidR="001735E7" w:rsidRPr="001735E7" w:rsidRDefault="001735E7" w:rsidP="00FA06E6">
      <w:pPr>
        <w:rPr>
          <w:rFonts w:ascii="Times New Roman" w:hAnsi="Times New Roman" w:cs="Times New Roman"/>
        </w:rPr>
      </w:pPr>
      <w:r w:rsidRPr="001735E7">
        <w:rPr>
          <w:rFonts w:ascii="Times New Roman" w:hAnsi="Times New Roman" w:cs="Times New Roman"/>
        </w:rPr>
        <w:lastRenderedPageBreak/>
        <w:t>However, when the analysis is expanded to include all owners of a given type</w:t>
      </w:r>
      <w:r w:rsidR="003A5CD9">
        <w:rPr>
          <w:rFonts w:ascii="Times New Roman" w:hAnsi="Times New Roman" w:cs="Times New Roman"/>
        </w:rPr>
        <w:t xml:space="preserve">, </w:t>
      </w:r>
      <w:r w:rsidRPr="001735E7">
        <w:rPr>
          <w:rFonts w:ascii="Times New Roman" w:hAnsi="Times New Roman" w:cs="Times New Roman"/>
        </w:rPr>
        <w:t>even those with zero SFHA parcels</w:t>
      </w:r>
      <w:r w:rsidR="003A5CD9">
        <w:rPr>
          <w:rFonts w:ascii="Times New Roman" w:hAnsi="Times New Roman" w:cs="Times New Roman"/>
        </w:rPr>
        <w:t xml:space="preserve">, </w:t>
      </w:r>
      <w:r w:rsidRPr="001735E7">
        <w:rPr>
          <w:rFonts w:ascii="Times New Roman" w:hAnsi="Times New Roman" w:cs="Times New Roman"/>
        </w:rPr>
        <w:t xml:space="preserve">the concentration of </w:t>
      </w:r>
      <w:r w:rsidR="003A5CD9">
        <w:rPr>
          <w:rFonts w:ascii="Times New Roman" w:hAnsi="Times New Roman" w:cs="Times New Roman"/>
        </w:rPr>
        <w:t>exposure</w:t>
      </w:r>
      <w:r w:rsidRPr="001735E7">
        <w:rPr>
          <w:rFonts w:ascii="Times New Roman" w:hAnsi="Times New Roman" w:cs="Times New Roman"/>
        </w:rPr>
        <w:t xml:space="preserve"> within the </w:t>
      </w:r>
      <w:r w:rsidR="003A5CD9">
        <w:rPr>
          <w:rFonts w:ascii="Times New Roman" w:hAnsi="Times New Roman" w:cs="Times New Roman"/>
        </w:rPr>
        <w:t>i</w:t>
      </w:r>
      <w:r w:rsidRPr="001735E7">
        <w:rPr>
          <w:rFonts w:ascii="Times New Roman" w:hAnsi="Times New Roman" w:cs="Times New Roman"/>
        </w:rPr>
        <w:t>ndividual and </w:t>
      </w:r>
      <w:r w:rsidR="003A5CD9">
        <w:rPr>
          <w:rFonts w:ascii="Times New Roman" w:hAnsi="Times New Roman" w:cs="Times New Roman"/>
        </w:rPr>
        <w:t>t</w:t>
      </w:r>
      <w:r w:rsidRPr="001735E7">
        <w:rPr>
          <w:rFonts w:ascii="Times New Roman" w:hAnsi="Times New Roman" w:cs="Times New Roman"/>
        </w:rPr>
        <w:t>rust categories rises sharply. This indicates that while many individuals and trusts own single</w:t>
      </w:r>
      <w:r w:rsidR="003A5CD9">
        <w:rPr>
          <w:rFonts w:ascii="Times New Roman" w:hAnsi="Times New Roman" w:cs="Times New Roman"/>
        </w:rPr>
        <w:t>-</w:t>
      </w:r>
      <w:r w:rsidRPr="001735E7">
        <w:rPr>
          <w:rFonts w:ascii="Times New Roman" w:hAnsi="Times New Roman" w:cs="Times New Roman"/>
        </w:rPr>
        <w:t xml:space="preserve">family </w:t>
      </w:r>
      <w:r w:rsidR="003A5CD9">
        <w:rPr>
          <w:rFonts w:ascii="Times New Roman" w:hAnsi="Times New Roman" w:cs="Times New Roman"/>
        </w:rPr>
        <w:t>parcels</w:t>
      </w:r>
      <w:r w:rsidRPr="001735E7">
        <w:rPr>
          <w:rFonts w:ascii="Times New Roman" w:hAnsi="Times New Roman" w:cs="Times New Roman"/>
        </w:rPr>
        <w:t xml:space="preserve">, the burden of regulatory flood exposure is concentrated among a small subset of these owners. </w:t>
      </w:r>
    </w:p>
    <w:p w14:paraId="269881B5" w14:textId="77BD53AC" w:rsidR="00EA1DA0" w:rsidRDefault="008F0498" w:rsidP="00FA06E6">
      <w:pPr>
        <w:rPr>
          <w:rFonts w:ascii="Times New Roman" w:hAnsi="Times New Roman" w:cs="Times New Roman"/>
        </w:rPr>
      </w:pPr>
      <w:r w:rsidRPr="00FE427B">
        <w:rPr>
          <w:rFonts w:ascii="Times New Roman" w:hAnsi="Times New Roman" w:cs="Times New Roman"/>
          <w:b/>
          <w:bCs/>
        </w:rPr>
        <w:t xml:space="preserve">4.3 </w:t>
      </w:r>
      <w:r w:rsidR="00FE427B" w:rsidRPr="00FE427B">
        <w:rPr>
          <w:rFonts w:ascii="Times New Roman" w:hAnsi="Times New Roman" w:cs="Times New Roman"/>
          <w:b/>
          <w:bCs/>
        </w:rPr>
        <w:t>Primary Model Estimates</w:t>
      </w:r>
      <w:r w:rsidR="00BD78C6">
        <w:rPr>
          <w:rFonts w:ascii="Times New Roman" w:hAnsi="Times New Roman" w:cs="Times New Roman"/>
          <w:noProof/>
        </w:rPr>
        <w:drawing>
          <wp:inline distT="0" distB="0" distL="0" distR="0" wp14:anchorId="1B875C2B" wp14:editId="55EA204C">
            <wp:extent cx="5669537" cy="3107342"/>
            <wp:effectExtent l="0" t="0" r="0" b="4445"/>
            <wp:docPr id="2041135571" name="Picture 3" descr="A graph with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35571" name="Picture 3" descr="A graph with colorful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89553" cy="3173120"/>
                    </a:xfrm>
                    <a:prstGeom prst="rect">
                      <a:avLst/>
                    </a:prstGeom>
                  </pic:spPr>
                </pic:pic>
              </a:graphicData>
            </a:graphic>
          </wp:inline>
        </w:drawing>
      </w:r>
    </w:p>
    <w:p w14:paraId="48A75A70" w14:textId="6829AD6A" w:rsidR="00AC7E80" w:rsidRDefault="00AC7E80" w:rsidP="00FA06E6">
      <w:pPr>
        <w:rPr>
          <w:rFonts w:ascii="Times New Roman" w:hAnsi="Times New Roman" w:cs="Times New Roman"/>
        </w:rPr>
      </w:pPr>
      <w:r>
        <w:rPr>
          <w:rFonts w:ascii="Times New Roman" w:hAnsi="Times New Roman" w:cs="Times New Roman"/>
        </w:rPr>
        <w:t xml:space="preserve">Figure 3. </w:t>
      </w:r>
      <w:r w:rsidR="00A26906" w:rsidRPr="00A26906">
        <w:rPr>
          <w:rFonts w:ascii="Times New Roman" w:hAnsi="Times New Roman" w:cs="Times New Roman"/>
        </w:rPr>
        <w:t xml:space="preserve">Adjusted </w:t>
      </w:r>
      <w:r w:rsidR="00A26906">
        <w:rPr>
          <w:rFonts w:ascii="Times New Roman" w:hAnsi="Times New Roman" w:cs="Times New Roman"/>
        </w:rPr>
        <w:t>RR</w:t>
      </w:r>
      <w:r w:rsidR="00A26906" w:rsidRPr="00A26906">
        <w:rPr>
          <w:rFonts w:ascii="Times New Roman" w:hAnsi="Times New Roman" w:cs="Times New Roman"/>
        </w:rPr>
        <w:t xml:space="preserve">s for </w:t>
      </w:r>
      <w:r w:rsidR="00FB7DE3">
        <w:rPr>
          <w:rFonts w:ascii="Times New Roman" w:hAnsi="Times New Roman" w:cs="Times New Roman"/>
        </w:rPr>
        <w:t xml:space="preserve">SFHA </w:t>
      </w:r>
      <w:r w:rsidR="00A26906" w:rsidRPr="00A26906">
        <w:rPr>
          <w:rFonts w:ascii="Times New Roman" w:hAnsi="Times New Roman" w:cs="Times New Roman"/>
        </w:rPr>
        <w:t>Location</w:t>
      </w:r>
      <w:r w:rsidR="00FB7DE3">
        <w:rPr>
          <w:rFonts w:ascii="Times New Roman" w:hAnsi="Times New Roman" w:cs="Times New Roman"/>
        </w:rPr>
        <w:t>s</w:t>
      </w:r>
      <w:r w:rsidR="00A26906" w:rsidRPr="00A26906">
        <w:rPr>
          <w:rFonts w:ascii="Times New Roman" w:hAnsi="Times New Roman" w:cs="Times New Roman"/>
        </w:rPr>
        <w:t xml:space="preserve"> by Ownership Structure and Portfolio Size</w:t>
      </w:r>
    </w:p>
    <w:p w14:paraId="165FD193" w14:textId="3F12E7E5" w:rsidR="00492F19" w:rsidRPr="00492F19" w:rsidRDefault="00492F19" w:rsidP="00FA06E6">
      <w:pPr>
        <w:spacing w:after="100" w:afterAutospacing="1" w:line="240" w:lineRule="auto"/>
        <w:rPr>
          <w:rFonts w:ascii="Times New Roman" w:eastAsia="Times New Roman" w:hAnsi="Times New Roman" w:cs="Times New Roman"/>
          <w:color w:val="000000"/>
          <w:kern w:val="0"/>
          <w14:ligatures w14:val="none"/>
        </w:rPr>
      </w:pPr>
      <w:r w:rsidRPr="00492F19">
        <w:rPr>
          <w:rFonts w:ascii="Times New Roman" w:eastAsia="Times New Roman" w:hAnsi="Times New Roman" w:cs="Times New Roman"/>
          <w:color w:val="000000"/>
          <w:kern w:val="0"/>
          <w14:ligatures w14:val="none"/>
        </w:rPr>
        <w:t xml:space="preserve">The </w:t>
      </w:r>
      <w:r w:rsidR="005D498F">
        <w:rPr>
          <w:rFonts w:ascii="Times New Roman" w:eastAsia="Times New Roman" w:hAnsi="Times New Roman" w:cs="Times New Roman"/>
          <w:color w:val="000000"/>
          <w:kern w:val="0"/>
          <w14:ligatures w14:val="none"/>
        </w:rPr>
        <w:t>RRs</w:t>
      </w:r>
      <w:r w:rsidRPr="00492F19">
        <w:rPr>
          <w:rFonts w:ascii="Times New Roman" w:eastAsia="Times New Roman" w:hAnsi="Times New Roman" w:cs="Times New Roman"/>
          <w:color w:val="000000"/>
          <w:kern w:val="0"/>
          <w14:ligatures w14:val="none"/>
        </w:rPr>
        <w:t xml:space="preserve"> from our primary modified</w:t>
      </w:r>
      <w:r w:rsidR="005E02C4">
        <w:rPr>
          <w:rFonts w:ascii="Times New Roman" w:eastAsia="Times New Roman" w:hAnsi="Times New Roman" w:cs="Times New Roman"/>
          <w:color w:val="000000"/>
          <w:kern w:val="0"/>
          <w14:ligatures w14:val="none"/>
        </w:rPr>
        <w:t xml:space="preserve"> </w:t>
      </w:r>
      <w:r w:rsidRPr="00492F19">
        <w:rPr>
          <w:rFonts w:ascii="Times New Roman" w:eastAsia="Times New Roman" w:hAnsi="Times New Roman" w:cs="Times New Roman"/>
          <w:color w:val="000000"/>
          <w:kern w:val="0"/>
          <w14:ligatures w14:val="none"/>
        </w:rPr>
        <w:t xml:space="preserve">Poisson specification, which incorporates parcel controls and neighborhood fixed effects, are detailed in Table </w:t>
      </w:r>
      <w:r w:rsidR="0060024D">
        <w:rPr>
          <w:rFonts w:ascii="Times New Roman" w:eastAsia="Times New Roman" w:hAnsi="Times New Roman" w:cs="Times New Roman"/>
          <w:color w:val="000000"/>
          <w:kern w:val="0"/>
          <w14:ligatures w14:val="none"/>
        </w:rPr>
        <w:t>8</w:t>
      </w:r>
      <w:r w:rsidRPr="00492F19">
        <w:rPr>
          <w:rFonts w:ascii="Times New Roman" w:eastAsia="Times New Roman" w:hAnsi="Times New Roman" w:cs="Times New Roman"/>
          <w:color w:val="000000"/>
          <w:kern w:val="0"/>
          <w14:ligatures w14:val="none"/>
        </w:rPr>
        <w:t>. The results reveal that a parcel’s flood exposure is systematically associated with its owner's organizational form and portfolio scale</w:t>
      </w:r>
      <w:r w:rsidR="00D260F8">
        <w:rPr>
          <w:rFonts w:ascii="Times New Roman" w:eastAsia="Times New Roman" w:hAnsi="Times New Roman" w:cs="Times New Roman"/>
          <w:color w:val="000000"/>
          <w:kern w:val="0"/>
          <w14:ligatures w14:val="none"/>
        </w:rPr>
        <w:t xml:space="preserve"> after accounting for relevant parcel characteristics. </w:t>
      </w:r>
    </w:p>
    <w:p w14:paraId="74F7B763" w14:textId="27A41B94" w:rsidR="00492F19" w:rsidRPr="00492F19" w:rsidRDefault="00492F19" w:rsidP="00FA06E6">
      <w:pPr>
        <w:spacing w:after="100" w:afterAutospacing="1" w:line="240" w:lineRule="auto"/>
        <w:rPr>
          <w:rFonts w:ascii="Times New Roman" w:eastAsia="Times New Roman" w:hAnsi="Times New Roman" w:cs="Times New Roman"/>
          <w:color w:val="000000"/>
          <w:kern w:val="0"/>
          <w14:ligatures w14:val="none"/>
        </w:rPr>
      </w:pPr>
      <w:r w:rsidRPr="00492F19">
        <w:rPr>
          <w:rFonts w:ascii="Times New Roman" w:eastAsia="Times New Roman" w:hAnsi="Times New Roman" w:cs="Times New Roman"/>
          <w:color w:val="000000"/>
          <w:kern w:val="0"/>
          <w14:ligatures w14:val="none"/>
        </w:rPr>
        <w:t>The most striking finding is the comparison between single</w:t>
      </w:r>
      <w:r w:rsidR="005D498F">
        <w:rPr>
          <w:rFonts w:ascii="Times New Roman" w:eastAsia="Times New Roman" w:hAnsi="Times New Roman" w:cs="Times New Roman"/>
          <w:color w:val="000000"/>
          <w:kern w:val="0"/>
          <w14:ligatures w14:val="none"/>
        </w:rPr>
        <w:t xml:space="preserve"> </w:t>
      </w:r>
      <w:r w:rsidRPr="00492F19">
        <w:rPr>
          <w:rFonts w:ascii="Times New Roman" w:eastAsia="Times New Roman" w:hAnsi="Times New Roman" w:cs="Times New Roman"/>
          <w:color w:val="000000"/>
          <w:kern w:val="0"/>
          <w14:ligatures w14:val="none"/>
        </w:rPr>
        <w:t>parcel LLCs and single</w:t>
      </w:r>
      <w:r w:rsidR="005D498F">
        <w:rPr>
          <w:rFonts w:ascii="Times New Roman" w:eastAsia="Times New Roman" w:hAnsi="Times New Roman" w:cs="Times New Roman"/>
          <w:color w:val="000000"/>
          <w:kern w:val="0"/>
          <w14:ligatures w14:val="none"/>
        </w:rPr>
        <w:t xml:space="preserve"> </w:t>
      </w:r>
      <w:r w:rsidRPr="00492F19">
        <w:rPr>
          <w:rFonts w:ascii="Times New Roman" w:eastAsia="Times New Roman" w:hAnsi="Times New Roman" w:cs="Times New Roman"/>
          <w:color w:val="000000"/>
          <w:kern w:val="0"/>
          <w14:ligatures w14:val="none"/>
        </w:rPr>
        <w:t xml:space="preserve">parcel </w:t>
      </w:r>
      <w:r w:rsidR="0004424C">
        <w:rPr>
          <w:rFonts w:ascii="Times New Roman" w:eastAsia="Times New Roman" w:hAnsi="Times New Roman" w:cs="Times New Roman"/>
          <w:color w:val="000000"/>
          <w:kern w:val="0"/>
          <w14:ligatures w14:val="none"/>
        </w:rPr>
        <w:t>i</w:t>
      </w:r>
      <w:r w:rsidRPr="00492F19">
        <w:rPr>
          <w:rFonts w:ascii="Times New Roman" w:eastAsia="Times New Roman" w:hAnsi="Times New Roman" w:cs="Times New Roman"/>
          <w:color w:val="000000"/>
          <w:kern w:val="0"/>
          <w14:ligatures w14:val="none"/>
        </w:rPr>
        <w:t>ndividuals. After adjusting for other factors, single</w:t>
      </w:r>
      <w:r w:rsidR="000613A0">
        <w:rPr>
          <w:rFonts w:ascii="Times New Roman" w:eastAsia="Times New Roman" w:hAnsi="Times New Roman" w:cs="Times New Roman"/>
          <w:color w:val="000000"/>
          <w:kern w:val="0"/>
          <w14:ligatures w14:val="none"/>
        </w:rPr>
        <w:t xml:space="preserve"> </w:t>
      </w:r>
      <w:r w:rsidRPr="00492F19">
        <w:rPr>
          <w:rFonts w:ascii="Times New Roman" w:eastAsia="Times New Roman" w:hAnsi="Times New Roman" w:cs="Times New Roman"/>
          <w:color w:val="000000"/>
          <w:kern w:val="0"/>
          <w14:ligatures w14:val="none"/>
        </w:rPr>
        <w:t>parcel LLCs have a 72.4% higher risk of SFHA</w:t>
      </w:r>
      <w:r>
        <w:rPr>
          <w:rFonts w:ascii="Times New Roman" w:eastAsia="Times New Roman" w:hAnsi="Times New Roman" w:cs="Times New Roman"/>
          <w:color w:val="000000"/>
          <w:kern w:val="0"/>
          <w14:ligatures w14:val="none"/>
        </w:rPr>
        <w:t xml:space="preserve"> exposure</w:t>
      </w:r>
      <w:r w:rsidRPr="00492F19">
        <w:rPr>
          <w:rFonts w:ascii="Times New Roman" w:eastAsia="Times New Roman" w:hAnsi="Times New Roman" w:cs="Times New Roman"/>
          <w:color w:val="000000"/>
          <w:kern w:val="0"/>
          <w14:ligatures w14:val="none"/>
        </w:rPr>
        <w:t xml:space="preserve">. Other owner types also show significantly elevated exposure compared to the single-parcel </w:t>
      </w:r>
      <w:r w:rsidR="00736063">
        <w:rPr>
          <w:rFonts w:ascii="Times New Roman" w:eastAsia="Times New Roman" w:hAnsi="Times New Roman" w:cs="Times New Roman"/>
          <w:color w:val="000000"/>
          <w:kern w:val="0"/>
          <w14:ligatures w14:val="none"/>
        </w:rPr>
        <w:t>i</w:t>
      </w:r>
      <w:r w:rsidRPr="00492F19">
        <w:rPr>
          <w:rFonts w:ascii="Times New Roman" w:eastAsia="Times New Roman" w:hAnsi="Times New Roman" w:cs="Times New Roman"/>
          <w:color w:val="000000"/>
          <w:kern w:val="0"/>
          <w14:ligatures w14:val="none"/>
        </w:rPr>
        <w:t>ndividual</w:t>
      </w:r>
      <w:r w:rsidR="0004424C">
        <w:rPr>
          <w:rFonts w:ascii="Times New Roman" w:eastAsia="Times New Roman" w:hAnsi="Times New Roman" w:cs="Times New Roman"/>
          <w:color w:val="000000"/>
          <w:kern w:val="0"/>
          <w14:ligatures w14:val="none"/>
        </w:rPr>
        <w:t xml:space="preserve"> owner</w:t>
      </w:r>
      <w:r w:rsidRPr="00492F19">
        <w:rPr>
          <w:rFonts w:ascii="Times New Roman" w:eastAsia="Times New Roman" w:hAnsi="Times New Roman" w:cs="Times New Roman"/>
          <w:color w:val="000000"/>
          <w:kern w:val="0"/>
          <w14:ligatures w14:val="none"/>
        </w:rPr>
        <w:t xml:space="preserve"> reference group. Specifically, multi-parcel </w:t>
      </w:r>
      <w:r w:rsidR="00736063">
        <w:rPr>
          <w:rFonts w:ascii="Times New Roman" w:eastAsia="Times New Roman" w:hAnsi="Times New Roman" w:cs="Times New Roman"/>
          <w:color w:val="000000"/>
          <w:kern w:val="0"/>
          <w14:ligatures w14:val="none"/>
        </w:rPr>
        <w:t>c</w:t>
      </w:r>
      <w:r w:rsidRPr="00492F19">
        <w:rPr>
          <w:rFonts w:ascii="Times New Roman" w:eastAsia="Times New Roman" w:hAnsi="Times New Roman" w:cs="Times New Roman"/>
          <w:color w:val="000000"/>
          <w:kern w:val="0"/>
          <w14:ligatures w14:val="none"/>
        </w:rPr>
        <w:t xml:space="preserve">orporations have a 62.2% higher risk and multi-parcel LLCs have a 48.9% higher risk. The trend is also present among </w:t>
      </w:r>
      <w:r w:rsidR="0004424C">
        <w:rPr>
          <w:rFonts w:ascii="Times New Roman" w:eastAsia="Times New Roman" w:hAnsi="Times New Roman" w:cs="Times New Roman"/>
          <w:color w:val="000000"/>
          <w:kern w:val="0"/>
          <w14:ligatures w14:val="none"/>
        </w:rPr>
        <w:t>i</w:t>
      </w:r>
      <w:r w:rsidRPr="00492F19">
        <w:rPr>
          <w:rFonts w:ascii="Times New Roman" w:eastAsia="Times New Roman" w:hAnsi="Times New Roman" w:cs="Times New Roman"/>
          <w:color w:val="000000"/>
          <w:kern w:val="0"/>
          <w14:ligatures w14:val="none"/>
        </w:rPr>
        <w:t>ndividuals, where those holding multiple parcels have a 32.4% greater risk than their single</w:t>
      </w:r>
      <w:r w:rsidR="000613A0">
        <w:rPr>
          <w:rFonts w:ascii="Times New Roman" w:eastAsia="Times New Roman" w:hAnsi="Times New Roman" w:cs="Times New Roman"/>
          <w:color w:val="000000"/>
          <w:kern w:val="0"/>
          <w14:ligatures w14:val="none"/>
        </w:rPr>
        <w:t xml:space="preserve"> </w:t>
      </w:r>
      <w:r w:rsidRPr="00492F19">
        <w:rPr>
          <w:rFonts w:ascii="Times New Roman" w:eastAsia="Times New Roman" w:hAnsi="Times New Roman" w:cs="Times New Roman"/>
          <w:color w:val="000000"/>
          <w:kern w:val="0"/>
          <w14:ligatures w14:val="none"/>
        </w:rPr>
        <w:t xml:space="preserve">parcel counterparts. A modest scale gradient is also observed for </w:t>
      </w:r>
      <w:r w:rsidR="0004424C">
        <w:rPr>
          <w:rFonts w:ascii="Times New Roman" w:eastAsia="Times New Roman" w:hAnsi="Times New Roman" w:cs="Times New Roman"/>
          <w:color w:val="000000"/>
          <w:kern w:val="0"/>
          <w14:ligatures w14:val="none"/>
        </w:rPr>
        <w:t>t</w:t>
      </w:r>
      <w:r w:rsidRPr="00492F19">
        <w:rPr>
          <w:rFonts w:ascii="Times New Roman" w:eastAsia="Times New Roman" w:hAnsi="Times New Roman" w:cs="Times New Roman"/>
          <w:color w:val="000000"/>
          <w:kern w:val="0"/>
          <w14:ligatures w14:val="none"/>
        </w:rPr>
        <w:t xml:space="preserve">rusts, with multi-parcel </w:t>
      </w:r>
      <w:r w:rsidR="0004424C">
        <w:rPr>
          <w:rFonts w:ascii="Times New Roman" w:eastAsia="Times New Roman" w:hAnsi="Times New Roman" w:cs="Times New Roman"/>
          <w:color w:val="000000"/>
          <w:kern w:val="0"/>
          <w14:ligatures w14:val="none"/>
        </w:rPr>
        <w:t>t</w:t>
      </w:r>
      <w:r w:rsidRPr="00492F19">
        <w:rPr>
          <w:rFonts w:ascii="Times New Roman" w:eastAsia="Times New Roman" w:hAnsi="Times New Roman" w:cs="Times New Roman"/>
          <w:color w:val="000000"/>
          <w:kern w:val="0"/>
          <w14:ligatures w14:val="none"/>
        </w:rPr>
        <w:t xml:space="preserve">rust holdings showing a significantly higher risk, while single-parcel </w:t>
      </w:r>
      <w:r w:rsidR="00736063">
        <w:rPr>
          <w:rFonts w:ascii="Times New Roman" w:eastAsia="Times New Roman" w:hAnsi="Times New Roman" w:cs="Times New Roman"/>
          <w:color w:val="000000"/>
          <w:kern w:val="0"/>
          <w14:ligatures w14:val="none"/>
        </w:rPr>
        <w:t>t</w:t>
      </w:r>
      <w:r w:rsidRPr="00492F19">
        <w:rPr>
          <w:rFonts w:ascii="Times New Roman" w:eastAsia="Times New Roman" w:hAnsi="Times New Roman" w:cs="Times New Roman"/>
          <w:color w:val="000000"/>
          <w:kern w:val="0"/>
          <w14:ligatures w14:val="none"/>
        </w:rPr>
        <w:t xml:space="preserve">rusts do not. In contrast, parcels held by </w:t>
      </w:r>
      <w:r w:rsidR="00736063">
        <w:rPr>
          <w:rFonts w:ascii="Times New Roman" w:eastAsia="Times New Roman" w:hAnsi="Times New Roman" w:cs="Times New Roman"/>
          <w:color w:val="000000"/>
          <w:kern w:val="0"/>
          <w14:ligatures w14:val="none"/>
        </w:rPr>
        <w:t>g</w:t>
      </w:r>
      <w:r w:rsidRPr="00492F19">
        <w:rPr>
          <w:rFonts w:ascii="Times New Roman" w:eastAsia="Times New Roman" w:hAnsi="Times New Roman" w:cs="Times New Roman"/>
          <w:color w:val="000000"/>
          <w:kern w:val="0"/>
          <w14:ligatures w14:val="none"/>
        </w:rPr>
        <w:t xml:space="preserve">overnment or </w:t>
      </w:r>
      <w:r w:rsidR="00736063">
        <w:rPr>
          <w:rFonts w:ascii="Times New Roman" w:eastAsia="Times New Roman" w:hAnsi="Times New Roman" w:cs="Times New Roman"/>
          <w:color w:val="000000"/>
          <w:kern w:val="0"/>
          <w14:ligatures w14:val="none"/>
        </w:rPr>
        <w:t>n</w:t>
      </w:r>
      <w:r w:rsidRPr="00492F19">
        <w:rPr>
          <w:rFonts w:ascii="Times New Roman" w:eastAsia="Times New Roman" w:hAnsi="Times New Roman" w:cs="Times New Roman"/>
          <w:color w:val="000000"/>
          <w:kern w:val="0"/>
          <w14:ligatures w14:val="none"/>
        </w:rPr>
        <w:t xml:space="preserve">onprofit entities show no significant difference in flood exposure from the baseline. </w:t>
      </w:r>
    </w:p>
    <w:p w14:paraId="066C1CCB" w14:textId="057EB3B7" w:rsidR="008F0498" w:rsidRPr="008F0498" w:rsidRDefault="008F0498" w:rsidP="00FA06E6">
      <w:pPr>
        <w:rPr>
          <w:rFonts w:ascii="Times New Roman" w:hAnsi="Times New Roman" w:cs="Times New Roman"/>
        </w:rPr>
      </w:pPr>
      <w:r w:rsidRPr="008F0498">
        <w:rPr>
          <w:rFonts w:ascii="Times New Roman" w:hAnsi="Times New Roman" w:cs="Times New Roman"/>
        </w:rPr>
        <w:t xml:space="preserve">Table </w:t>
      </w:r>
      <w:r w:rsidR="005E6451">
        <w:rPr>
          <w:rFonts w:ascii="Times New Roman" w:hAnsi="Times New Roman" w:cs="Times New Roman"/>
        </w:rPr>
        <w:t>8</w:t>
      </w:r>
      <w:r w:rsidRPr="008F0498">
        <w:rPr>
          <w:rFonts w:ascii="Times New Roman" w:hAnsi="Times New Roman" w:cs="Times New Roman"/>
        </w:rPr>
        <w:t xml:space="preserve">. Adjusted risk of SFHA location by organizational form and portfolio scale </w:t>
      </w:r>
    </w:p>
    <w:tbl>
      <w:tblPr>
        <w:tblStyle w:val="PlainTable4"/>
        <w:tblW w:w="0" w:type="auto"/>
        <w:tblLook w:val="04A0" w:firstRow="1" w:lastRow="0" w:firstColumn="1" w:lastColumn="0" w:noHBand="0" w:noVBand="1"/>
      </w:tblPr>
      <w:tblGrid>
        <w:gridCol w:w="3068"/>
        <w:gridCol w:w="1213"/>
        <w:gridCol w:w="1316"/>
        <w:gridCol w:w="913"/>
      </w:tblGrid>
      <w:tr w:rsidR="008F0498" w:rsidRPr="008F0498" w14:paraId="55F38649" w14:textId="77777777" w:rsidTr="006A08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993E42" w14:textId="77777777" w:rsidR="008F0498" w:rsidRPr="008F0498" w:rsidRDefault="008F0498" w:rsidP="00FA06E6">
            <w:pPr>
              <w:rPr>
                <w:rFonts w:ascii="Times New Roman" w:hAnsi="Times New Roman" w:cs="Times New Roman"/>
              </w:rPr>
            </w:pPr>
            <w:r w:rsidRPr="008F0498">
              <w:rPr>
                <w:rFonts w:ascii="Times New Roman" w:hAnsi="Times New Roman" w:cs="Times New Roman"/>
              </w:rPr>
              <w:t>Group</w:t>
            </w:r>
          </w:p>
        </w:tc>
        <w:tc>
          <w:tcPr>
            <w:tcW w:w="0" w:type="auto"/>
            <w:hideMark/>
          </w:tcPr>
          <w:p w14:paraId="1DF651C1" w14:textId="77777777" w:rsidR="008F0498" w:rsidRPr="008F0498" w:rsidRDefault="008F0498" w:rsidP="00FA06E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Risk Ratio</w:t>
            </w:r>
          </w:p>
        </w:tc>
        <w:tc>
          <w:tcPr>
            <w:tcW w:w="0" w:type="auto"/>
            <w:hideMark/>
          </w:tcPr>
          <w:p w14:paraId="0DAB229F" w14:textId="77777777" w:rsidR="008F0498" w:rsidRPr="008F0498" w:rsidRDefault="008F0498" w:rsidP="00FA06E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95% CI</w:t>
            </w:r>
          </w:p>
        </w:tc>
        <w:tc>
          <w:tcPr>
            <w:tcW w:w="0" w:type="auto"/>
            <w:hideMark/>
          </w:tcPr>
          <w:p w14:paraId="795BE881" w14:textId="77777777" w:rsidR="008F0498" w:rsidRPr="008F0498" w:rsidRDefault="008F0498" w:rsidP="00FA06E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p</w:t>
            </w:r>
            <w:r w:rsidRPr="008F0498">
              <w:rPr>
                <w:rFonts w:ascii="Times New Roman" w:hAnsi="Times New Roman" w:cs="Times New Roman"/>
              </w:rPr>
              <w:noBreakHyphen/>
              <w:t>value</w:t>
            </w:r>
          </w:p>
        </w:tc>
      </w:tr>
      <w:tr w:rsidR="008F0498" w:rsidRPr="008F0498" w14:paraId="76FC3D8D" w14:textId="77777777" w:rsidTr="006A0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738E3C" w14:textId="77777777" w:rsidR="008F0498" w:rsidRPr="006A08FA" w:rsidRDefault="008F0498" w:rsidP="00FA06E6">
            <w:pPr>
              <w:rPr>
                <w:rFonts w:ascii="Times New Roman" w:hAnsi="Times New Roman" w:cs="Times New Roman"/>
                <w:b w:val="0"/>
                <w:bCs w:val="0"/>
                <w:i/>
                <w:iCs/>
              </w:rPr>
            </w:pPr>
            <w:r w:rsidRPr="006A08FA">
              <w:rPr>
                <w:rFonts w:ascii="Times New Roman" w:hAnsi="Times New Roman" w:cs="Times New Roman"/>
                <w:b w:val="0"/>
                <w:bCs w:val="0"/>
                <w:i/>
                <w:iCs/>
              </w:rPr>
              <w:t>Individual — Single</w:t>
            </w:r>
          </w:p>
        </w:tc>
        <w:tc>
          <w:tcPr>
            <w:tcW w:w="0" w:type="auto"/>
            <w:hideMark/>
          </w:tcPr>
          <w:p w14:paraId="3E248D55" w14:textId="77777777"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1.000</w:t>
            </w:r>
          </w:p>
        </w:tc>
        <w:tc>
          <w:tcPr>
            <w:tcW w:w="0" w:type="auto"/>
            <w:hideMark/>
          </w:tcPr>
          <w:p w14:paraId="1B4EC12F" w14:textId="77777777"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w:t>
            </w:r>
          </w:p>
        </w:tc>
        <w:tc>
          <w:tcPr>
            <w:tcW w:w="0" w:type="auto"/>
            <w:hideMark/>
          </w:tcPr>
          <w:p w14:paraId="3755F09B" w14:textId="77777777"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w:t>
            </w:r>
          </w:p>
        </w:tc>
      </w:tr>
      <w:tr w:rsidR="008F0498" w:rsidRPr="008F0498" w14:paraId="5B9FF46B" w14:textId="77777777" w:rsidTr="006A08FA">
        <w:tc>
          <w:tcPr>
            <w:cnfStyle w:val="001000000000" w:firstRow="0" w:lastRow="0" w:firstColumn="1" w:lastColumn="0" w:oddVBand="0" w:evenVBand="0" w:oddHBand="0" w:evenHBand="0" w:firstRowFirstColumn="0" w:firstRowLastColumn="0" w:lastRowFirstColumn="0" w:lastRowLastColumn="0"/>
            <w:tcW w:w="0" w:type="auto"/>
            <w:hideMark/>
          </w:tcPr>
          <w:p w14:paraId="45D242DB" w14:textId="77777777" w:rsidR="008F0498" w:rsidRPr="006A08FA" w:rsidRDefault="008F0498" w:rsidP="00FA06E6">
            <w:pPr>
              <w:rPr>
                <w:rFonts w:ascii="Times New Roman" w:hAnsi="Times New Roman" w:cs="Times New Roman"/>
                <w:b w:val="0"/>
                <w:bCs w:val="0"/>
                <w:i/>
                <w:iCs/>
              </w:rPr>
            </w:pPr>
            <w:r w:rsidRPr="006A08FA">
              <w:rPr>
                <w:rFonts w:ascii="Times New Roman" w:hAnsi="Times New Roman" w:cs="Times New Roman"/>
                <w:b w:val="0"/>
                <w:bCs w:val="0"/>
                <w:i/>
                <w:iCs/>
              </w:rPr>
              <w:t>Individual — Multi</w:t>
            </w:r>
          </w:p>
        </w:tc>
        <w:tc>
          <w:tcPr>
            <w:tcW w:w="0" w:type="auto"/>
            <w:hideMark/>
          </w:tcPr>
          <w:p w14:paraId="2E5BB655" w14:textId="599D438F" w:rsidR="008F0498" w:rsidRPr="008F0498" w:rsidRDefault="008F049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1.</w:t>
            </w:r>
            <w:r w:rsidR="00401AD9">
              <w:rPr>
                <w:rFonts w:ascii="Times New Roman" w:hAnsi="Times New Roman" w:cs="Times New Roman"/>
              </w:rPr>
              <w:t>199</w:t>
            </w:r>
            <w:r w:rsidRPr="00AE061A">
              <w:rPr>
                <w:rFonts w:ascii="Times New Roman" w:hAnsi="Times New Roman" w:cs="Times New Roman"/>
                <w:vertAlign w:val="superscript"/>
              </w:rPr>
              <w:t>**</w:t>
            </w:r>
          </w:p>
        </w:tc>
        <w:tc>
          <w:tcPr>
            <w:tcW w:w="0" w:type="auto"/>
            <w:hideMark/>
          </w:tcPr>
          <w:p w14:paraId="0F6EAE81" w14:textId="3410EA89" w:rsidR="008F0498" w:rsidRPr="008F0498" w:rsidRDefault="008F049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1.</w:t>
            </w:r>
            <w:r w:rsidR="00C447D6">
              <w:rPr>
                <w:rFonts w:ascii="Times New Roman" w:hAnsi="Times New Roman" w:cs="Times New Roman"/>
              </w:rPr>
              <w:t>062</w:t>
            </w:r>
            <w:r w:rsidRPr="008F0498">
              <w:rPr>
                <w:rFonts w:ascii="Times New Roman" w:hAnsi="Times New Roman" w:cs="Times New Roman"/>
              </w:rPr>
              <w:t>–1.</w:t>
            </w:r>
            <w:r w:rsidR="00C447D6">
              <w:rPr>
                <w:rFonts w:ascii="Times New Roman" w:hAnsi="Times New Roman" w:cs="Times New Roman"/>
              </w:rPr>
              <w:t>354</w:t>
            </w:r>
          </w:p>
        </w:tc>
        <w:tc>
          <w:tcPr>
            <w:tcW w:w="0" w:type="auto"/>
            <w:hideMark/>
          </w:tcPr>
          <w:p w14:paraId="24293340" w14:textId="5AA17410" w:rsidR="008F0498" w:rsidRPr="008F0498" w:rsidRDefault="0050270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02708">
              <w:rPr>
                <w:rFonts w:ascii="Times New Roman" w:hAnsi="Times New Roman" w:cs="Times New Roman"/>
              </w:rPr>
              <w:t>.00</w:t>
            </w:r>
            <w:r w:rsidR="00C447D6">
              <w:rPr>
                <w:rFonts w:ascii="Times New Roman" w:hAnsi="Times New Roman" w:cs="Times New Roman"/>
              </w:rPr>
              <w:t>3</w:t>
            </w:r>
          </w:p>
        </w:tc>
      </w:tr>
      <w:tr w:rsidR="008F0498" w:rsidRPr="008F0498" w14:paraId="45B4B7E2" w14:textId="77777777" w:rsidTr="006A0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70825E" w14:textId="77777777" w:rsidR="008F0498" w:rsidRPr="006A08FA" w:rsidRDefault="008F0498" w:rsidP="00FA06E6">
            <w:pPr>
              <w:rPr>
                <w:rFonts w:ascii="Times New Roman" w:hAnsi="Times New Roman" w:cs="Times New Roman"/>
                <w:b w:val="0"/>
                <w:bCs w:val="0"/>
                <w:i/>
                <w:iCs/>
              </w:rPr>
            </w:pPr>
            <w:r w:rsidRPr="006A08FA">
              <w:rPr>
                <w:rFonts w:ascii="Times New Roman" w:hAnsi="Times New Roman" w:cs="Times New Roman"/>
                <w:b w:val="0"/>
                <w:bCs w:val="0"/>
                <w:i/>
                <w:iCs/>
              </w:rPr>
              <w:t>LLC — Single</w:t>
            </w:r>
          </w:p>
        </w:tc>
        <w:tc>
          <w:tcPr>
            <w:tcW w:w="0" w:type="auto"/>
            <w:hideMark/>
          </w:tcPr>
          <w:p w14:paraId="51460D4A" w14:textId="77777777"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1.724</w:t>
            </w:r>
            <w:r w:rsidRPr="00AE061A">
              <w:rPr>
                <w:rFonts w:ascii="Times New Roman" w:hAnsi="Times New Roman" w:cs="Times New Roman"/>
                <w:vertAlign w:val="superscript"/>
              </w:rPr>
              <w:t>***</w:t>
            </w:r>
          </w:p>
        </w:tc>
        <w:tc>
          <w:tcPr>
            <w:tcW w:w="0" w:type="auto"/>
            <w:hideMark/>
          </w:tcPr>
          <w:p w14:paraId="0778B21E" w14:textId="337FEE51"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1.4</w:t>
            </w:r>
            <w:r w:rsidR="00C12758">
              <w:rPr>
                <w:rFonts w:ascii="Times New Roman" w:hAnsi="Times New Roman" w:cs="Times New Roman"/>
              </w:rPr>
              <w:t>58</w:t>
            </w:r>
            <w:r w:rsidRPr="008F0498">
              <w:rPr>
                <w:rFonts w:ascii="Times New Roman" w:hAnsi="Times New Roman" w:cs="Times New Roman"/>
              </w:rPr>
              <w:t>–2.0</w:t>
            </w:r>
            <w:r w:rsidR="00C12758">
              <w:rPr>
                <w:rFonts w:ascii="Times New Roman" w:hAnsi="Times New Roman" w:cs="Times New Roman"/>
              </w:rPr>
              <w:t>38</w:t>
            </w:r>
          </w:p>
        </w:tc>
        <w:tc>
          <w:tcPr>
            <w:tcW w:w="0" w:type="auto"/>
            <w:hideMark/>
          </w:tcPr>
          <w:p w14:paraId="3C55E165" w14:textId="411928F9" w:rsidR="008F0498" w:rsidRPr="008F0498" w:rsidRDefault="0050270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02708">
              <w:rPr>
                <w:rFonts w:ascii="Times New Roman" w:hAnsi="Times New Roman" w:cs="Times New Roman"/>
              </w:rPr>
              <w:t>&lt; .001</w:t>
            </w:r>
          </w:p>
        </w:tc>
      </w:tr>
      <w:tr w:rsidR="008F0498" w:rsidRPr="008F0498" w14:paraId="0791D7F9" w14:textId="77777777" w:rsidTr="006A08FA">
        <w:tc>
          <w:tcPr>
            <w:cnfStyle w:val="001000000000" w:firstRow="0" w:lastRow="0" w:firstColumn="1" w:lastColumn="0" w:oddVBand="0" w:evenVBand="0" w:oddHBand="0" w:evenHBand="0" w:firstRowFirstColumn="0" w:firstRowLastColumn="0" w:lastRowFirstColumn="0" w:lastRowLastColumn="0"/>
            <w:tcW w:w="0" w:type="auto"/>
            <w:hideMark/>
          </w:tcPr>
          <w:p w14:paraId="40FF2AEC" w14:textId="77777777" w:rsidR="008F0498" w:rsidRPr="006A08FA" w:rsidRDefault="008F0498" w:rsidP="00FA06E6">
            <w:pPr>
              <w:rPr>
                <w:rFonts w:ascii="Times New Roman" w:hAnsi="Times New Roman" w:cs="Times New Roman"/>
                <w:b w:val="0"/>
                <w:bCs w:val="0"/>
                <w:i/>
                <w:iCs/>
              </w:rPr>
            </w:pPr>
            <w:r w:rsidRPr="006A08FA">
              <w:rPr>
                <w:rFonts w:ascii="Times New Roman" w:hAnsi="Times New Roman" w:cs="Times New Roman"/>
                <w:b w:val="0"/>
                <w:bCs w:val="0"/>
                <w:i/>
                <w:iCs/>
              </w:rPr>
              <w:t>LLC — Multi</w:t>
            </w:r>
          </w:p>
        </w:tc>
        <w:tc>
          <w:tcPr>
            <w:tcW w:w="0" w:type="auto"/>
            <w:hideMark/>
          </w:tcPr>
          <w:p w14:paraId="181E8710" w14:textId="670343E1" w:rsidR="008F0498" w:rsidRPr="008F0498" w:rsidRDefault="008F049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1.</w:t>
            </w:r>
            <w:r w:rsidR="00C12758">
              <w:rPr>
                <w:rFonts w:ascii="Times New Roman" w:hAnsi="Times New Roman" w:cs="Times New Roman"/>
              </w:rPr>
              <w:t>362</w:t>
            </w:r>
            <w:r w:rsidRPr="00AE061A">
              <w:rPr>
                <w:rFonts w:ascii="Times New Roman" w:hAnsi="Times New Roman" w:cs="Times New Roman"/>
                <w:vertAlign w:val="superscript"/>
              </w:rPr>
              <w:t>***</w:t>
            </w:r>
          </w:p>
        </w:tc>
        <w:tc>
          <w:tcPr>
            <w:tcW w:w="0" w:type="auto"/>
            <w:hideMark/>
          </w:tcPr>
          <w:p w14:paraId="663036CB" w14:textId="3CCA8151" w:rsidR="008F0498" w:rsidRPr="008F0498" w:rsidRDefault="008F049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1.</w:t>
            </w:r>
            <w:r w:rsidR="00C12758">
              <w:rPr>
                <w:rFonts w:ascii="Times New Roman" w:hAnsi="Times New Roman" w:cs="Times New Roman"/>
              </w:rPr>
              <w:t>170</w:t>
            </w:r>
            <w:r w:rsidRPr="008F0498">
              <w:rPr>
                <w:rFonts w:ascii="Times New Roman" w:hAnsi="Times New Roman" w:cs="Times New Roman"/>
              </w:rPr>
              <w:t>–1.</w:t>
            </w:r>
            <w:r w:rsidR="00C12758">
              <w:rPr>
                <w:rFonts w:ascii="Times New Roman" w:hAnsi="Times New Roman" w:cs="Times New Roman"/>
              </w:rPr>
              <w:t>585</w:t>
            </w:r>
          </w:p>
        </w:tc>
        <w:tc>
          <w:tcPr>
            <w:tcW w:w="0" w:type="auto"/>
            <w:hideMark/>
          </w:tcPr>
          <w:p w14:paraId="62B2FC9C" w14:textId="1FC76FCF" w:rsidR="008F0498" w:rsidRPr="008F0498" w:rsidRDefault="0050270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02708">
              <w:rPr>
                <w:rFonts w:ascii="Times New Roman" w:hAnsi="Times New Roman" w:cs="Times New Roman"/>
              </w:rPr>
              <w:t>&lt; .001</w:t>
            </w:r>
          </w:p>
        </w:tc>
      </w:tr>
      <w:tr w:rsidR="008F0498" w:rsidRPr="008F0498" w14:paraId="03EDA1B3" w14:textId="77777777" w:rsidTr="006A0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172322" w14:textId="77777777" w:rsidR="008F0498" w:rsidRPr="006A08FA" w:rsidRDefault="008F0498" w:rsidP="00FA06E6">
            <w:pPr>
              <w:rPr>
                <w:rFonts w:ascii="Times New Roman" w:hAnsi="Times New Roman" w:cs="Times New Roman"/>
                <w:b w:val="0"/>
                <w:bCs w:val="0"/>
                <w:i/>
                <w:iCs/>
              </w:rPr>
            </w:pPr>
            <w:r w:rsidRPr="006A08FA">
              <w:rPr>
                <w:rFonts w:ascii="Times New Roman" w:hAnsi="Times New Roman" w:cs="Times New Roman"/>
                <w:b w:val="0"/>
                <w:bCs w:val="0"/>
                <w:i/>
                <w:iCs/>
              </w:rPr>
              <w:t>Corporation — Single</w:t>
            </w:r>
          </w:p>
        </w:tc>
        <w:tc>
          <w:tcPr>
            <w:tcW w:w="0" w:type="auto"/>
            <w:hideMark/>
          </w:tcPr>
          <w:p w14:paraId="6FAB8140" w14:textId="0CD86E40" w:rsidR="008F0498" w:rsidRPr="008F0498" w:rsidRDefault="008029FC"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w:t>
            </w:r>
            <w:r w:rsidR="008F0498" w:rsidRPr="008F0498">
              <w:rPr>
                <w:rFonts w:ascii="Times New Roman" w:hAnsi="Times New Roman" w:cs="Times New Roman"/>
              </w:rPr>
              <w:t>.</w:t>
            </w:r>
            <w:r>
              <w:rPr>
                <w:rFonts w:ascii="Times New Roman" w:hAnsi="Times New Roman" w:cs="Times New Roman"/>
              </w:rPr>
              <w:t>018</w:t>
            </w:r>
          </w:p>
        </w:tc>
        <w:tc>
          <w:tcPr>
            <w:tcW w:w="0" w:type="auto"/>
            <w:hideMark/>
          </w:tcPr>
          <w:p w14:paraId="218A7368" w14:textId="1E247A7E"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0.</w:t>
            </w:r>
            <w:r w:rsidR="00C12758">
              <w:rPr>
                <w:rFonts w:ascii="Times New Roman" w:hAnsi="Times New Roman" w:cs="Times New Roman"/>
              </w:rPr>
              <w:t>712</w:t>
            </w:r>
            <w:r w:rsidRPr="008F0498">
              <w:rPr>
                <w:rFonts w:ascii="Times New Roman" w:hAnsi="Times New Roman" w:cs="Times New Roman"/>
              </w:rPr>
              <w:t>–1.4</w:t>
            </w:r>
            <w:r w:rsidR="00C12758">
              <w:rPr>
                <w:rFonts w:ascii="Times New Roman" w:hAnsi="Times New Roman" w:cs="Times New Roman"/>
              </w:rPr>
              <w:t>56</w:t>
            </w:r>
          </w:p>
        </w:tc>
        <w:tc>
          <w:tcPr>
            <w:tcW w:w="0" w:type="auto"/>
            <w:hideMark/>
          </w:tcPr>
          <w:p w14:paraId="577A2516" w14:textId="2CBCE092"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.9</w:t>
            </w:r>
            <w:r w:rsidR="00C12758">
              <w:rPr>
                <w:rFonts w:ascii="Times New Roman" w:hAnsi="Times New Roman" w:cs="Times New Roman"/>
              </w:rPr>
              <w:t>20</w:t>
            </w:r>
          </w:p>
        </w:tc>
      </w:tr>
      <w:tr w:rsidR="008F0498" w:rsidRPr="008F0498" w14:paraId="16C9C981" w14:textId="77777777" w:rsidTr="006A08FA">
        <w:tc>
          <w:tcPr>
            <w:cnfStyle w:val="001000000000" w:firstRow="0" w:lastRow="0" w:firstColumn="1" w:lastColumn="0" w:oddVBand="0" w:evenVBand="0" w:oddHBand="0" w:evenHBand="0" w:firstRowFirstColumn="0" w:firstRowLastColumn="0" w:lastRowFirstColumn="0" w:lastRowLastColumn="0"/>
            <w:tcW w:w="0" w:type="auto"/>
            <w:hideMark/>
          </w:tcPr>
          <w:p w14:paraId="4E61084C" w14:textId="77777777" w:rsidR="008F0498" w:rsidRPr="006A08FA" w:rsidRDefault="008F0498" w:rsidP="00FA06E6">
            <w:pPr>
              <w:rPr>
                <w:rFonts w:ascii="Times New Roman" w:hAnsi="Times New Roman" w:cs="Times New Roman"/>
                <w:b w:val="0"/>
                <w:bCs w:val="0"/>
                <w:i/>
                <w:iCs/>
              </w:rPr>
            </w:pPr>
            <w:r w:rsidRPr="006A08FA">
              <w:rPr>
                <w:rFonts w:ascii="Times New Roman" w:hAnsi="Times New Roman" w:cs="Times New Roman"/>
                <w:b w:val="0"/>
                <w:bCs w:val="0"/>
                <w:i/>
                <w:iCs/>
              </w:rPr>
              <w:lastRenderedPageBreak/>
              <w:t>Corporation — Multi</w:t>
            </w:r>
          </w:p>
        </w:tc>
        <w:tc>
          <w:tcPr>
            <w:tcW w:w="0" w:type="auto"/>
            <w:hideMark/>
          </w:tcPr>
          <w:p w14:paraId="7B883541" w14:textId="2A640194" w:rsidR="008F0498" w:rsidRPr="008F0498" w:rsidRDefault="008F049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1.</w:t>
            </w:r>
            <w:r w:rsidR="008E087F">
              <w:rPr>
                <w:rFonts w:ascii="Times New Roman" w:hAnsi="Times New Roman" w:cs="Times New Roman"/>
              </w:rPr>
              <w:t>574</w:t>
            </w:r>
            <w:r w:rsidRPr="00AE061A">
              <w:rPr>
                <w:rFonts w:ascii="Times New Roman" w:hAnsi="Times New Roman" w:cs="Times New Roman"/>
                <w:vertAlign w:val="superscript"/>
              </w:rPr>
              <w:t>**</w:t>
            </w:r>
          </w:p>
        </w:tc>
        <w:tc>
          <w:tcPr>
            <w:tcW w:w="0" w:type="auto"/>
            <w:hideMark/>
          </w:tcPr>
          <w:p w14:paraId="3370032A" w14:textId="1DDB0B09" w:rsidR="008F0498" w:rsidRPr="008F0498" w:rsidRDefault="008F049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1.</w:t>
            </w:r>
            <w:r w:rsidR="008E087F">
              <w:rPr>
                <w:rFonts w:ascii="Times New Roman" w:hAnsi="Times New Roman" w:cs="Times New Roman"/>
              </w:rPr>
              <w:t>171</w:t>
            </w:r>
            <w:r w:rsidRPr="008F0498">
              <w:rPr>
                <w:rFonts w:ascii="Times New Roman" w:hAnsi="Times New Roman" w:cs="Times New Roman"/>
              </w:rPr>
              <w:t>–2.1</w:t>
            </w:r>
            <w:r w:rsidR="008E087F">
              <w:rPr>
                <w:rFonts w:ascii="Times New Roman" w:hAnsi="Times New Roman" w:cs="Times New Roman"/>
              </w:rPr>
              <w:t>41</w:t>
            </w:r>
          </w:p>
        </w:tc>
        <w:tc>
          <w:tcPr>
            <w:tcW w:w="0" w:type="auto"/>
            <w:hideMark/>
          </w:tcPr>
          <w:p w14:paraId="6B36222B" w14:textId="63909FC3" w:rsidR="008F0498" w:rsidRPr="008F0498" w:rsidRDefault="008F049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.00</w:t>
            </w:r>
            <w:r w:rsidR="008E087F">
              <w:rPr>
                <w:rFonts w:ascii="Times New Roman" w:hAnsi="Times New Roman" w:cs="Times New Roman"/>
              </w:rPr>
              <w:t>3</w:t>
            </w:r>
          </w:p>
        </w:tc>
      </w:tr>
      <w:tr w:rsidR="008F0498" w:rsidRPr="008F0498" w14:paraId="7FE4813E" w14:textId="77777777" w:rsidTr="006A0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441355" w14:textId="77777777" w:rsidR="008F0498" w:rsidRPr="006A08FA" w:rsidRDefault="008F0498" w:rsidP="00FA06E6">
            <w:pPr>
              <w:rPr>
                <w:rFonts w:ascii="Times New Roman" w:hAnsi="Times New Roman" w:cs="Times New Roman"/>
                <w:b w:val="0"/>
                <w:bCs w:val="0"/>
                <w:i/>
                <w:iCs/>
              </w:rPr>
            </w:pPr>
            <w:r w:rsidRPr="006A08FA">
              <w:rPr>
                <w:rFonts w:ascii="Times New Roman" w:hAnsi="Times New Roman" w:cs="Times New Roman"/>
                <w:b w:val="0"/>
                <w:bCs w:val="0"/>
                <w:i/>
                <w:iCs/>
              </w:rPr>
              <w:t>Trust — Single</w:t>
            </w:r>
          </w:p>
        </w:tc>
        <w:tc>
          <w:tcPr>
            <w:tcW w:w="0" w:type="auto"/>
            <w:hideMark/>
          </w:tcPr>
          <w:p w14:paraId="0CA689EF" w14:textId="77777777"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0.864</w:t>
            </w:r>
          </w:p>
        </w:tc>
        <w:tc>
          <w:tcPr>
            <w:tcW w:w="0" w:type="auto"/>
            <w:hideMark/>
          </w:tcPr>
          <w:p w14:paraId="6C06586F" w14:textId="5C24BD0A"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0.</w:t>
            </w:r>
            <w:r w:rsidR="001223E1">
              <w:rPr>
                <w:rFonts w:ascii="Times New Roman" w:hAnsi="Times New Roman" w:cs="Times New Roman"/>
              </w:rPr>
              <w:t>698</w:t>
            </w:r>
            <w:r w:rsidRPr="008F0498">
              <w:rPr>
                <w:rFonts w:ascii="Times New Roman" w:hAnsi="Times New Roman" w:cs="Times New Roman"/>
              </w:rPr>
              <w:t>–1.0</w:t>
            </w:r>
            <w:r w:rsidR="001223E1">
              <w:rPr>
                <w:rFonts w:ascii="Times New Roman" w:hAnsi="Times New Roman" w:cs="Times New Roman"/>
              </w:rPr>
              <w:t>26</w:t>
            </w:r>
          </w:p>
        </w:tc>
        <w:tc>
          <w:tcPr>
            <w:tcW w:w="0" w:type="auto"/>
            <w:hideMark/>
          </w:tcPr>
          <w:p w14:paraId="4A7B8685" w14:textId="64849132"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w:t>
            </w:r>
            <w:r w:rsidR="001223E1">
              <w:rPr>
                <w:rFonts w:ascii="Times New Roman" w:hAnsi="Times New Roman" w:cs="Times New Roman"/>
              </w:rPr>
              <w:t>090</w:t>
            </w:r>
          </w:p>
        </w:tc>
      </w:tr>
      <w:tr w:rsidR="008F0498" w:rsidRPr="008F0498" w14:paraId="4B37D014" w14:textId="77777777" w:rsidTr="006A08FA">
        <w:tc>
          <w:tcPr>
            <w:cnfStyle w:val="001000000000" w:firstRow="0" w:lastRow="0" w:firstColumn="1" w:lastColumn="0" w:oddVBand="0" w:evenVBand="0" w:oddHBand="0" w:evenHBand="0" w:firstRowFirstColumn="0" w:firstRowLastColumn="0" w:lastRowFirstColumn="0" w:lastRowLastColumn="0"/>
            <w:tcW w:w="0" w:type="auto"/>
            <w:hideMark/>
          </w:tcPr>
          <w:p w14:paraId="7C3F1B0F" w14:textId="77777777" w:rsidR="008F0498" w:rsidRPr="006A08FA" w:rsidRDefault="008F0498" w:rsidP="00FA06E6">
            <w:pPr>
              <w:rPr>
                <w:rFonts w:ascii="Times New Roman" w:hAnsi="Times New Roman" w:cs="Times New Roman"/>
                <w:b w:val="0"/>
                <w:bCs w:val="0"/>
                <w:i/>
                <w:iCs/>
              </w:rPr>
            </w:pPr>
            <w:r w:rsidRPr="006A08FA">
              <w:rPr>
                <w:rFonts w:ascii="Times New Roman" w:hAnsi="Times New Roman" w:cs="Times New Roman"/>
                <w:b w:val="0"/>
                <w:bCs w:val="0"/>
                <w:i/>
                <w:iCs/>
              </w:rPr>
              <w:t>Trust — Multi</w:t>
            </w:r>
          </w:p>
        </w:tc>
        <w:tc>
          <w:tcPr>
            <w:tcW w:w="0" w:type="auto"/>
            <w:hideMark/>
          </w:tcPr>
          <w:p w14:paraId="1BFE121A" w14:textId="50FBDB0D" w:rsidR="008F0498" w:rsidRPr="008F0498" w:rsidRDefault="008F049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1.4</w:t>
            </w:r>
            <w:r w:rsidR="001223E1">
              <w:rPr>
                <w:rFonts w:ascii="Times New Roman" w:hAnsi="Times New Roman" w:cs="Times New Roman"/>
              </w:rPr>
              <w:t>54</w:t>
            </w:r>
            <w:r w:rsidRPr="00504ABC">
              <w:rPr>
                <w:rFonts w:ascii="Times New Roman" w:hAnsi="Times New Roman" w:cs="Times New Roman"/>
                <w:vertAlign w:val="superscript"/>
              </w:rPr>
              <w:t>*</w:t>
            </w:r>
          </w:p>
        </w:tc>
        <w:tc>
          <w:tcPr>
            <w:tcW w:w="0" w:type="auto"/>
            <w:hideMark/>
          </w:tcPr>
          <w:p w14:paraId="7D092876" w14:textId="17CEA986" w:rsidR="008F0498" w:rsidRPr="008F0498" w:rsidRDefault="008F049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1.04</w:t>
            </w:r>
            <w:r w:rsidR="001223E1">
              <w:rPr>
                <w:rFonts w:ascii="Times New Roman" w:hAnsi="Times New Roman" w:cs="Times New Roman"/>
              </w:rPr>
              <w:t>5</w:t>
            </w:r>
            <w:r w:rsidRPr="008F0498">
              <w:rPr>
                <w:rFonts w:ascii="Times New Roman" w:hAnsi="Times New Roman" w:cs="Times New Roman"/>
              </w:rPr>
              <w:t>–</w:t>
            </w:r>
            <w:r w:rsidR="003E08CA">
              <w:rPr>
                <w:rFonts w:ascii="Times New Roman" w:hAnsi="Times New Roman" w:cs="Times New Roman"/>
              </w:rPr>
              <w:t>2</w:t>
            </w:r>
            <w:r w:rsidRPr="008F0498">
              <w:rPr>
                <w:rFonts w:ascii="Times New Roman" w:hAnsi="Times New Roman" w:cs="Times New Roman"/>
              </w:rPr>
              <w:t>.</w:t>
            </w:r>
            <w:r w:rsidR="003E08CA">
              <w:rPr>
                <w:rFonts w:ascii="Times New Roman" w:hAnsi="Times New Roman" w:cs="Times New Roman"/>
              </w:rPr>
              <w:t>0</w:t>
            </w:r>
            <w:r w:rsidRPr="008F0498">
              <w:rPr>
                <w:rFonts w:ascii="Times New Roman" w:hAnsi="Times New Roman" w:cs="Times New Roman"/>
              </w:rPr>
              <w:t>2</w:t>
            </w:r>
            <w:r w:rsidR="003E08CA">
              <w:rPr>
                <w:rFonts w:ascii="Times New Roman" w:hAnsi="Times New Roman" w:cs="Times New Roman"/>
              </w:rPr>
              <w:t>3</w:t>
            </w:r>
          </w:p>
        </w:tc>
        <w:tc>
          <w:tcPr>
            <w:tcW w:w="0" w:type="auto"/>
            <w:hideMark/>
          </w:tcPr>
          <w:p w14:paraId="63623FD6" w14:textId="77777777" w:rsidR="008F0498" w:rsidRPr="008F0498" w:rsidRDefault="008F049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.026</w:t>
            </w:r>
          </w:p>
        </w:tc>
      </w:tr>
      <w:tr w:rsidR="008F0498" w:rsidRPr="008F0498" w14:paraId="61FEDB13" w14:textId="77777777" w:rsidTr="006A0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367937" w14:textId="77777777" w:rsidR="008F0498" w:rsidRPr="006A08FA" w:rsidRDefault="008F0498" w:rsidP="00FA06E6">
            <w:pPr>
              <w:rPr>
                <w:rFonts w:ascii="Times New Roman" w:hAnsi="Times New Roman" w:cs="Times New Roman"/>
                <w:b w:val="0"/>
                <w:bCs w:val="0"/>
                <w:i/>
                <w:iCs/>
              </w:rPr>
            </w:pPr>
            <w:r w:rsidRPr="006A08FA">
              <w:rPr>
                <w:rFonts w:ascii="Times New Roman" w:hAnsi="Times New Roman" w:cs="Times New Roman"/>
                <w:b w:val="0"/>
                <w:bCs w:val="0"/>
                <w:i/>
                <w:iCs/>
              </w:rPr>
              <w:t>Government/Nonprofit — Single</w:t>
            </w:r>
          </w:p>
        </w:tc>
        <w:tc>
          <w:tcPr>
            <w:tcW w:w="0" w:type="auto"/>
            <w:hideMark/>
          </w:tcPr>
          <w:p w14:paraId="3FD506AD" w14:textId="63A141EA"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0.9</w:t>
            </w:r>
            <w:r w:rsidR="003E08CA">
              <w:rPr>
                <w:rFonts w:ascii="Times New Roman" w:hAnsi="Times New Roman" w:cs="Times New Roman"/>
              </w:rPr>
              <w:t>34</w:t>
            </w:r>
          </w:p>
        </w:tc>
        <w:tc>
          <w:tcPr>
            <w:tcW w:w="0" w:type="auto"/>
            <w:hideMark/>
          </w:tcPr>
          <w:p w14:paraId="6A6DF090" w14:textId="300EB7FE"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0.</w:t>
            </w:r>
            <w:r w:rsidR="003D55A8">
              <w:rPr>
                <w:rFonts w:ascii="Times New Roman" w:hAnsi="Times New Roman" w:cs="Times New Roman"/>
              </w:rPr>
              <w:t>600</w:t>
            </w:r>
            <w:r w:rsidRPr="008F0498">
              <w:rPr>
                <w:rFonts w:ascii="Times New Roman" w:hAnsi="Times New Roman" w:cs="Times New Roman"/>
              </w:rPr>
              <w:t>–1.</w:t>
            </w:r>
            <w:r w:rsidR="003D55A8">
              <w:rPr>
                <w:rFonts w:ascii="Times New Roman" w:hAnsi="Times New Roman" w:cs="Times New Roman"/>
              </w:rPr>
              <w:t>453</w:t>
            </w:r>
          </w:p>
        </w:tc>
        <w:tc>
          <w:tcPr>
            <w:tcW w:w="0" w:type="auto"/>
            <w:hideMark/>
          </w:tcPr>
          <w:p w14:paraId="16B2BCBA" w14:textId="09E40538"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w:t>
            </w:r>
            <w:r w:rsidR="003D55A8">
              <w:rPr>
                <w:rFonts w:ascii="Times New Roman" w:hAnsi="Times New Roman" w:cs="Times New Roman"/>
              </w:rPr>
              <w:t>761</w:t>
            </w:r>
          </w:p>
        </w:tc>
      </w:tr>
      <w:tr w:rsidR="008F0498" w:rsidRPr="008F0498" w14:paraId="6B196912" w14:textId="77777777" w:rsidTr="006A08FA">
        <w:tc>
          <w:tcPr>
            <w:cnfStyle w:val="001000000000" w:firstRow="0" w:lastRow="0" w:firstColumn="1" w:lastColumn="0" w:oddVBand="0" w:evenVBand="0" w:oddHBand="0" w:evenHBand="0" w:firstRowFirstColumn="0" w:firstRowLastColumn="0" w:lastRowFirstColumn="0" w:lastRowLastColumn="0"/>
            <w:tcW w:w="0" w:type="auto"/>
            <w:hideMark/>
          </w:tcPr>
          <w:p w14:paraId="092747E4" w14:textId="77777777" w:rsidR="008F0498" w:rsidRPr="006A08FA" w:rsidRDefault="008F0498" w:rsidP="00FA06E6">
            <w:pPr>
              <w:rPr>
                <w:rFonts w:ascii="Times New Roman" w:hAnsi="Times New Roman" w:cs="Times New Roman"/>
                <w:b w:val="0"/>
                <w:bCs w:val="0"/>
                <w:i/>
                <w:iCs/>
              </w:rPr>
            </w:pPr>
            <w:r w:rsidRPr="006A08FA">
              <w:rPr>
                <w:rFonts w:ascii="Times New Roman" w:hAnsi="Times New Roman" w:cs="Times New Roman"/>
                <w:b w:val="0"/>
                <w:bCs w:val="0"/>
                <w:i/>
                <w:iCs/>
              </w:rPr>
              <w:t>Government/Nonprofit — Multi</w:t>
            </w:r>
          </w:p>
        </w:tc>
        <w:tc>
          <w:tcPr>
            <w:tcW w:w="0" w:type="auto"/>
            <w:hideMark/>
          </w:tcPr>
          <w:p w14:paraId="42FD9D17" w14:textId="221219E6" w:rsidR="008F0498" w:rsidRPr="008F0498" w:rsidRDefault="008F049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0.</w:t>
            </w:r>
            <w:r w:rsidR="003E08CA">
              <w:rPr>
                <w:rFonts w:ascii="Times New Roman" w:hAnsi="Times New Roman" w:cs="Times New Roman"/>
              </w:rPr>
              <w:t>842</w:t>
            </w:r>
          </w:p>
        </w:tc>
        <w:tc>
          <w:tcPr>
            <w:tcW w:w="0" w:type="auto"/>
            <w:hideMark/>
          </w:tcPr>
          <w:p w14:paraId="16805C17" w14:textId="56FF8AD2" w:rsidR="008F0498" w:rsidRPr="008F0498" w:rsidRDefault="008F049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0.</w:t>
            </w:r>
            <w:r w:rsidR="003E08CA">
              <w:rPr>
                <w:rFonts w:ascii="Times New Roman" w:hAnsi="Times New Roman" w:cs="Times New Roman"/>
              </w:rPr>
              <w:t>551</w:t>
            </w:r>
            <w:r w:rsidRPr="008F0498">
              <w:rPr>
                <w:rFonts w:ascii="Times New Roman" w:hAnsi="Times New Roman" w:cs="Times New Roman"/>
              </w:rPr>
              <w:t>–1.</w:t>
            </w:r>
            <w:r w:rsidR="003E08CA">
              <w:rPr>
                <w:rFonts w:ascii="Times New Roman" w:hAnsi="Times New Roman" w:cs="Times New Roman"/>
              </w:rPr>
              <w:t>286</w:t>
            </w:r>
          </w:p>
        </w:tc>
        <w:tc>
          <w:tcPr>
            <w:tcW w:w="0" w:type="auto"/>
            <w:hideMark/>
          </w:tcPr>
          <w:p w14:paraId="5559A4F0" w14:textId="1DCAE4E9" w:rsidR="008F0498" w:rsidRPr="008F0498" w:rsidRDefault="008F049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w:t>
            </w:r>
            <w:r w:rsidR="003E08CA">
              <w:rPr>
                <w:rFonts w:ascii="Times New Roman" w:hAnsi="Times New Roman" w:cs="Times New Roman"/>
              </w:rPr>
              <w:t>425</w:t>
            </w:r>
          </w:p>
        </w:tc>
      </w:tr>
    </w:tbl>
    <w:p w14:paraId="48E0C83B" w14:textId="17322B34" w:rsidR="008F0498" w:rsidRPr="008F0498" w:rsidRDefault="008F0498" w:rsidP="00FA06E6">
      <w:pPr>
        <w:rPr>
          <w:rFonts w:ascii="Times New Roman" w:hAnsi="Times New Roman" w:cs="Times New Roman"/>
        </w:rPr>
      </w:pPr>
      <w:r w:rsidRPr="006A08FA">
        <w:rPr>
          <w:rFonts w:ascii="Times New Roman" w:hAnsi="Times New Roman" w:cs="Times New Roman"/>
        </w:rPr>
        <w:t>Significance codes</w:t>
      </w:r>
      <w:r w:rsidRPr="008F0498">
        <w:rPr>
          <w:rFonts w:ascii="Times New Roman" w:hAnsi="Times New Roman" w:cs="Times New Roman"/>
          <w:i/>
          <w:iCs/>
        </w:rPr>
        <w:t>:</w:t>
      </w:r>
      <w:r w:rsidRPr="008F0498">
        <w:rPr>
          <w:rFonts w:ascii="Times New Roman" w:hAnsi="Times New Roman" w:cs="Times New Roman"/>
        </w:rPr>
        <w:t> </w:t>
      </w:r>
      <w:r w:rsidRPr="00504ABC">
        <w:rPr>
          <w:rFonts w:ascii="Times New Roman" w:hAnsi="Times New Roman" w:cs="Times New Roman"/>
          <w:vertAlign w:val="superscript"/>
        </w:rPr>
        <w:t>***</w:t>
      </w:r>
      <w:r w:rsidRPr="008F0498">
        <w:rPr>
          <w:rFonts w:ascii="Times New Roman" w:hAnsi="Times New Roman" w:cs="Times New Roman"/>
        </w:rPr>
        <w:t xml:space="preserve"> 0.001, </w:t>
      </w:r>
      <w:r w:rsidRPr="00504ABC">
        <w:rPr>
          <w:rFonts w:ascii="Times New Roman" w:hAnsi="Times New Roman" w:cs="Times New Roman"/>
          <w:vertAlign w:val="superscript"/>
        </w:rPr>
        <w:t>**</w:t>
      </w:r>
      <w:r w:rsidRPr="008F0498">
        <w:rPr>
          <w:rFonts w:ascii="Times New Roman" w:hAnsi="Times New Roman" w:cs="Times New Roman"/>
        </w:rPr>
        <w:t xml:space="preserve"> 0.01, </w:t>
      </w:r>
      <w:r w:rsidRPr="00504ABC">
        <w:rPr>
          <w:rFonts w:ascii="Times New Roman" w:hAnsi="Times New Roman" w:cs="Times New Roman"/>
          <w:vertAlign w:val="superscript"/>
        </w:rPr>
        <w:t>*</w:t>
      </w:r>
      <w:r w:rsidRPr="008F0498">
        <w:rPr>
          <w:rFonts w:ascii="Times New Roman" w:hAnsi="Times New Roman" w:cs="Times New Roman"/>
        </w:rPr>
        <w:t> 0.05. Modified</w:t>
      </w:r>
      <w:r w:rsidRPr="008F0498">
        <w:rPr>
          <w:rFonts w:ascii="Times New Roman" w:hAnsi="Times New Roman" w:cs="Times New Roman"/>
        </w:rPr>
        <w:noBreakHyphen/>
        <w:t xml:space="preserve">Poisson GLM with log link; HC3 robust SEs; neighborhood fixed effects; controls for </w:t>
      </w:r>
      <w:r w:rsidR="004212DA">
        <w:rPr>
          <w:rFonts w:ascii="Times New Roman" w:hAnsi="Times New Roman" w:cs="Times New Roman"/>
        </w:rPr>
        <w:t xml:space="preserve">assessed </w:t>
      </w:r>
      <w:r w:rsidRPr="008F0498">
        <w:rPr>
          <w:rFonts w:ascii="Times New Roman" w:hAnsi="Times New Roman" w:cs="Times New Roman"/>
        </w:rPr>
        <w:t xml:space="preserve">value and </w:t>
      </w:r>
      <w:r w:rsidR="004212DA">
        <w:rPr>
          <w:rFonts w:ascii="Times New Roman" w:hAnsi="Times New Roman" w:cs="Times New Roman"/>
        </w:rPr>
        <w:t>parcel size</w:t>
      </w:r>
      <w:r w:rsidRPr="008F0498">
        <w:rPr>
          <w:rFonts w:ascii="Times New Roman" w:hAnsi="Times New Roman" w:cs="Times New Roman"/>
        </w:rPr>
        <w:t xml:space="preserve">. </w:t>
      </w:r>
    </w:p>
    <w:p w14:paraId="726E6077" w14:textId="67DB574F" w:rsidR="008F0498" w:rsidRPr="00FB7DE3" w:rsidRDefault="008F0498" w:rsidP="00FA06E6">
      <w:pPr>
        <w:rPr>
          <w:rFonts w:ascii="Times New Roman" w:hAnsi="Times New Roman" w:cs="Times New Roman"/>
          <w:b/>
          <w:bCs/>
        </w:rPr>
      </w:pPr>
      <w:r w:rsidRPr="00FB7DE3">
        <w:rPr>
          <w:rFonts w:ascii="Times New Roman" w:hAnsi="Times New Roman" w:cs="Times New Roman"/>
          <w:b/>
          <w:bCs/>
        </w:rPr>
        <w:t>4.4 Within</w:t>
      </w:r>
      <w:r w:rsidRPr="00FB7DE3">
        <w:rPr>
          <w:rFonts w:ascii="Times New Roman" w:hAnsi="Times New Roman" w:cs="Times New Roman"/>
          <w:b/>
          <w:bCs/>
        </w:rPr>
        <w:noBreakHyphen/>
        <w:t xml:space="preserve">form </w:t>
      </w:r>
      <w:r w:rsidR="00FB7DE3" w:rsidRPr="00FB7DE3">
        <w:rPr>
          <w:rFonts w:ascii="Times New Roman" w:hAnsi="Times New Roman" w:cs="Times New Roman"/>
          <w:b/>
          <w:bCs/>
        </w:rPr>
        <w:t>C</w:t>
      </w:r>
      <w:r w:rsidRPr="00FB7DE3">
        <w:rPr>
          <w:rFonts w:ascii="Times New Roman" w:hAnsi="Times New Roman" w:cs="Times New Roman"/>
          <w:b/>
          <w:bCs/>
        </w:rPr>
        <w:t xml:space="preserve">ontrasts </w:t>
      </w:r>
    </w:p>
    <w:p w14:paraId="600130A1" w14:textId="6CC53A45" w:rsidR="0035659B" w:rsidRPr="0035659B" w:rsidRDefault="0035659B" w:rsidP="00FA06E6">
      <w:pPr>
        <w:rPr>
          <w:rFonts w:ascii="Times New Roman" w:hAnsi="Times New Roman" w:cs="Times New Roman"/>
        </w:rPr>
      </w:pPr>
      <w:r w:rsidRPr="0035659B">
        <w:rPr>
          <w:rFonts w:ascii="Times New Roman" w:hAnsi="Times New Roman" w:cs="Times New Roman"/>
        </w:rPr>
        <w:t>To isolate the role of portfolio scale, we conducted comparisons between single-parcel and multi-parcel owners </w:t>
      </w:r>
      <w:r w:rsidRPr="0035659B">
        <w:rPr>
          <w:rFonts w:ascii="Times New Roman" w:hAnsi="Times New Roman" w:cs="Times New Roman"/>
          <w:i/>
          <w:iCs/>
        </w:rPr>
        <w:t xml:space="preserve">within </w:t>
      </w:r>
      <w:r w:rsidRPr="0035659B">
        <w:rPr>
          <w:rFonts w:ascii="Times New Roman" w:hAnsi="Times New Roman" w:cs="Times New Roman"/>
        </w:rPr>
        <w:t xml:space="preserve">each organizational form. As detailed in Table </w:t>
      </w:r>
      <w:r w:rsidR="005E6451">
        <w:rPr>
          <w:rFonts w:ascii="Times New Roman" w:hAnsi="Times New Roman" w:cs="Times New Roman"/>
        </w:rPr>
        <w:t>9</w:t>
      </w:r>
      <w:r w:rsidRPr="0035659B">
        <w:rPr>
          <w:rFonts w:ascii="Times New Roman" w:hAnsi="Times New Roman" w:cs="Times New Roman"/>
        </w:rPr>
        <w:t xml:space="preserve">, this analysis reveals distinct and opposing strategies that are dependent on the owner's </w:t>
      </w:r>
      <w:r w:rsidR="00516D8A">
        <w:rPr>
          <w:rFonts w:ascii="Times New Roman" w:hAnsi="Times New Roman" w:cs="Times New Roman"/>
        </w:rPr>
        <w:t xml:space="preserve">legal </w:t>
      </w:r>
      <w:r w:rsidRPr="0035659B">
        <w:rPr>
          <w:rFonts w:ascii="Times New Roman" w:hAnsi="Times New Roman" w:cs="Times New Roman"/>
        </w:rPr>
        <w:t>structure.</w:t>
      </w:r>
    </w:p>
    <w:p w14:paraId="28B377F7" w14:textId="78417D77" w:rsidR="0035659B" w:rsidRPr="0035659B" w:rsidRDefault="0035659B" w:rsidP="00FA06E6">
      <w:pPr>
        <w:rPr>
          <w:rFonts w:ascii="Times New Roman" w:hAnsi="Times New Roman" w:cs="Times New Roman"/>
        </w:rPr>
      </w:pPr>
      <w:r w:rsidRPr="0035659B">
        <w:rPr>
          <w:rFonts w:ascii="Times New Roman" w:hAnsi="Times New Roman" w:cs="Times New Roman"/>
        </w:rPr>
        <w:t>For LLCs, the results show that single-parcel entities are significantly more exposed to</w:t>
      </w:r>
      <w:r w:rsidR="00F70A1A">
        <w:rPr>
          <w:rFonts w:ascii="Times New Roman" w:hAnsi="Times New Roman" w:cs="Times New Roman"/>
        </w:rPr>
        <w:t xml:space="preserve"> the floodplain</w:t>
      </w:r>
      <w:r w:rsidRPr="0035659B">
        <w:rPr>
          <w:rFonts w:ascii="Times New Roman" w:hAnsi="Times New Roman" w:cs="Times New Roman"/>
        </w:rPr>
        <w:t>. A single-parcel LLC's floodplain</w:t>
      </w:r>
      <w:r w:rsidR="004F4D48">
        <w:rPr>
          <w:rFonts w:ascii="Times New Roman" w:hAnsi="Times New Roman" w:cs="Times New Roman"/>
        </w:rPr>
        <w:t xml:space="preserve"> exposure</w:t>
      </w:r>
      <w:r w:rsidRPr="0035659B">
        <w:rPr>
          <w:rFonts w:ascii="Times New Roman" w:hAnsi="Times New Roman" w:cs="Times New Roman"/>
        </w:rPr>
        <w:t xml:space="preserve"> is approximately 1.27 times higher than that of an LLC holding multiple </w:t>
      </w:r>
      <w:r w:rsidR="00F70A1A">
        <w:rPr>
          <w:rFonts w:ascii="Times New Roman" w:hAnsi="Times New Roman" w:cs="Times New Roman"/>
        </w:rPr>
        <w:t>parcels.</w:t>
      </w:r>
    </w:p>
    <w:p w14:paraId="080E12A7" w14:textId="347675C7" w:rsidR="0035659B" w:rsidRPr="0035659B" w:rsidRDefault="0035659B" w:rsidP="00FA06E6">
      <w:pPr>
        <w:rPr>
          <w:rFonts w:ascii="Times New Roman" w:hAnsi="Times New Roman" w:cs="Times New Roman"/>
        </w:rPr>
      </w:pPr>
      <w:r w:rsidRPr="0035659B">
        <w:rPr>
          <w:rFonts w:ascii="Times New Roman" w:hAnsi="Times New Roman" w:cs="Times New Roman"/>
        </w:rPr>
        <w:t>Corporations and </w:t>
      </w:r>
      <w:r w:rsidR="003C097E">
        <w:rPr>
          <w:rFonts w:ascii="Times New Roman" w:hAnsi="Times New Roman" w:cs="Times New Roman"/>
        </w:rPr>
        <w:t>t</w:t>
      </w:r>
      <w:r w:rsidRPr="0035659B">
        <w:rPr>
          <w:rFonts w:ascii="Times New Roman" w:hAnsi="Times New Roman" w:cs="Times New Roman"/>
        </w:rPr>
        <w:t xml:space="preserve">rusts exhibit the opposite pattern. In </w:t>
      </w:r>
      <w:r w:rsidR="001735E7" w:rsidRPr="0035659B">
        <w:rPr>
          <w:rFonts w:ascii="Times New Roman" w:hAnsi="Times New Roman" w:cs="Times New Roman"/>
        </w:rPr>
        <w:t>both</w:t>
      </w:r>
      <w:r w:rsidRPr="0035659B">
        <w:rPr>
          <w:rFonts w:ascii="Times New Roman" w:hAnsi="Times New Roman" w:cs="Times New Roman"/>
        </w:rPr>
        <w:t xml:space="preserve"> groups, multi-parcel portfolios were significantly more likely to contain flood-exposed properties than their single</w:t>
      </w:r>
      <w:r w:rsidR="003C097E">
        <w:rPr>
          <w:rFonts w:ascii="Times New Roman" w:hAnsi="Times New Roman" w:cs="Times New Roman"/>
        </w:rPr>
        <w:t xml:space="preserve"> </w:t>
      </w:r>
      <w:r w:rsidRPr="0035659B">
        <w:rPr>
          <w:rFonts w:ascii="Times New Roman" w:hAnsi="Times New Roman" w:cs="Times New Roman"/>
        </w:rPr>
        <w:t xml:space="preserve">parcel counterparts. In contrast, no significant difference based on portfolio size was found among </w:t>
      </w:r>
      <w:r w:rsidR="003C097E">
        <w:rPr>
          <w:rFonts w:ascii="Times New Roman" w:hAnsi="Times New Roman" w:cs="Times New Roman"/>
        </w:rPr>
        <w:t>g</w:t>
      </w:r>
      <w:r w:rsidRPr="0035659B">
        <w:rPr>
          <w:rFonts w:ascii="Times New Roman" w:hAnsi="Times New Roman" w:cs="Times New Roman"/>
        </w:rPr>
        <w:t xml:space="preserve">overnment or </w:t>
      </w:r>
      <w:r w:rsidR="003C097E">
        <w:rPr>
          <w:rFonts w:ascii="Times New Roman" w:hAnsi="Times New Roman" w:cs="Times New Roman"/>
        </w:rPr>
        <w:t>n</w:t>
      </w:r>
      <w:r w:rsidRPr="0035659B">
        <w:rPr>
          <w:rFonts w:ascii="Times New Roman" w:hAnsi="Times New Roman" w:cs="Times New Roman"/>
        </w:rPr>
        <w:t>onprofit owners.</w:t>
      </w:r>
    </w:p>
    <w:p w14:paraId="1EEE54EE" w14:textId="6961C0FF" w:rsidR="0035659B" w:rsidRPr="0035659B" w:rsidRDefault="0035659B" w:rsidP="00FA06E6">
      <w:pPr>
        <w:rPr>
          <w:rFonts w:ascii="Times New Roman" w:hAnsi="Times New Roman" w:cs="Times New Roman"/>
        </w:rPr>
      </w:pPr>
      <w:r w:rsidRPr="0035659B">
        <w:rPr>
          <w:rFonts w:ascii="Times New Roman" w:hAnsi="Times New Roman" w:cs="Times New Roman"/>
        </w:rPr>
        <w:t>These contrasting patterns point to different underlying strategies. The higher risk among single</w:t>
      </w:r>
      <w:r w:rsidR="005D498F">
        <w:rPr>
          <w:rFonts w:ascii="Times New Roman" w:hAnsi="Times New Roman" w:cs="Times New Roman"/>
        </w:rPr>
        <w:t xml:space="preserve"> </w:t>
      </w:r>
      <w:r w:rsidRPr="0035659B">
        <w:rPr>
          <w:rFonts w:ascii="Times New Roman" w:hAnsi="Times New Roman" w:cs="Times New Roman"/>
        </w:rPr>
        <w:t xml:space="preserve">parcel LLCs is consistent with a strategy of liability siloing, where individual </w:t>
      </w:r>
      <w:r w:rsidR="00E20B45" w:rsidRPr="0035659B">
        <w:rPr>
          <w:rFonts w:ascii="Times New Roman" w:hAnsi="Times New Roman" w:cs="Times New Roman"/>
        </w:rPr>
        <w:t>high</w:t>
      </w:r>
      <w:r w:rsidR="00E20B45">
        <w:rPr>
          <w:rFonts w:ascii="Times New Roman" w:hAnsi="Times New Roman" w:cs="Times New Roman"/>
        </w:rPr>
        <w:t>-risk</w:t>
      </w:r>
      <w:r w:rsidRPr="0035659B">
        <w:rPr>
          <w:rFonts w:ascii="Times New Roman" w:hAnsi="Times New Roman" w:cs="Times New Roman"/>
        </w:rPr>
        <w:t xml:space="preserve"> assets are walled off in separate legal entities. Conversely, the higher risk among multi-parcel </w:t>
      </w:r>
      <w:r w:rsidR="003C097E">
        <w:rPr>
          <w:rFonts w:ascii="Times New Roman" w:hAnsi="Times New Roman" w:cs="Times New Roman"/>
        </w:rPr>
        <w:t>c</w:t>
      </w:r>
      <w:r w:rsidRPr="0035659B">
        <w:rPr>
          <w:rFonts w:ascii="Times New Roman" w:hAnsi="Times New Roman" w:cs="Times New Roman"/>
        </w:rPr>
        <w:t>orporations suggests strategies related to achieving scale advantages and managing risk across a larger, more diversified portfolio.</w:t>
      </w:r>
    </w:p>
    <w:p w14:paraId="7A030856" w14:textId="101F2467" w:rsidR="008F0498" w:rsidRPr="008F0498" w:rsidRDefault="008F0498" w:rsidP="00FA06E6">
      <w:pPr>
        <w:rPr>
          <w:rFonts w:ascii="Times New Roman" w:hAnsi="Times New Roman" w:cs="Times New Roman"/>
        </w:rPr>
      </w:pPr>
      <w:r w:rsidRPr="008F0498">
        <w:rPr>
          <w:rFonts w:ascii="Times New Roman" w:hAnsi="Times New Roman" w:cs="Times New Roman"/>
        </w:rPr>
        <w:t xml:space="preserve">Table </w:t>
      </w:r>
      <w:r w:rsidR="005E6451">
        <w:rPr>
          <w:rFonts w:ascii="Times New Roman" w:hAnsi="Times New Roman" w:cs="Times New Roman"/>
        </w:rPr>
        <w:t>9</w:t>
      </w:r>
      <w:r w:rsidRPr="008F0498">
        <w:rPr>
          <w:rFonts w:ascii="Times New Roman" w:hAnsi="Times New Roman" w:cs="Times New Roman"/>
        </w:rPr>
        <w:t>. Tests of equality between single and multi</w:t>
      </w:r>
      <w:r w:rsidRPr="008F0498">
        <w:rPr>
          <w:rFonts w:ascii="Times New Roman" w:hAnsi="Times New Roman" w:cs="Times New Roman"/>
        </w:rPr>
        <w:noBreakHyphen/>
        <w:t xml:space="preserve">parcel owners </w:t>
      </w:r>
    </w:p>
    <w:tbl>
      <w:tblPr>
        <w:tblStyle w:val="PlainTable4"/>
        <w:tblW w:w="0" w:type="auto"/>
        <w:tblLook w:val="04A0" w:firstRow="1" w:lastRow="0" w:firstColumn="1" w:lastColumn="0" w:noHBand="0" w:noVBand="1"/>
      </w:tblPr>
      <w:tblGrid>
        <w:gridCol w:w="2388"/>
        <w:gridCol w:w="2178"/>
        <w:gridCol w:w="1682"/>
        <w:gridCol w:w="821"/>
        <w:gridCol w:w="913"/>
        <w:gridCol w:w="1378"/>
      </w:tblGrid>
      <w:tr w:rsidR="008F0498" w:rsidRPr="008F0498" w14:paraId="54369362" w14:textId="77777777" w:rsidTr="006A08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63BD6E" w14:textId="77777777" w:rsidR="008F0498" w:rsidRPr="008F0498" w:rsidRDefault="008F0498" w:rsidP="00FA06E6">
            <w:pPr>
              <w:rPr>
                <w:rFonts w:ascii="Times New Roman" w:hAnsi="Times New Roman" w:cs="Times New Roman"/>
              </w:rPr>
            </w:pPr>
            <w:r w:rsidRPr="008F0498">
              <w:rPr>
                <w:rFonts w:ascii="Times New Roman" w:hAnsi="Times New Roman" w:cs="Times New Roman"/>
              </w:rPr>
              <w:t>Entity type</w:t>
            </w:r>
          </w:p>
        </w:tc>
        <w:tc>
          <w:tcPr>
            <w:tcW w:w="0" w:type="auto"/>
            <w:hideMark/>
          </w:tcPr>
          <w:p w14:paraId="4A671E45" w14:textId="55CF5B4E" w:rsidR="008F0498" w:rsidRPr="008F0498" w:rsidRDefault="008F0498" w:rsidP="00FA06E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Difference</w:t>
            </w:r>
            <w:r w:rsidR="00515A5B">
              <w:rPr>
                <w:rFonts w:ascii="Times New Roman" w:hAnsi="Times New Roman" w:cs="Times New Roman"/>
              </w:rPr>
              <w:t xml:space="preserve"> </w:t>
            </w:r>
            <w:r w:rsidR="008D0685">
              <w:rPr>
                <w:rFonts w:ascii="Times New Roman" w:hAnsi="Times New Roman" w:cs="Times New Roman"/>
              </w:rPr>
              <w:t xml:space="preserve">Log </w:t>
            </w:r>
            <w:r w:rsidRPr="008F0498">
              <w:rPr>
                <w:rFonts w:ascii="Times New Roman" w:hAnsi="Times New Roman" w:cs="Times New Roman"/>
              </w:rPr>
              <w:t>RR (Single − Multi)</w:t>
            </w:r>
          </w:p>
        </w:tc>
        <w:tc>
          <w:tcPr>
            <w:tcW w:w="0" w:type="auto"/>
            <w:hideMark/>
          </w:tcPr>
          <w:p w14:paraId="710119D3" w14:textId="53E2DAF0" w:rsidR="008F0498" w:rsidRPr="008F0498" w:rsidRDefault="008F0498" w:rsidP="00FA06E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RR (Single/Multi)</w:t>
            </w:r>
          </w:p>
        </w:tc>
        <w:tc>
          <w:tcPr>
            <w:tcW w:w="785" w:type="dxa"/>
            <w:hideMark/>
          </w:tcPr>
          <w:p w14:paraId="5248AEE9" w14:textId="77777777" w:rsidR="008F0498" w:rsidRPr="008F0498" w:rsidRDefault="008F0498" w:rsidP="00FA06E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Wald χ²</w:t>
            </w:r>
          </w:p>
        </w:tc>
        <w:tc>
          <w:tcPr>
            <w:tcW w:w="589" w:type="dxa"/>
            <w:hideMark/>
          </w:tcPr>
          <w:p w14:paraId="496AF2D7" w14:textId="77777777" w:rsidR="008F0498" w:rsidRPr="008F0498" w:rsidRDefault="008F0498" w:rsidP="00FA06E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p</w:t>
            </w:r>
            <w:r w:rsidRPr="008F0498">
              <w:rPr>
                <w:rFonts w:ascii="Times New Roman" w:hAnsi="Times New Roman" w:cs="Times New Roman"/>
              </w:rPr>
              <w:noBreakHyphen/>
              <w:t>value</w:t>
            </w:r>
          </w:p>
        </w:tc>
        <w:tc>
          <w:tcPr>
            <w:tcW w:w="0" w:type="auto"/>
            <w:hideMark/>
          </w:tcPr>
          <w:p w14:paraId="26F305E9" w14:textId="77777777" w:rsidR="008F0498" w:rsidRPr="008F0498" w:rsidRDefault="008F0498" w:rsidP="00FA06E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BH</w:t>
            </w:r>
            <w:r w:rsidRPr="008F0498">
              <w:rPr>
                <w:rFonts w:ascii="Times New Roman" w:hAnsi="Times New Roman" w:cs="Times New Roman"/>
              </w:rPr>
              <w:noBreakHyphen/>
              <w:t>FDR p</w:t>
            </w:r>
            <w:r w:rsidRPr="008F0498">
              <w:rPr>
                <w:rFonts w:ascii="Times New Roman" w:hAnsi="Times New Roman" w:cs="Times New Roman"/>
              </w:rPr>
              <w:noBreakHyphen/>
              <w:t>value</w:t>
            </w:r>
          </w:p>
        </w:tc>
      </w:tr>
      <w:tr w:rsidR="008F0498" w:rsidRPr="008F0498" w14:paraId="7ED4CABA" w14:textId="77777777" w:rsidTr="006A0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C10B57" w14:textId="77777777" w:rsidR="008F0498" w:rsidRPr="008F0498" w:rsidRDefault="008F0498" w:rsidP="00FA06E6">
            <w:pPr>
              <w:rPr>
                <w:rFonts w:ascii="Times New Roman" w:hAnsi="Times New Roman" w:cs="Times New Roman"/>
              </w:rPr>
            </w:pPr>
            <w:r w:rsidRPr="008F0498">
              <w:rPr>
                <w:rFonts w:ascii="Times New Roman" w:hAnsi="Times New Roman" w:cs="Times New Roman"/>
              </w:rPr>
              <w:t>LLC</w:t>
            </w:r>
          </w:p>
        </w:tc>
        <w:tc>
          <w:tcPr>
            <w:tcW w:w="0" w:type="auto"/>
            <w:hideMark/>
          </w:tcPr>
          <w:p w14:paraId="24DCE24C" w14:textId="6DFCE8B2" w:rsidR="008F0498" w:rsidRPr="008F0498" w:rsidRDefault="008F0498" w:rsidP="00FA06E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0.236</w:t>
            </w:r>
            <w:r w:rsidR="00117F20">
              <w:rPr>
                <w:rFonts w:ascii="Times New Roman" w:hAnsi="Times New Roman" w:cs="Times New Roman"/>
              </w:rPr>
              <w:t>1</w:t>
            </w:r>
          </w:p>
        </w:tc>
        <w:tc>
          <w:tcPr>
            <w:tcW w:w="0" w:type="auto"/>
            <w:hideMark/>
          </w:tcPr>
          <w:p w14:paraId="48E24158" w14:textId="4B88A299"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1.2662</w:t>
            </w:r>
          </w:p>
        </w:tc>
        <w:tc>
          <w:tcPr>
            <w:tcW w:w="785" w:type="dxa"/>
            <w:hideMark/>
          </w:tcPr>
          <w:p w14:paraId="2AF1AE9A" w14:textId="5FBBF500"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6.5731</w:t>
            </w:r>
          </w:p>
        </w:tc>
        <w:tc>
          <w:tcPr>
            <w:tcW w:w="589" w:type="dxa"/>
            <w:hideMark/>
          </w:tcPr>
          <w:p w14:paraId="14C4176D" w14:textId="77777777"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0.0103</w:t>
            </w:r>
          </w:p>
        </w:tc>
        <w:tc>
          <w:tcPr>
            <w:tcW w:w="0" w:type="auto"/>
            <w:hideMark/>
          </w:tcPr>
          <w:p w14:paraId="41C35D08" w14:textId="77777777"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0.0207</w:t>
            </w:r>
          </w:p>
        </w:tc>
      </w:tr>
      <w:tr w:rsidR="008F0498" w:rsidRPr="008F0498" w14:paraId="14419E49" w14:textId="77777777" w:rsidTr="006A08FA">
        <w:tc>
          <w:tcPr>
            <w:cnfStyle w:val="001000000000" w:firstRow="0" w:lastRow="0" w:firstColumn="1" w:lastColumn="0" w:oddVBand="0" w:evenVBand="0" w:oddHBand="0" w:evenHBand="0" w:firstRowFirstColumn="0" w:firstRowLastColumn="0" w:lastRowFirstColumn="0" w:lastRowLastColumn="0"/>
            <w:tcW w:w="0" w:type="auto"/>
            <w:hideMark/>
          </w:tcPr>
          <w:p w14:paraId="44724512" w14:textId="77777777" w:rsidR="008F0498" w:rsidRPr="008F0498" w:rsidRDefault="008F0498" w:rsidP="00FA06E6">
            <w:pPr>
              <w:rPr>
                <w:rFonts w:ascii="Times New Roman" w:hAnsi="Times New Roman" w:cs="Times New Roman"/>
              </w:rPr>
            </w:pPr>
            <w:r w:rsidRPr="008F0498">
              <w:rPr>
                <w:rFonts w:ascii="Times New Roman" w:hAnsi="Times New Roman" w:cs="Times New Roman"/>
              </w:rPr>
              <w:t>Corporation</w:t>
            </w:r>
          </w:p>
        </w:tc>
        <w:tc>
          <w:tcPr>
            <w:tcW w:w="0" w:type="auto"/>
            <w:hideMark/>
          </w:tcPr>
          <w:p w14:paraId="6ED094FC" w14:textId="15A93ADF" w:rsidR="008F0498" w:rsidRPr="008F0498" w:rsidRDefault="008F0498" w:rsidP="00FA06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−0.43</w:t>
            </w:r>
            <w:r w:rsidR="00117F20">
              <w:rPr>
                <w:rFonts w:ascii="Times New Roman" w:hAnsi="Times New Roman" w:cs="Times New Roman"/>
              </w:rPr>
              <w:t>50</w:t>
            </w:r>
          </w:p>
        </w:tc>
        <w:tc>
          <w:tcPr>
            <w:tcW w:w="0" w:type="auto"/>
            <w:hideMark/>
          </w:tcPr>
          <w:p w14:paraId="52F07265" w14:textId="3279923F" w:rsidR="008F0498" w:rsidRPr="008F0498" w:rsidRDefault="008F049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0.647</w:t>
            </w:r>
            <w:r w:rsidR="00504ABC">
              <w:rPr>
                <w:rFonts w:ascii="Times New Roman" w:hAnsi="Times New Roman" w:cs="Times New Roman"/>
              </w:rPr>
              <w:t>3</w:t>
            </w:r>
          </w:p>
        </w:tc>
        <w:tc>
          <w:tcPr>
            <w:tcW w:w="785" w:type="dxa"/>
            <w:hideMark/>
          </w:tcPr>
          <w:p w14:paraId="6D616747" w14:textId="1FA22C08" w:rsidR="008F0498" w:rsidRPr="008F0498" w:rsidRDefault="008F049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3.976</w:t>
            </w:r>
            <w:r w:rsidR="000B59F2">
              <w:rPr>
                <w:rFonts w:ascii="Times New Roman" w:hAnsi="Times New Roman" w:cs="Times New Roman"/>
              </w:rPr>
              <w:t>2</w:t>
            </w:r>
          </w:p>
        </w:tc>
        <w:tc>
          <w:tcPr>
            <w:tcW w:w="589" w:type="dxa"/>
            <w:hideMark/>
          </w:tcPr>
          <w:p w14:paraId="4CC3FFC9" w14:textId="77777777" w:rsidR="008F0498" w:rsidRPr="008F0498" w:rsidRDefault="008F049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0.0461</w:t>
            </w:r>
          </w:p>
        </w:tc>
        <w:tc>
          <w:tcPr>
            <w:tcW w:w="0" w:type="auto"/>
            <w:hideMark/>
          </w:tcPr>
          <w:p w14:paraId="16389891" w14:textId="77777777" w:rsidR="008F0498" w:rsidRPr="008F0498" w:rsidRDefault="008F049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0.0615</w:t>
            </w:r>
          </w:p>
        </w:tc>
      </w:tr>
      <w:tr w:rsidR="008F0498" w:rsidRPr="008F0498" w14:paraId="4EAAEAAE" w14:textId="77777777" w:rsidTr="006A0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62256C" w14:textId="77777777" w:rsidR="008F0498" w:rsidRPr="008F0498" w:rsidRDefault="008F0498" w:rsidP="00FA06E6">
            <w:pPr>
              <w:rPr>
                <w:rFonts w:ascii="Times New Roman" w:hAnsi="Times New Roman" w:cs="Times New Roman"/>
              </w:rPr>
            </w:pPr>
            <w:r w:rsidRPr="008F0498">
              <w:rPr>
                <w:rFonts w:ascii="Times New Roman" w:hAnsi="Times New Roman" w:cs="Times New Roman"/>
              </w:rPr>
              <w:t>Trust</w:t>
            </w:r>
          </w:p>
        </w:tc>
        <w:tc>
          <w:tcPr>
            <w:tcW w:w="0" w:type="auto"/>
            <w:hideMark/>
          </w:tcPr>
          <w:p w14:paraId="34425DFA" w14:textId="42DF1408" w:rsidR="008F0498" w:rsidRPr="008F0498" w:rsidRDefault="008F0498" w:rsidP="00FA06E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−0.541</w:t>
            </w:r>
            <w:r w:rsidR="002B1985">
              <w:rPr>
                <w:rFonts w:ascii="Times New Roman" w:hAnsi="Times New Roman" w:cs="Times New Roman"/>
              </w:rPr>
              <w:t>1</w:t>
            </w:r>
          </w:p>
        </w:tc>
        <w:tc>
          <w:tcPr>
            <w:tcW w:w="0" w:type="auto"/>
            <w:hideMark/>
          </w:tcPr>
          <w:p w14:paraId="711C0D12" w14:textId="512AA9BD"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0.582</w:t>
            </w:r>
            <w:r w:rsidR="00504ABC">
              <w:rPr>
                <w:rFonts w:ascii="Times New Roman" w:hAnsi="Times New Roman" w:cs="Times New Roman"/>
              </w:rPr>
              <w:t>1</w:t>
            </w:r>
          </w:p>
        </w:tc>
        <w:tc>
          <w:tcPr>
            <w:tcW w:w="785" w:type="dxa"/>
            <w:hideMark/>
          </w:tcPr>
          <w:p w14:paraId="5C2E4FCB" w14:textId="2B7FE408"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7.9267</w:t>
            </w:r>
          </w:p>
        </w:tc>
        <w:tc>
          <w:tcPr>
            <w:tcW w:w="589" w:type="dxa"/>
            <w:hideMark/>
          </w:tcPr>
          <w:p w14:paraId="77B7F9EE" w14:textId="77777777"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0.0048</w:t>
            </w:r>
          </w:p>
        </w:tc>
        <w:tc>
          <w:tcPr>
            <w:tcW w:w="0" w:type="auto"/>
            <w:hideMark/>
          </w:tcPr>
          <w:p w14:paraId="67FC21D6" w14:textId="77777777" w:rsidR="008F0498" w:rsidRPr="008F0498" w:rsidRDefault="008F0498" w:rsidP="00FA06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0.0195</w:t>
            </w:r>
          </w:p>
        </w:tc>
      </w:tr>
      <w:tr w:rsidR="008F0498" w:rsidRPr="008F0498" w14:paraId="5738905D" w14:textId="77777777" w:rsidTr="006A08FA">
        <w:tc>
          <w:tcPr>
            <w:cnfStyle w:val="001000000000" w:firstRow="0" w:lastRow="0" w:firstColumn="1" w:lastColumn="0" w:oddVBand="0" w:evenVBand="0" w:oddHBand="0" w:evenHBand="0" w:firstRowFirstColumn="0" w:firstRowLastColumn="0" w:lastRowFirstColumn="0" w:lastRowLastColumn="0"/>
            <w:tcW w:w="0" w:type="auto"/>
            <w:hideMark/>
          </w:tcPr>
          <w:p w14:paraId="0DF9EA2F" w14:textId="77777777" w:rsidR="008F0498" w:rsidRPr="008F0498" w:rsidRDefault="008F0498" w:rsidP="00FA06E6">
            <w:pPr>
              <w:rPr>
                <w:rFonts w:ascii="Times New Roman" w:hAnsi="Times New Roman" w:cs="Times New Roman"/>
              </w:rPr>
            </w:pPr>
            <w:r w:rsidRPr="008F0498">
              <w:rPr>
                <w:rFonts w:ascii="Times New Roman" w:hAnsi="Times New Roman" w:cs="Times New Roman"/>
              </w:rPr>
              <w:t>Government/Nonprofit</w:t>
            </w:r>
          </w:p>
        </w:tc>
        <w:tc>
          <w:tcPr>
            <w:tcW w:w="0" w:type="auto"/>
            <w:hideMark/>
          </w:tcPr>
          <w:p w14:paraId="4799BFCD" w14:textId="1206531E" w:rsidR="008F0498" w:rsidRPr="008F0498" w:rsidRDefault="008F0498" w:rsidP="00FA06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0.103</w:t>
            </w:r>
            <w:r w:rsidR="00117F20">
              <w:rPr>
                <w:rFonts w:ascii="Times New Roman" w:hAnsi="Times New Roman" w:cs="Times New Roman"/>
              </w:rPr>
              <w:t>7</w:t>
            </w:r>
          </w:p>
        </w:tc>
        <w:tc>
          <w:tcPr>
            <w:tcW w:w="0" w:type="auto"/>
            <w:hideMark/>
          </w:tcPr>
          <w:p w14:paraId="705FF42F" w14:textId="51E71D0F" w:rsidR="008F0498" w:rsidRPr="008F0498" w:rsidRDefault="008F049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1.109</w:t>
            </w:r>
            <w:r w:rsidR="00504ABC">
              <w:rPr>
                <w:rFonts w:ascii="Times New Roman" w:hAnsi="Times New Roman" w:cs="Times New Roman"/>
              </w:rPr>
              <w:t>3</w:t>
            </w:r>
          </w:p>
        </w:tc>
        <w:tc>
          <w:tcPr>
            <w:tcW w:w="785" w:type="dxa"/>
            <w:hideMark/>
          </w:tcPr>
          <w:p w14:paraId="2C27B1AD" w14:textId="645BD86D" w:rsidR="008F0498" w:rsidRPr="008F0498" w:rsidRDefault="008F049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0.1612</w:t>
            </w:r>
          </w:p>
        </w:tc>
        <w:tc>
          <w:tcPr>
            <w:tcW w:w="589" w:type="dxa"/>
            <w:hideMark/>
          </w:tcPr>
          <w:p w14:paraId="09D80468" w14:textId="77777777" w:rsidR="008F0498" w:rsidRPr="008F0498" w:rsidRDefault="008F049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0.6880</w:t>
            </w:r>
          </w:p>
        </w:tc>
        <w:tc>
          <w:tcPr>
            <w:tcW w:w="0" w:type="auto"/>
            <w:hideMark/>
          </w:tcPr>
          <w:p w14:paraId="3F2DB2FE" w14:textId="77777777" w:rsidR="008F0498" w:rsidRPr="008F0498" w:rsidRDefault="008F0498" w:rsidP="00FA06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0498">
              <w:rPr>
                <w:rFonts w:ascii="Times New Roman" w:hAnsi="Times New Roman" w:cs="Times New Roman"/>
              </w:rPr>
              <w:t>0.6880</w:t>
            </w:r>
          </w:p>
        </w:tc>
      </w:tr>
    </w:tbl>
    <w:p w14:paraId="300734AD" w14:textId="6B3DF98D" w:rsidR="008F0498" w:rsidRPr="008F0498" w:rsidRDefault="008F0498" w:rsidP="00FA06E6">
      <w:pPr>
        <w:rPr>
          <w:rFonts w:ascii="Times New Roman" w:hAnsi="Times New Roman" w:cs="Times New Roman"/>
        </w:rPr>
      </w:pPr>
      <w:r w:rsidRPr="008F0498">
        <w:rPr>
          <w:rFonts w:ascii="Times New Roman" w:hAnsi="Times New Roman" w:cs="Times New Roman"/>
          <w:i/>
          <w:iCs/>
        </w:rPr>
        <w:t>Note:</w:t>
      </w:r>
      <w:r w:rsidRPr="008F0498">
        <w:rPr>
          <w:rFonts w:ascii="Times New Roman" w:hAnsi="Times New Roman" w:cs="Times New Roman"/>
        </w:rPr>
        <w:t xml:space="preserve"> FDR control per Benjamini &amp; Hochberg (1995). </w:t>
      </w:r>
    </w:p>
    <w:p w14:paraId="5C15F5B3" w14:textId="77777777" w:rsidR="00472B5D" w:rsidRPr="00472B5D" w:rsidRDefault="008F0498" w:rsidP="00FA06E6">
      <w:pPr>
        <w:rPr>
          <w:rFonts w:ascii="Times New Roman" w:hAnsi="Times New Roman" w:cs="Times New Roman"/>
          <w:b/>
          <w:bCs/>
          <w:color w:val="000000"/>
        </w:rPr>
      </w:pPr>
      <w:r w:rsidRPr="00472B5D">
        <w:rPr>
          <w:rFonts w:ascii="Times New Roman" w:hAnsi="Times New Roman" w:cs="Times New Roman"/>
          <w:b/>
          <w:bCs/>
        </w:rPr>
        <w:t xml:space="preserve">4.5 </w:t>
      </w:r>
      <w:r w:rsidR="00472B5D" w:rsidRPr="00472B5D">
        <w:rPr>
          <w:rFonts w:ascii="Times New Roman" w:hAnsi="Times New Roman" w:cs="Times New Roman"/>
          <w:b/>
          <w:bCs/>
          <w:color w:val="000000"/>
        </w:rPr>
        <w:t>Unadjusted vs. Adjusted Associations</w:t>
      </w:r>
    </w:p>
    <w:p w14:paraId="7CE0323D" w14:textId="7F715AED" w:rsidR="00656CF3" w:rsidRPr="00656CF3" w:rsidRDefault="00656CF3" w:rsidP="00FA06E6">
      <w:pPr>
        <w:spacing w:after="100" w:afterAutospacing="1" w:line="240" w:lineRule="auto"/>
        <w:rPr>
          <w:rFonts w:ascii="Times New Roman" w:eastAsia="Times New Roman" w:hAnsi="Times New Roman" w:cs="Times New Roman"/>
          <w:color w:val="000000"/>
          <w:kern w:val="0"/>
          <w14:ligatures w14:val="none"/>
        </w:rPr>
      </w:pPr>
      <w:r w:rsidRPr="00656CF3">
        <w:rPr>
          <w:rFonts w:ascii="Times New Roman" w:eastAsia="Times New Roman" w:hAnsi="Times New Roman" w:cs="Times New Roman"/>
          <w:color w:val="000000"/>
          <w:kern w:val="0"/>
          <w14:ligatures w14:val="none"/>
        </w:rPr>
        <w:t xml:space="preserve">Comparing the unadjusted </w:t>
      </w:r>
      <w:r w:rsidR="00781041">
        <w:rPr>
          <w:rFonts w:ascii="Times New Roman" w:eastAsia="Times New Roman" w:hAnsi="Times New Roman" w:cs="Times New Roman"/>
          <w:color w:val="000000"/>
          <w:kern w:val="0"/>
          <w14:ligatures w14:val="none"/>
        </w:rPr>
        <w:t>RRs</w:t>
      </w:r>
      <w:r w:rsidRPr="00656CF3">
        <w:rPr>
          <w:rFonts w:ascii="Times New Roman" w:eastAsia="Times New Roman" w:hAnsi="Times New Roman" w:cs="Times New Roman"/>
          <w:color w:val="000000"/>
          <w:kern w:val="0"/>
          <w14:ligatures w14:val="none"/>
        </w:rPr>
        <w:t xml:space="preserve"> with the fully adjusted estimates allows us to understand the influence of confounding factors like parcel value, size, and neighborhood location. This process of attenuation is clear in the case of single</w:t>
      </w:r>
      <w:r w:rsidR="004F4D48">
        <w:rPr>
          <w:rFonts w:ascii="Times New Roman" w:eastAsia="Times New Roman" w:hAnsi="Times New Roman" w:cs="Times New Roman"/>
          <w:color w:val="000000"/>
          <w:kern w:val="0"/>
          <w14:ligatures w14:val="none"/>
        </w:rPr>
        <w:t xml:space="preserve"> </w:t>
      </w:r>
      <w:r w:rsidRPr="00656CF3">
        <w:rPr>
          <w:rFonts w:ascii="Times New Roman" w:eastAsia="Times New Roman" w:hAnsi="Times New Roman" w:cs="Times New Roman"/>
          <w:color w:val="000000"/>
          <w:kern w:val="0"/>
          <w14:ligatures w14:val="none"/>
        </w:rPr>
        <w:t>parcel LLCs. Their initial, unadjusted risk ratio is approximately 5.</w:t>
      </w:r>
      <w:r w:rsidR="0068744D">
        <w:rPr>
          <w:rFonts w:ascii="Times New Roman" w:eastAsia="Times New Roman" w:hAnsi="Times New Roman" w:cs="Times New Roman"/>
          <w:color w:val="000000"/>
          <w:kern w:val="0"/>
          <w14:ligatures w14:val="none"/>
        </w:rPr>
        <w:t>96</w:t>
      </w:r>
      <w:r w:rsidRPr="00656CF3">
        <w:rPr>
          <w:rFonts w:ascii="Times New Roman" w:eastAsia="Times New Roman" w:hAnsi="Times New Roman" w:cs="Times New Roman"/>
          <w:color w:val="000000"/>
          <w:kern w:val="0"/>
          <w14:ligatures w14:val="none"/>
        </w:rPr>
        <w:t xml:space="preserve"> times that of single-parcel Individuals. This ratio decreases to approximately 2.11 after controlling for parcel characteristics and settles at its final value of 1.72 once neighborhood fixed effects are included. A similar reduction is seen for multi-parcel </w:t>
      </w:r>
      <w:r w:rsidR="003A5CD9">
        <w:rPr>
          <w:rFonts w:ascii="Times New Roman" w:eastAsia="Times New Roman" w:hAnsi="Times New Roman" w:cs="Times New Roman"/>
          <w:color w:val="000000"/>
          <w:kern w:val="0"/>
          <w14:ligatures w14:val="none"/>
        </w:rPr>
        <w:t>c</w:t>
      </w:r>
      <w:r w:rsidRPr="00656CF3">
        <w:rPr>
          <w:rFonts w:ascii="Times New Roman" w:eastAsia="Times New Roman" w:hAnsi="Times New Roman" w:cs="Times New Roman"/>
          <w:color w:val="000000"/>
          <w:kern w:val="0"/>
          <w14:ligatures w14:val="none"/>
        </w:rPr>
        <w:t xml:space="preserve">orporations, whose unadjusted </w:t>
      </w:r>
      <w:r w:rsidR="004F4D48">
        <w:rPr>
          <w:rFonts w:ascii="Times New Roman" w:eastAsia="Times New Roman" w:hAnsi="Times New Roman" w:cs="Times New Roman"/>
          <w:color w:val="000000"/>
          <w:kern w:val="0"/>
          <w14:ligatures w14:val="none"/>
        </w:rPr>
        <w:t>RR</w:t>
      </w:r>
      <w:r w:rsidRPr="00656CF3">
        <w:rPr>
          <w:rFonts w:ascii="Times New Roman" w:eastAsia="Times New Roman" w:hAnsi="Times New Roman" w:cs="Times New Roman"/>
          <w:color w:val="000000"/>
          <w:kern w:val="0"/>
          <w14:ligatures w14:val="none"/>
        </w:rPr>
        <w:t xml:space="preserve"> of approximately </w:t>
      </w:r>
      <w:r w:rsidR="00787A92">
        <w:rPr>
          <w:rFonts w:ascii="Times New Roman" w:eastAsia="Times New Roman" w:hAnsi="Times New Roman" w:cs="Times New Roman"/>
          <w:color w:val="000000"/>
          <w:kern w:val="0"/>
          <w14:ligatures w14:val="none"/>
        </w:rPr>
        <w:t>3</w:t>
      </w:r>
      <w:r w:rsidRPr="00656CF3">
        <w:rPr>
          <w:rFonts w:ascii="Times New Roman" w:eastAsia="Times New Roman" w:hAnsi="Times New Roman" w:cs="Times New Roman"/>
          <w:color w:val="000000"/>
          <w:kern w:val="0"/>
          <w14:ligatures w14:val="none"/>
        </w:rPr>
        <w:t>.</w:t>
      </w:r>
      <w:r w:rsidR="00787A92">
        <w:rPr>
          <w:rFonts w:ascii="Times New Roman" w:eastAsia="Times New Roman" w:hAnsi="Times New Roman" w:cs="Times New Roman"/>
          <w:color w:val="000000"/>
          <w:kern w:val="0"/>
          <w14:ligatures w14:val="none"/>
        </w:rPr>
        <w:t>6</w:t>
      </w:r>
      <w:r w:rsidRPr="00656CF3">
        <w:rPr>
          <w:rFonts w:ascii="Times New Roman" w:eastAsia="Times New Roman" w:hAnsi="Times New Roman" w:cs="Times New Roman"/>
          <w:color w:val="000000"/>
          <w:kern w:val="0"/>
          <w14:ligatures w14:val="none"/>
        </w:rPr>
        <w:t xml:space="preserve"> is reduced to 1.62 in the final model.</w:t>
      </w:r>
    </w:p>
    <w:p w14:paraId="3FF44DC3" w14:textId="23F36A00" w:rsidR="00656CF3" w:rsidRPr="00656CF3" w:rsidRDefault="00656CF3" w:rsidP="00FA06E6">
      <w:pPr>
        <w:spacing w:after="100" w:afterAutospacing="1" w:line="240" w:lineRule="auto"/>
        <w:rPr>
          <w:rFonts w:ascii="Times New Roman" w:eastAsia="Times New Roman" w:hAnsi="Times New Roman" w:cs="Times New Roman"/>
          <w:color w:val="000000"/>
          <w:kern w:val="0"/>
          <w14:ligatures w14:val="none"/>
        </w:rPr>
      </w:pPr>
      <w:r w:rsidRPr="00656CF3">
        <w:rPr>
          <w:rFonts w:ascii="Times New Roman" w:eastAsia="Times New Roman" w:hAnsi="Times New Roman" w:cs="Times New Roman"/>
          <w:color w:val="000000"/>
          <w:kern w:val="0"/>
          <w14:ligatures w14:val="none"/>
        </w:rPr>
        <w:t>Despite these reductions, the relative ranking of owner types remains consistent across all models. This persistence strongly suggests that organizational form and portfolio scale provide explanatory power above and beyond what can be attributed to parcel attributes and location alone.</w:t>
      </w:r>
    </w:p>
    <w:p w14:paraId="0D1FCB61" w14:textId="77777777" w:rsidR="00472B5D" w:rsidRDefault="008F0498" w:rsidP="00FA06E6">
      <w:pPr>
        <w:rPr>
          <w:rFonts w:ascii="Times New Roman" w:hAnsi="Times New Roman" w:cs="Times New Roman"/>
          <w:b/>
          <w:bCs/>
          <w:color w:val="000000"/>
        </w:rPr>
      </w:pPr>
      <w:r w:rsidRPr="00472B5D">
        <w:rPr>
          <w:rFonts w:ascii="Times New Roman" w:hAnsi="Times New Roman" w:cs="Times New Roman"/>
          <w:b/>
          <w:bCs/>
        </w:rPr>
        <w:lastRenderedPageBreak/>
        <w:t xml:space="preserve">4.6 </w:t>
      </w:r>
      <w:r w:rsidR="00472B5D" w:rsidRPr="00472B5D">
        <w:rPr>
          <w:rFonts w:ascii="Times New Roman" w:hAnsi="Times New Roman" w:cs="Times New Roman"/>
          <w:b/>
          <w:bCs/>
          <w:color w:val="000000"/>
        </w:rPr>
        <w:t>Proximity Robustness Check</w:t>
      </w:r>
    </w:p>
    <w:p w14:paraId="15E0C632" w14:textId="5F179D60" w:rsidR="00BD6C31" w:rsidRPr="00BD6C31" w:rsidRDefault="00BD6C31" w:rsidP="00FA06E6">
      <w:pPr>
        <w:pStyle w:val="NormalWeb"/>
        <w:spacing w:before="0" w:beforeAutospacing="0"/>
        <w:rPr>
          <w:color w:val="000000"/>
          <w:sz w:val="22"/>
          <w:szCs w:val="22"/>
        </w:rPr>
      </w:pPr>
      <w:r w:rsidRPr="00BD6C31">
        <w:rPr>
          <w:color w:val="000000"/>
          <w:sz w:val="22"/>
          <w:szCs w:val="22"/>
        </w:rPr>
        <w:t>To ensure our findings are not simply an artifact of owner proximity, we conducted a robustness check by adding control</w:t>
      </w:r>
      <w:r w:rsidR="003A5CD9">
        <w:rPr>
          <w:color w:val="000000"/>
          <w:sz w:val="22"/>
          <w:szCs w:val="22"/>
        </w:rPr>
        <w:t>s</w:t>
      </w:r>
      <w:r w:rsidRPr="00BD6C31">
        <w:rPr>
          <w:color w:val="000000"/>
          <w:sz w:val="22"/>
          <w:szCs w:val="22"/>
        </w:rPr>
        <w:t xml:space="preserve"> for the distance between an owner and their parcel to our primary model. The results of this test confirm that the ownership patterns we identified are</w:t>
      </w:r>
      <w:r w:rsidRPr="00BD6C31">
        <w:rPr>
          <w:rStyle w:val="apple-converted-space"/>
          <w:rFonts w:eastAsiaTheme="majorEastAsia"/>
          <w:color w:val="000000"/>
          <w:sz w:val="22"/>
          <w:szCs w:val="22"/>
        </w:rPr>
        <w:t> </w:t>
      </w:r>
      <w:r w:rsidRPr="00BD6C31">
        <w:rPr>
          <w:color w:val="000000"/>
          <w:sz w:val="22"/>
          <w:szCs w:val="22"/>
        </w:rPr>
        <w:t>highly stable.</w:t>
      </w:r>
    </w:p>
    <w:p w14:paraId="6B2027BB" w14:textId="14ED9015" w:rsidR="00BD6C31" w:rsidRPr="00BD6C31" w:rsidRDefault="00BD6C31" w:rsidP="00FA06E6">
      <w:pPr>
        <w:pStyle w:val="NormalWeb"/>
        <w:spacing w:before="0" w:beforeAutospacing="0"/>
        <w:rPr>
          <w:color w:val="000000"/>
          <w:sz w:val="22"/>
          <w:szCs w:val="22"/>
        </w:rPr>
      </w:pPr>
      <w:r w:rsidRPr="00BD6C31">
        <w:rPr>
          <w:color w:val="000000"/>
          <w:sz w:val="22"/>
          <w:szCs w:val="22"/>
        </w:rPr>
        <w:t xml:space="preserve">Including the distance variable had a negligible effect on the estimates. For example, the </w:t>
      </w:r>
      <w:r w:rsidR="004F4D48">
        <w:rPr>
          <w:color w:val="000000"/>
          <w:sz w:val="22"/>
          <w:szCs w:val="22"/>
        </w:rPr>
        <w:t>RR</w:t>
      </w:r>
      <w:r w:rsidRPr="00BD6C31">
        <w:rPr>
          <w:color w:val="000000"/>
          <w:sz w:val="22"/>
          <w:szCs w:val="22"/>
        </w:rPr>
        <w:t xml:space="preserve"> for the key single</w:t>
      </w:r>
      <w:r w:rsidR="004F4D48">
        <w:rPr>
          <w:color w:val="000000"/>
          <w:sz w:val="22"/>
          <w:szCs w:val="22"/>
        </w:rPr>
        <w:t xml:space="preserve"> </w:t>
      </w:r>
      <w:r w:rsidRPr="00BD6C31">
        <w:rPr>
          <w:color w:val="000000"/>
          <w:sz w:val="22"/>
          <w:szCs w:val="22"/>
        </w:rPr>
        <w:t>parcel LLC group shifted only slightly from</w:t>
      </w:r>
      <w:r w:rsidRPr="00BD6C31">
        <w:rPr>
          <w:rStyle w:val="apple-converted-space"/>
          <w:rFonts w:eastAsiaTheme="majorEastAsia"/>
          <w:color w:val="000000"/>
          <w:sz w:val="22"/>
          <w:szCs w:val="22"/>
        </w:rPr>
        <w:t> </w:t>
      </w:r>
      <w:r w:rsidRPr="00BD6C31">
        <w:rPr>
          <w:color w:val="000000"/>
          <w:sz w:val="22"/>
          <w:szCs w:val="22"/>
        </w:rPr>
        <w:t>1.72 to 1.70, and the relative risk ranking across all owner groups remained unchanged. This stability demonstrates that the associations linked to organizational form and portfolio scale are distinct from the influence of owner-parcel distance. Given this, we retain the more parsimonious model without the distance term as our primary specification.</w:t>
      </w:r>
    </w:p>
    <w:p w14:paraId="000DCE76" w14:textId="77777777" w:rsidR="00F464D3" w:rsidRPr="00F464D3" w:rsidRDefault="00FC3F1D" w:rsidP="00FA06E6">
      <w:pPr>
        <w:rPr>
          <w:rFonts w:ascii="Times New Roman" w:hAnsi="Times New Roman" w:cs="Times New Roman"/>
          <w:b/>
          <w:bCs/>
          <w:color w:val="000000"/>
        </w:rPr>
      </w:pPr>
      <w:r w:rsidRPr="00F464D3">
        <w:rPr>
          <w:rFonts w:ascii="Times New Roman" w:eastAsia="Times New Roman" w:hAnsi="Times New Roman" w:cs="Times New Roman"/>
          <w:b/>
          <w:bCs/>
          <w:noProof/>
          <w:color w:val="000000"/>
          <w:kern w:val="0"/>
        </w:rPr>
        <w:drawing>
          <wp:anchor distT="0" distB="0" distL="114300" distR="114300" simplePos="0" relativeHeight="251659264" behindDoc="0" locked="0" layoutInCell="1" allowOverlap="1" wp14:anchorId="6955FB7E" wp14:editId="61B38168">
            <wp:simplePos x="0" y="0"/>
            <wp:positionH relativeFrom="column">
              <wp:posOffset>0</wp:posOffset>
            </wp:positionH>
            <wp:positionV relativeFrom="paragraph">
              <wp:posOffset>381865</wp:posOffset>
            </wp:positionV>
            <wp:extent cx="5671185" cy="2709545"/>
            <wp:effectExtent l="0" t="0" r="5715" b="0"/>
            <wp:wrapTopAndBottom/>
            <wp:docPr id="885833177" name="Picture 2"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33177" name="Picture 2" descr="A map of a city&#10;&#10;AI-generated content may be incorrect."/>
                    <pic:cNvPicPr/>
                  </pic:nvPicPr>
                  <pic:blipFill rotWithShape="1">
                    <a:blip r:embed="rId9" cstate="print">
                      <a:extLst>
                        <a:ext uri="{28A0092B-C50C-407E-A947-70E740481C1C}">
                          <a14:useLocalDpi xmlns:a14="http://schemas.microsoft.com/office/drawing/2010/main" val="0"/>
                        </a:ext>
                      </a:extLst>
                    </a:blip>
                    <a:srcRect l="2452" t="21444" r="2083" b="25348"/>
                    <a:stretch>
                      <a:fillRect/>
                    </a:stretch>
                  </pic:blipFill>
                  <pic:spPr bwMode="auto">
                    <a:xfrm>
                      <a:off x="0" y="0"/>
                      <a:ext cx="5671185" cy="27095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F0498" w:rsidRPr="00F464D3">
        <w:rPr>
          <w:rFonts w:ascii="Times New Roman" w:hAnsi="Times New Roman" w:cs="Times New Roman"/>
          <w:b/>
          <w:bCs/>
        </w:rPr>
        <w:t xml:space="preserve">4.7 </w:t>
      </w:r>
      <w:r w:rsidR="00F464D3" w:rsidRPr="00F464D3">
        <w:rPr>
          <w:rFonts w:ascii="Times New Roman" w:hAnsi="Times New Roman" w:cs="Times New Roman"/>
          <w:b/>
          <w:bCs/>
          <w:color w:val="000000"/>
        </w:rPr>
        <w:t>Spatial Structure and Fixed Effects</w:t>
      </w:r>
    </w:p>
    <w:p w14:paraId="56D3AE0A" w14:textId="61B5370D" w:rsidR="00E20F4B" w:rsidRPr="00FE51CC" w:rsidRDefault="00E20F4B" w:rsidP="00FA06E6">
      <w:pPr>
        <w:rPr>
          <w:rFonts w:ascii="Times New Roman" w:eastAsia="Times New Roman" w:hAnsi="Times New Roman" w:cs="Times New Roman"/>
          <w:color w:val="000000"/>
          <w:kern w:val="0"/>
          <w14:ligatures w14:val="none"/>
        </w:rPr>
      </w:pPr>
      <w:r>
        <w:rPr>
          <w:rFonts w:ascii="Times New Roman" w:hAnsi="Times New Roman" w:cs="Times New Roman"/>
        </w:rPr>
        <w:t>Fi</w:t>
      </w:r>
      <w:r w:rsidRPr="00FE51CC">
        <w:rPr>
          <w:rFonts w:ascii="Times New Roman" w:eastAsia="Times New Roman" w:hAnsi="Times New Roman" w:cs="Times New Roman"/>
          <w:color w:val="000000"/>
          <w:kern w:val="0"/>
          <w14:ligatures w14:val="none"/>
        </w:rPr>
        <w:t xml:space="preserve">gure </w:t>
      </w:r>
      <w:r>
        <w:rPr>
          <w:rFonts w:ascii="Times New Roman" w:eastAsia="Times New Roman" w:hAnsi="Times New Roman" w:cs="Times New Roman"/>
          <w:color w:val="000000"/>
          <w:kern w:val="0"/>
          <w14:ligatures w14:val="none"/>
        </w:rPr>
        <w:t>4</w:t>
      </w:r>
      <w:r w:rsidRPr="00FE51CC">
        <w:rPr>
          <w:rFonts w:ascii="Times New Roman" w:eastAsia="Times New Roman" w:hAnsi="Times New Roman" w:cs="Times New Roman"/>
          <w:color w:val="000000"/>
          <w:kern w:val="0"/>
          <w14:ligatures w14:val="none"/>
        </w:rPr>
        <w:t>. Individual Owner Spatial Clustering by Parcel</w:t>
      </w:r>
    </w:p>
    <w:p w14:paraId="227CD1AD" w14:textId="11C89325" w:rsidR="00334B86" w:rsidRDefault="00334B86" w:rsidP="00FA06E6">
      <w:pPr>
        <w:rPr>
          <w:rFonts w:ascii="Times New Roman" w:hAnsi="Times New Roman" w:cs="Times New Roman"/>
        </w:rPr>
      </w:pPr>
    </w:p>
    <w:p w14:paraId="5D793776" w14:textId="77777777" w:rsidR="00334B86" w:rsidRDefault="00334B86" w:rsidP="00FA06E6">
      <w:pPr>
        <w:rPr>
          <w:rFonts w:ascii="Times New Roman" w:hAnsi="Times New Roman" w:cs="Times New Roman"/>
        </w:rPr>
      </w:pPr>
    </w:p>
    <w:p w14:paraId="50D94B90" w14:textId="382D42FE" w:rsidR="00F576BF" w:rsidRDefault="00F576BF" w:rsidP="00FA06E6">
      <w:pPr>
        <w:rPr>
          <w:rFonts w:ascii="Times New Roman" w:hAnsi="Times New Roman" w:cs="Times New Roman"/>
        </w:rPr>
      </w:pPr>
    </w:p>
    <w:p w14:paraId="322B3A59" w14:textId="6EBEF57D" w:rsidR="00ED2E10" w:rsidRPr="00FE51CC" w:rsidRDefault="00ED2E10" w:rsidP="00FA06E6">
      <w:pPr>
        <w:rPr>
          <w:rFonts w:ascii="Times New Roman" w:eastAsia="Times New Roman" w:hAnsi="Times New Roman" w:cs="Times New Roman"/>
        </w:rPr>
      </w:pPr>
      <w:r w:rsidRPr="00FE51CC">
        <w:rPr>
          <w:rFonts w:ascii="Times New Roman" w:eastAsia="Times New Roman" w:hAnsi="Times New Roman" w:cs="Times New Roman"/>
          <w:noProof/>
          <w:color w:val="000000"/>
          <w:kern w:val="0"/>
        </w:rPr>
        <w:lastRenderedPageBreak/>
        <w:drawing>
          <wp:anchor distT="0" distB="0" distL="114300" distR="114300" simplePos="0" relativeHeight="251663360" behindDoc="0" locked="0" layoutInCell="1" allowOverlap="1" wp14:anchorId="19C4AC36" wp14:editId="364BC366">
            <wp:simplePos x="0" y="0"/>
            <wp:positionH relativeFrom="column">
              <wp:posOffset>-139341</wp:posOffset>
            </wp:positionH>
            <wp:positionV relativeFrom="paragraph">
              <wp:posOffset>3079661</wp:posOffset>
            </wp:positionV>
            <wp:extent cx="5664425" cy="2726055"/>
            <wp:effectExtent l="0" t="0" r="0" b="4445"/>
            <wp:wrapTopAndBottom/>
            <wp:docPr id="2088671786" name="Picture 4"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71786" name="Picture 4" descr="A map of a city&#10;&#10;AI-generated content may be incorrect."/>
                    <pic:cNvPicPr/>
                  </pic:nvPicPr>
                  <pic:blipFill rotWithShape="1">
                    <a:blip r:embed="rId10" cstate="print">
                      <a:extLst>
                        <a:ext uri="{28A0092B-C50C-407E-A947-70E740481C1C}">
                          <a14:useLocalDpi xmlns:a14="http://schemas.microsoft.com/office/drawing/2010/main" val="0"/>
                        </a:ext>
                      </a:extLst>
                    </a:blip>
                    <a:srcRect l="2180" t="21126" r="2487" b="25348"/>
                    <a:stretch>
                      <a:fillRect/>
                    </a:stretch>
                  </pic:blipFill>
                  <pic:spPr bwMode="auto">
                    <a:xfrm>
                      <a:off x="0" y="0"/>
                      <a:ext cx="5664425" cy="27260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20F4B" w:rsidRPr="00FE51CC">
        <w:rPr>
          <w:rFonts w:ascii="Times New Roman" w:eastAsia="Times New Roman" w:hAnsi="Times New Roman" w:cs="Times New Roman"/>
          <w:noProof/>
          <w:color w:val="000000"/>
          <w:kern w:val="0"/>
        </w:rPr>
        <w:drawing>
          <wp:anchor distT="0" distB="0" distL="114300" distR="114300" simplePos="0" relativeHeight="251661312" behindDoc="0" locked="0" layoutInCell="1" allowOverlap="1" wp14:anchorId="71088A23" wp14:editId="1596646F">
            <wp:simplePos x="0" y="0"/>
            <wp:positionH relativeFrom="column">
              <wp:posOffset>-67277</wp:posOffset>
            </wp:positionH>
            <wp:positionV relativeFrom="paragraph">
              <wp:posOffset>551</wp:posOffset>
            </wp:positionV>
            <wp:extent cx="5671185" cy="2750567"/>
            <wp:effectExtent l="0" t="0" r="0" b="5715"/>
            <wp:wrapTopAndBottom/>
            <wp:docPr id="1886804912" name="Picture 3"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04912" name="Picture 3" descr="A map of a city&#10;&#10;AI-generated content may be incorrect."/>
                    <pic:cNvPicPr/>
                  </pic:nvPicPr>
                  <pic:blipFill rotWithShape="1">
                    <a:blip r:embed="rId11" cstate="print">
                      <a:extLst>
                        <a:ext uri="{28A0092B-C50C-407E-A947-70E740481C1C}">
                          <a14:useLocalDpi xmlns:a14="http://schemas.microsoft.com/office/drawing/2010/main" val="0"/>
                        </a:ext>
                      </a:extLst>
                    </a:blip>
                    <a:srcRect l="2316" t="20807" r="2234" b="25183"/>
                    <a:stretch>
                      <a:fillRect/>
                    </a:stretch>
                  </pic:blipFill>
                  <pic:spPr bwMode="auto">
                    <a:xfrm>
                      <a:off x="0" y="0"/>
                      <a:ext cx="5671185" cy="275056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20F4B">
        <w:rPr>
          <w:rFonts w:ascii="Times New Roman" w:hAnsi="Times New Roman" w:cs="Times New Roman"/>
        </w:rPr>
        <w:t xml:space="preserve">Figure 5. </w:t>
      </w:r>
      <w:r w:rsidRPr="00FE51CC">
        <w:rPr>
          <w:rFonts w:ascii="Times New Roman" w:eastAsia="Times New Roman" w:hAnsi="Times New Roman" w:cs="Times New Roman"/>
          <w:color w:val="000000"/>
          <w:kern w:val="0"/>
          <w14:ligatures w14:val="none"/>
        </w:rPr>
        <w:t>LLC Owners Spatial Clustering (LISA) by Parcel</w:t>
      </w:r>
    </w:p>
    <w:p w14:paraId="22E9F1BD" w14:textId="38EBEF8C" w:rsidR="00F576BF" w:rsidRDefault="00ED2E10" w:rsidP="00FA06E6">
      <w:pPr>
        <w:rPr>
          <w:rFonts w:ascii="Times New Roman" w:hAnsi="Times New Roman" w:cs="Times New Roman"/>
        </w:rPr>
      </w:pPr>
      <w:r>
        <w:rPr>
          <w:rFonts w:ascii="Times New Roman" w:hAnsi="Times New Roman" w:cs="Times New Roman"/>
        </w:rPr>
        <w:t xml:space="preserve">Figure 6. Corporate Owners Spatial Clustering (LISA) by Parcel </w:t>
      </w:r>
    </w:p>
    <w:p w14:paraId="752B7C49" w14:textId="48963E34" w:rsidR="00AF1679" w:rsidRPr="00AF1679" w:rsidRDefault="005D498F" w:rsidP="00FA06E6">
      <w:pPr>
        <w:rPr>
          <w:rFonts w:ascii="Times New Roman" w:hAnsi="Times New Roman" w:cs="Times New Roman"/>
        </w:rPr>
      </w:pPr>
      <w:r>
        <w:rPr>
          <w:rFonts w:ascii="Times New Roman" w:hAnsi="Times New Roman" w:cs="Times New Roman"/>
        </w:rPr>
        <w:t>S</w:t>
      </w:r>
      <w:r w:rsidR="00AF1679" w:rsidRPr="00AF1679">
        <w:rPr>
          <w:rFonts w:ascii="Times New Roman" w:hAnsi="Times New Roman" w:cs="Times New Roman"/>
        </w:rPr>
        <w:t xml:space="preserve">patial analysis of the data confirms that both flood exposure and ownership types exhibit significant geographic clustering. Moran’s I, a measure of spatial autocorrelation, is 0.783 for parcels within </w:t>
      </w:r>
      <w:r>
        <w:rPr>
          <w:rFonts w:ascii="Times New Roman" w:hAnsi="Times New Roman" w:cs="Times New Roman"/>
        </w:rPr>
        <w:t>SFHAs</w:t>
      </w:r>
      <w:r w:rsidR="00AF1679" w:rsidRPr="00AF1679">
        <w:rPr>
          <w:rFonts w:ascii="Times New Roman" w:hAnsi="Times New Roman" w:cs="Times New Roman"/>
        </w:rPr>
        <w:t>, indicating a very strong tendency for them to be located near one another. This clustering pattern also applies to ownership, as holdings by LLCs (I = 0.268) and </w:t>
      </w:r>
      <w:r w:rsidR="003C097E">
        <w:rPr>
          <w:rFonts w:ascii="Times New Roman" w:hAnsi="Times New Roman" w:cs="Times New Roman"/>
        </w:rPr>
        <w:t>c</w:t>
      </w:r>
      <w:r w:rsidR="00AF1679" w:rsidRPr="00AF1679">
        <w:rPr>
          <w:rFonts w:ascii="Times New Roman" w:hAnsi="Times New Roman" w:cs="Times New Roman"/>
        </w:rPr>
        <w:t>orporations (I = 0.196) are also geographically concentrated.</w:t>
      </w:r>
    </w:p>
    <w:p w14:paraId="204BFA54" w14:textId="3401CCC4" w:rsidR="00AF1679" w:rsidRPr="00AF1679" w:rsidRDefault="00AF1679" w:rsidP="00FA06E6">
      <w:pPr>
        <w:rPr>
          <w:rFonts w:ascii="Times New Roman" w:hAnsi="Times New Roman" w:cs="Times New Roman"/>
        </w:rPr>
      </w:pPr>
      <w:r w:rsidRPr="00AF1679">
        <w:rPr>
          <w:rFonts w:ascii="Times New Roman" w:hAnsi="Times New Roman" w:cs="Times New Roman"/>
        </w:rPr>
        <w:t xml:space="preserve">The maps in Figures 4 </w:t>
      </w:r>
      <w:r w:rsidR="00A962E5">
        <w:rPr>
          <w:rFonts w:ascii="Times New Roman" w:hAnsi="Times New Roman" w:cs="Times New Roman"/>
        </w:rPr>
        <w:t>-</w:t>
      </w:r>
      <w:r w:rsidRPr="00AF1679">
        <w:rPr>
          <w:rFonts w:ascii="Times New Roman" w:hAnsi="Times New Roman" w:cs="Times New Roman"/>
        </w:rPr>
        <w:t xml:space="preserve"> </w:t>
      </w:r>
      <w:r w:rsidR="003B7328">
        <w:rPr>
          <w:rFonts w:ascii="Times New Roman" w:hAnsi="Times New Roman" w:cs="Times New Roman"/>
        </w:rPr>
        <w:t>7</w:t>
      </w:r>
      <w:r w:rsidRPr="00AF1679">
        <w:rPr>
          <w:rFonts w:ascii="Times New Roman" w:hAnsi="Times New Roman" w:cs="Times New Roman"/>
        </w:rPr>
        <w:t>, generated using Local Indicators of Spatial Association (LISA), pinpoint the locations of these statistical hotspots. These maps reveal numerous clusters where high concentrations of flood-exposed parcels and specific investor types align with the county’s hydro-topography and expected investment patterns.</w:t>
      </w:r>
    </w:p>
    <w:p w14:paraId="714F7BDC" w14:textId="77777777" w:rsidR="0060024D" w:rsidRDefault="0060024D" w:rsidP="00FA06E6">
      <w:pPr>
        <w:rPr>
          <w:rFonts w:ascii="Times New Roman" w:hAnsi="Times New Roman" w:cs="Times New Roman"/>
        </w:rPr>
      </w:pPr>
    </w:p>
    <w:p w14:paraId="2E276382" w14:textId="43D94439" w:rsidR="003B7328" w:rsidRPr="00D904FE" w:rsidRDefault="003B7328" w:rsidP="00FA06E6">
      <w:pPr>
        <w:rPr>
          <w:rFonts w:ascii="Times New Roman" w:eastAsia="Times New Roman" w:hAnsi="Times New Roman" w:cs="Times New Roman"/>
        </w:rPr>
      </w:pPr>
      <w:r w:rsidRPr="00FE51CC">
        <w:rPr>
          <w:rFonts w:ascii="Times New Roman" w:eastAsia="Times New Roman" w:hAnsi="Times New Roman" w:cs="Times New Roman"/>
          <w:noProof/>
          <w:color w:val="000000"/>
          <w:kern w:val="0"/>
        </w:rPr>
        <w:lastRenderedPageBreak/>
        <w:drawing>
          <wp:anchor distT="0" distB="0" distL="114300" distR="114300" simplePos="0" relativeHeight="251665408" behindDoc="0" locked="0" layoutInCell="1" allowOverlap="1" wp14:anchorId="19F4CDC8" wp14:editId="61AF6707">
            <wp:simplePos x="0" y="0"/>
            <wp:positionH relativeFrom="column">
              <wp:posOffset>-97723</wp:posOffset>
            </wp:positionH>
            <wp:positionV relativeFrom="paragraph">
              <wp:posOffset>60724</wp:posOffset>
            </wp:positionV>
            <wp:extent cx="5623560" cy="2709545"/>
            <wp:effectExtent l="0" t="0" r="2540" b="0"/>
            <wp:wrapTopAndBottom/>
            <wp:docPr id="1754787744" name="Picture 6"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87744" name="Picture 6" descr="A map of a city&#10;&#10;AI-generated content may be incorrect."/>
                    <pic:cNvPicPr/>
                  </pic:nvPicPr>
                  <pic:blipFill rotWithShape="1">
                    <a:blip r:embed="rId12" cstate="print">
                      <a:extLst>
                        <a:ext uri="{28A0092B-C50C-407E-A947-70E740481C1C}">
                          <a14:useLocalDpi xmlns:a14="http://schemas.microsoft.com/office/drawing/2010/main" val="0"/>
                        </a:ext>
                      </a:extLst>
                    </a:blip>
                    <a:srcRect l="2588" t="21287" r="2771" b="25506"/>
                    <a:stretch>
                      <a:fillRect/>
                    </a:stretch>
                  </pic:blipFill>
                  <pic:spPr bwMode="auto">
                    <a:xfrm>
                      <a:off x="0" y="0"/>
                      <a:ext cx="5623560" cy="27095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 xml:space="preserve">Figure 7. </w:t>
      </w:r>
      <w:r w:rsidRPr="00FE51CC">
        <w:rPr>
          <w:rFonts w:ascii="Times New Roman" w:eastAsia="Times New Roman" w:hAnsi="Times New Roman" w:cs="Times New Roman"/>
          <w:color w:val="000000"/>
          <w:kern w:val="0"/>
          <w14:ligatures w14:val="none"/>
        </w:rPr>
        <w:t>Government/Nonprofit Owners Spatial Clustering (LISA) by Parcel</w:t>
      </w:r>
    </w:p>
    <w:p w14:paraId="45F69CEA" w14:textId="67BCEFF6" w:rsidR="0060024D" w:rsidRDefault="0060024D" w:rsidP="00FA06E6">
      <w:pPr>
        <w:rPr>
          <w:rFonts w:ascii="Times New Roman" w:hAnsi="Times New Roman" w:cs="Times New Roman"/>
        </w:rPr>
      </w:pPr>
    </w:p>
    <w:p w14:paraId="1DCF1B18" w14:textId="14CDA992" w:rsidR="00AF1679" w:rsidRPr="00AF1679" w:rsidRDefault="00AF1679" w:rsidP="00FA06E6">
      <w:pPr>
        <w:rPr>
          <w:rFonts w:ascii="Times New Roman" w:hAnsi="Times New Roman" w:cs="Times New Roman"/>
        </w:rPr>
      </w:pPr>
      <w:r w:rsidRPr="00AF1679">
        <w:rPr>
          <w:rFonts w:ascii="Times New Roman" w:hAnsi="Times New Roman" w:cs="Times New Roman"/>
        </w:rPr>
        <w:t xml:space="preserve">Because these strong geographic patterns could confound our analysis, we use neighborhood fixed effects in our primary model. This approach </w:t>
      </w:r>
      <w:r w:rsidR="000E2A9E">
        <w:rPr>
          <w:rFonts w:ascii="Times New Roman" w:hAnsi="Times New Roman" w:cs="Times New Roman"/>
        </w:rPr>
        <w:t>partially</w:t>
      </w:r>
      <w:r w:rsidRPr="00AF1679">
        <w:rPr>
          <w:rFonts w:ascii="Times New Roman" w:hAnsi="Times New Roman" w:cs="Times New Roman"/>
        </w:rPr>
        <w:t xml:space="preserve"> absorbs this spatial heterogeneity, ensuring that our estimates of ownership effects are not merely reflecting these pre-existing geographic clusters. </w:t>
      </w:r>
    </w:p>
    <w:p w14:paraId="5CF8769C" w14:textId="77777777" w:rsidR="00AF1679" w:rsidRDefault="00AF1679" w:rsidP="00FA06E6">
      <w:pPr>
        <w:rPr>
          <w:rFonts w:ascii="Times New Roman" w:hAnsi="Times New Roman" w:cs="Times New Roman"/>
          <w:b/>
          <w:bCs/>
        </w:rPr>
      </w:pPr>
    </w:p>
    <w:p w14:paraId="448880C5" w14:textId="6209A17E" w:rsidR="008F0498" w:rsidRDefault="008F0498" w:rsidP="00FA06E6">
      <w:pPr>
        <w:rPr>
          <w:rFonts w:ascii="Times New Roman" w:hAnsi="Times New Roman" w:cs="Times New Roman"/>
          <w:b/>
          <w:bCs/>
        </w:rPr>
      </w:pPr>
      <w:r w:rsidRPr="00EB4C70">
        <w:rPr>
          <w:rFonts w:ascii="Times New Roman" w:hAnsi="Times New Roman" w:cs="Times New Roman"/>
          <w:b/>
          <w:bCs/>
        </w:rPr>
        <w:t>4.8 Summary</w:t>
      </w:r>
    </w:p>
    <w:p w14:paraId="57A5A44B" w14:textId="040D276B" w:rsidR="00D904FE" w:rsidRPr="00D904FE" w:rsidRDefault="000257FF" w:rsidP="00FA06E6">
      <w:pPr>
        <w:rPr>
          <w:rFonts w:ascii="Times New Roman" w:hAnsi="Times New Roman" w:cs="Times New Roman"/>
        </w:rPr>
      </w:pPr>
      <w:r>
        <w:rPr>
          <w:rFonts w:ascii="Times New Roman" w:hAnsi="Times New Roman" w:cs="Times New Roman"/>
        </w:rPr>
        <w:t xml:space="preserve">Our </w:t>
      </w:r>
      <w:r w:rsidR="00D904FE" w:rsidRPr="00D904FE">
        <w:rPr>
          <w:rFonts w:ascii="Times New Roman" w:hAnsi="Times New Roman" w:cs="Times New Roman"/>
        </w:rPr>
        <w:t xml:space="preserve">results demonstrate that both who owns a property and </w:t>
      </w:r>
      <w:r>
        <w:rPr>
          <w:rFonts w:ascii="Times New Roman" w:hAnsi="Times New Roman" w:cs="Times New Roman"/>
        </w:rPr>
        <w:t>what</w:t>
      </w:r>
      <w:r w:rsidR="00D904FE" w:rsidRPr="00D904FE">
        <w:rPr>
          <w:rFonts w:ascii="Times New Roman" w:hAnsi="Times New Roman" w:cs="Times New Roman"/>
        </w:rPr>
        <w:t xml:space="preserve"> </w:t>
      </w:r>
      <w:r w:rsidR="000B59F2">
        <w:rPr>
          <w:rFonts w:ascii="Times New Roman" w:hAnsi="Times New Roman" w:cs="Times New Roman"/>
        </w:rPr>
        <w:t>form</w:t>
      </w:r>
      <w:r w:rsidR="00D904FE" w:rsidRPr="00D904FE">
        <w:rPr>
          <w:rFonts w:ascii="Times New Roman" w:hAnsi="Times New Roman" w:cs="Times New Roman"/>
        </w:rPr>
        <w:t xml:space="preserve"> </w:t>
      </w:r>
      <w:r w:rsidR="000B59F2">
        <w:rPr>
          <w:rFonts w:ascii="Times New Roman" w:hAnsi="Times New Roman" w:cs="Times New Roman"/>
        </w:rPr>
        <w:t xml:space="preserve">that </w:t>
      </w:r>
      <w:r w:rsidR="00D904FE" w:rsidRPr="00D904FE">
        <w:rPr>
          <w:rFonts w:ascii="Times New Roman" w:hAnsi="Times New Roman" w:cs="Times New Roman"/>
        </w:rPr>
        <w:t>own</w:t>
      </w:r>
      <w:r w:rsidR="000B59F2">
        <w:rPr>
          <w:rFonts w:ascii="Times New Roman" w:hAnsi="Times New Roman" w:cs="Times New Roman"/>
        </w:rPr>
        <w:t>ership takes</w:t>
      </w:r>
      <w:r w:rsidR="00D904FE" w:rsidRPr="00D904FE">
        <w:rPr>
          <w:rFonts w:ascii="Times New Roman" w:hAnsi="Times New Roman" w:cs="Times New Roman"/>
        </w:rPr>
        <w:t xml:space="preserve"> are systematically associated with the geography of regulatory flood exposure. </w:t>
      </w:r>
    </w:p>
    <w:p w14:paraId="645CD005" w14:textId="012A2494" w:rsidR="00D904FE" w:rsidRPr="00D904FE" w:rsidRDefault="00D904FE" w:rsidP="00FA06E6">
      <w:pPr>
        <w:rPr>
          <w:rFonts w:ascii="Times New Roman" w:hAnsi="Times New Roman" w:cs="Times New Roman"/>
        </w:rPr>
      </w:pPr>
      <w:r w:rsidRPr="00D904FE">
        <w:rPr>
          <w:rFonts w:ascii="Times New Roman" w:hAnsi="Times New Roman" w:cs="Times New Roman"/>
        </w:rPr>
        <w:t xml:space="preserve">After adjusting for parcel characteristics and neighborhood context, our models show that single-parcel LLCs are the most likely group to hold parcels in </w:t>
      </w:r>
      <w:r w:rsidR="00C520B5">
        <w:rPr>
          <w:rFonts w:ascii="Times New Roman" w:hAnsi="Times New Roman" w:cs="Times New Roman"/>
        </w:rPr>
        <w:t>SFHAs</w:t>
      </w:r>
      <w:r w:rsidRPr="00D904FE">
        <w:rPr>
          <w:rFonts w:ascii="Times New Roman" w:hAnsi="Times New Roman" w:cs="Times New Roman"/>
        </w:rPr>
        <w:t>. They are followed by multi-parcel Corporations and multi-parcel LLCs, which also exhibit significantly elevated exposure. This effect of scale is also apparent among individual owners, as those with multi-parcel portfolios have a higher risk than their single-parcel counterparts.</w:t>
      </w:r>
    </w:p>
    <w:p w14:paraId="1E8EF1BE" w14:textId="2FB1B8CC" w:rsidR="00D904FE" w:rsidRPr="00D904FE" w:rsidRDefault="00D904FE" w:rsidP="00FA06E6">
      <w:pPr>
        <w:rPr>
          <w:rFonts w:ascii="Times New Roman" w:hAnsi="Times New Roman" w:cs="Times New Roman"/>
        </w:rPr>
      </w:pPr>
      <w:r w:rsidRPr="00D904FE">
        <w:rPr>
          <w:rFonts w:ascii="Times New Roman" w:hAnsi="Times New Roman" w:cs="Times New Roman"/>
        </w:rPr>
        <w:t>Among LLCs, single-parcel entities show higher flood exposure than multi-parcel ones, whereas among Corporations, multi-parcel portfolios exhibit greater exposure than single</w:t>
      </w:r>
      <w:r w:rsidR="003130BD">
        <w:rPr>
          <w:rFonts w:ascii="Times New Roman" w:hAnsi="Times New Roman" w:cs="Times New Roman"/>
        </w:rPr>
        <w:t xml:space="preserve"> </w:t>
      </w:r>
      <w:r w:rsidRPr="00D904FE">
        <w:rPr>
          <w:rFonts w:ascii="Times New Roman" w:hAnsi="Times New Roman" w:cs="Times New Roman"/>
        </w:rPr>
        <w:t>parcel holdings. Collectively, these patterns are consistent with the mechanisms of risk–return sorting into discounted hazard locations, liability siloing via single</w:t>
      </w:r>
      <w:r w:rsidR="005234BD">
        <w:rPr>
          <w:rFonts w:ascii="Times New Roman" w:hAnsi="Times New Roman" w:cs="Times New Roman"/>
        </w:rPr>
        <w:t xml:space="preserve"> </w:t>
      </w:r>
      <w:r w:rsidRPr="00D904FE">
        <w:rPr>
          <w:rFonts w:ascii="Times New Roman" w:hAnsi="Times New Roman" w:cs="Times New Roman"/>
        </w:rPr>
        <w:t>asset LLCs, and principal–agent dynamics common in rental operations.</w:t>
      </w:r>
    </w:p>
    <w:p w14:paraId="66831DE8" w14:textId="77777777" w:rsidR="0000392C" w:rsidRPr="00CF3313" w:rsidRDefault="0000392C" w:rsidP="00FA06E6">
      <w:pPr>
        <w:spacing w:after="100" w:afterAutospacing="1" w:line="240" w:lineRule="auto"/>
        <w:outlineLvl w:val="1"/>
        <w:rPr>
          <w:rFonts w:ascii="Times New Roman" w:eastAsia="Times New Roman" w:hAnsi="Times New Roman" w:cs="Times New Roman"/>
          <w:b/>
          <w:bCs/>
          <w:color w:val="000000"/>
          <w:kern w:val="0"/>
          <w14:ligatures w14:val="none"/>
        </w:rPr>
      </w:pPr>
      <w:r w:rsidRPr="00CF3313">
        <w:rPr>
          <w:rFonts w:ascii="Times New Roman" w:eastAsia="Times New Roman" w:hAnsi="Times New Roman" w:cs="Times New Roman"/>
          <w:b/>
          <w:bCs/>
          <w:color w:val="000000"/>
          <w:kern w:val="0"/>
          <w14:ligatures w14:val="none"/>
        </w:rPr>
        <w:t>5. Discussion</w:t>
      </w:r>
    </w:p>
    <w:p w14:paraId="4F1F3787" w14:textId="008E496C" w:rsidR="0000392C" w:rsidRPr="006034FB" w:rsidRDefault="0000392C" w:rsidP="00FA06E6">
      <w:pPr>
        <w:spacing w:after="100" w:afterAutospacing="1" w:line="240" w:lineRule="auto"/>
        <w:outlineLvl w:val="2"/>
        <w:rPr>
          <w:rFonts w:ascii="Times New Roman" w:eastAsia="Times New Roman" w:hAnsi="Times New Roman" w:cs="Times New Roman"/>
          <w:b/>
          <w:bCs/>
          <w:color w:val="000000"/>
          <w:kern w:val="0"/>
          <w14:ligatures w14:val="none"/>
        </w:rPr>
      </w:pPr>
      <w:r w:rsidRPr="006034FB">
        <w:rPr>
          <w:rFonts w:ascii="Times New Roman" w:eastAsia="Times New Roman" w:hAnsi="Times New Roman" w:cs="Times New Roman"/>
          <w:b/>
          <w:bCs/>
          <w:color w:val="000000"/>
          <w:kern w:val="0"/>
          <w14:ligatures w14:val="none"/>
        </w:rPr>
        <w:t xml:space="preserve">5.1 </w:t>
      </w:r>
      <w:r w:rsidR="006034FB" w:rsidRPr="006034FB">
        <w:rPr>
          <w:rFonts w:ascii="Times New Roman" w:eastAsia="Times New Roman" w:hAnsi="Times New Roman" w:cs="Times New Roman"/>
          <w:b/>
          <w:bCs/>
          <w:color w:val="000000"/>
          <w:kern w:val="0"/>
          <w14:ligatures w14:val="none"/>
        </w:rPr>
        <w:t>Interpreting Ownership Patterns</w:t>
      </w:r>
    </w:p>
    <w:p w14:paraId="7BA2259C" w14:textId="0A56C640" w:rsidR="0000392C" w:rsidRPr="0000392C" w:rsidRDefault="0000392C" w:rsidP="00FA06E6">
      <w:pPr>
        <w:spacing w:after="100" w:afterAutospacing="1" w:line="240" w:lineRule="auto"/>
        <w:rPr>
          <w:rFonts w:ascii="Times New Roman" w:eastAsia="Times New Roman" w:hAnsi="Times New Roman" w:cs="Times New Roman"/>
          <w:color w:val="000000"/>
          <w:kern w:val="0"/>
          <w14:ligatures w14:val="none"/>
        </w:rPr>
      </w:pPr>
      <w:r w:rsidRPr="0000392C">
        <w:rPr>
          <w:rFonts w:ascii="Times New Roman" w:eastAsia="Times New Roman" w:hAnsi="Times New Roman" w:cs="Times New Roman"/>
          <w:color w:val="000000"/>
          <w:kern w:val="0"/>
          <w14:ligatures w14:val="none"/>
        </w:rPr>
        <w:t xml:space="preserve">Our results indicate that the organizational structures through which owners hold </w:t>
      </w:r>
      <w:r w:rsidR="00C92B98">
        <w:rPr>
          <w:rFonts w:ascii="Times New Roman" w:eastAsia="Times New Roman" w:hAnsi="Times New Roman" w:cs="Times New Roman"/>
          <w:color w:val="000000"/>
          <w:kern w:val="0"/>
          <w14:ligatures w14:val="none"/>
        </w:rPr>
        <w:t>parcels</w:t>
      </w:r>
      <w:r w:rsidRPr="0000392C">
        <w:rPr>
          <w:rFonts w:ascii="Times New Roman" w:eastAsia="Times New Roman" w:hAnsi="Times New Roman" w:cs="Times New Roman"/>
          <w:color w:val="000000"/>
          <w:kern w:val="0"/>
          <w14:ligatures w14:val="none"/>
        </w:rPr>
        <w:t xml:space="preserve"> are systematically associated with regulatory flood exposure</w:t>
      </w:r>
      <w:r w:rsidR="00C92B98">
        <w:rPr>
          <w:rFonts w:ascii="Times New Roman" w:eastAsia="Times New Roman" w:hAnsi="Times New Roman" w:cs="Times New Roman"/>
          <w:color w:val="000000"/>
          <w:kern w:val="0"/>
          <w14:ligatures w14:val="none"/>
        </w:rPr>
        <w:t xml:space="preserve"> among SFR holdings</w:t>
      </w:r>
      <w:r w:rsidRPr="0000392C">
        <w:rPr>
          <w:rFonts w:ascii="Times New Roman" w:eastAsia="Times New Roman" w:hAnsi="Times New Roman" w:cs="Times New Roman"/>
          <w:color w:val="000000"/>
          <w:kern w:val="0"/>
          <w14:ligatures w14:val="none"/>
        </w:rPr>
        <w:t>. After conditioning on parcel value and size and absorbing micro</w:t>
      </w:r>
      <w:r w:rsidRPr="0000392C">
        <w:rPr>
          <w:rFonts w:ascii="Times New Roman" w:eastAsia="Times New Roman" w:hAnsi="Times New Roman" w:cs="Times New Roman"/>
          <w:color w:val="000000"/>
          <w:kern w:val="0"/>
          <w14:ligatures w14:val="none"/>
        </w:rPr>
        <w:noBreakHyphen/>
        <w:t>spatial heterogeneity with neighborhood fixed effects, single</w:t>
      </w:r>
      <w:r w:rsidR="00A70508">
        <w:rPr>
          <w:rFonts w:ascii="Times New Roman" w:eastAsia="Times New Roman" w:hAnsi="Times New Roman" w:cs="Times New Roman"/>
          <w:color w:val="000000"/>
          <w:kern w:val="0"/>
          <w14:ligatures w14:val="none"/>
        </w:rPr>
        <w:t xml:space="preserve"> </w:t>
      </w:r>
      <w:r w:rsidRPr="0000392C">
        <w:rPr>
          <w:rFonts w:ascii="Times New Roman" w:eastAsia="Times New Roman" w:hAnsi="Times New Roman" w:cs="Times New Roman"/>
          <w:color w:val="000000"/>
          <w:kern w:val="0"/>
          <w14:ligatures w14:val="none"/>
        </w:rPr>
        <w:t>parcel LLCs have the highest adjusted association with SFHA location, followed by multi</w:t>
      </w:r>
      <w:r w:rsidRPr="0000392C">
        <w:rPr>
          <w:rFonts w:ascii="Times New Roman" w:eastAsia="Times New Roman" w:hAnsi="Times New Roman" w:cs="Times New Roman"/>
          <w:color w:val="000000"/>
          <w:kern w:val="0"/>
          <w14:ligatures w14:val="none"/>
        </w:rPr>
        <w:noBreakHyphen/>
        <w:t xml:space="preserve">parcel </w:t>
      </w:r>
      <w:r w:rsidR="000F4E02">
        <w:rPr>
          <w:rFonts w:ascii="Times New Roman" w:eastAsia="Times New Roman" w:hAnsi="Times New Roman" w:cs="Times New Roman"/>
          <w:color w:val="000000"/>
          <w:kern w:val="0"/>
          <w14:ligatures w14:val="none"/>
        </w:rPr>
        <w:t>c</w:t>
      </w:r>
      <w:r w:rsidRPr="0000392C">
        <w:rPr>
          <w:rFonts w:ascii="Times New Roman" w:eastAsia="Times New Roman" w:hAnsi="Times New Roman" w:cs="Times New Roman"/>
          <w:color w:val="000000"/>
          <w:kern w:val="0"/>
          <w14:ligatures w14:val="none"/>
        </w:rPr>
        <w:t>orporations and multi</w:t>
      </w:r>
      <w:r w:rsidRPr="0000392C">
        <w:rPr>
          <w:rFonts w:ascii="Times New Roman" w:eastAsia="Times New Roman" w:hAnsi="Times New Roman" w:cs="Times New Roman"/>
          <w:color w:val="000000"/>
          <w:kern w:val="0"/>
          <w14:ligatures w14:val="none"/>
        </w:rPr>
        <w:noBreakHyphen/>
        <w:t>parcel LLCs; multi</w:t>
      </w:r>
      <w:r w:rsidRPr="0000392C">
        <w:rPr>
          <w:rFonts w:ascii="Times New Roman" w:eastAsia="Times New Roman" w:hAnsi="Times New Roman" w:cs="Times New Roman"/>
          <w:color w:val="000000"/>
          <w:kern w:val="0"/>
          <w14:ligatures w14:val="none"/>
        </w:rPr>
        <w:noBreakHyphen/>
        <w:t>parcel Individuals also exceed the reference group (Table </w:t>
      </w:r>
      <w:r w:rsidR="006A562C">
        <w:rPr>
          <w:rFonts w:ascii="Times New Roman" w:eastAsia="Times New Roman" w:hAnsi="Times New Roman" w:cs="Times New Roman"/>
          <w:color w:val="000000"/>
          <w:kern w:val="0"/>
          <w14:ligatures w14:val="none"/>
        </w:rPr>
        <w:t>8</w:t>
      </w:r>
      <w:r w:rsidRPr="0000392C">
        <w:rPr>
          <w:rFonts w:ascii="Times New Roman" w:eastAsia="Times New Roman" w:hAnsi="Times New Roman" w:cs="Times New Roman"/>
          <w:color w:val="000000"/>
          <w:kern w:val="0"/>
          <w14:ligatures w14:val="none"/>
        </w:rPr>
        <w:t xml:space="preserve">). </w:t>
      </w:r>
      <w:r w:rsidRPr="0000392C">
        <w:rPr>
          <w:rFonts w:ascii="Times New Roman" w:eastAsia="Times New Roman" w:hAnsi="Times New Roman" w:cs="Times New Roman"/>
          <w:color w:val="000000"/>
          <w:kern w:val="0"/>
          <w14:ligatures w14:val="none"/>
        </w:rPr>
        <w:lastRenderedPageBreak/>
        <w:t>Concentration analysis shows that</w:t>
      </w:r>
      <w:r w:rsidR="00BE5DDF">
        <w:rPr>
          <w:rFonts w:ascii="Times New Roman" w:eastAsia="Times New Roman" w:hAnsi="Times New Roman" w:cs="Times New Roman"/>
          <w:color w:val="000000"/>
          <w:kern w:val="0"/>
          <w14:ligatures w14:val="none"/>
        </w:rPr>
        <w:t xml:space="preserve"> parcels located within</w:t>
      </w:r>
      <w:r w:rsidRPr="0000392C">
        <w:rPr>
          <w:rFonts w:ascii="Times New Roman" w:eastAsia="Times New Roman" w:hAnsi="Times New Roman" w:cs="Times New Roman"/>
          <w:color w:val="000000"/>
          <w:kern w:val="0"/>
          <w14:ligatures w14:val="none"/>
        </w:rPr>
        <w:t xml:space="preserve"> SFHA</w:t>
      </w:r>
      <w:r w:rsidR="00BE5DDF">
        <w:rPr>
          <w:rFonts w:ascii="Times New Roman" w:eastAsia="Times New Roman" w:hAnsi="Times New Roman" w:cs="Times New Roman"/>
          <w:color w:val="000000"/>
          <w:kern w:val="0"/>
          <w14:ligatures w14:val="none"/>
        </w:rPr>
        <w:t>s</w:t>
      </w:r>
      <w:r w:rsidRPr="0000392C">
        <w:rPr>
          <w:rFonts w:ascii="Times New Roman" w:eastAsia="Times New Roman" w:hAnsi="Times New Roman" w:cs="Times New Roman"/>
          <w:color w:val="000000"/>
          <w:kern w:val="0"/>
          <w14:ligatures w14:val="none"/>
        </w:rPr>
        <w:t xml:space="preserve"> are unevenly distributed within </w:t>
      </w:r>
      <w:r w:rsidR="00BE5DDF">
        <w:rPr>
          <w:rFonts w:ascii="Times New Roman" w:eastAsia="Times New Roman" w:hAnsi="Times New Roman" w:cs="Times New Roman"/>
          <w:color w:val="000000"/>
          <w:kern w:val="0"/>
          <w14:ligatures w14:val="none"/>
        </w:rPr>
        <w:t>ownership forms</w:t>
      </w:r>
      <w:r w:rsidRPr="0000392C">
        <w:rPr>
          <w:rFonts w:ascii="Times New Roman" w:eastAsia="Times New Roman" w:hAnsi="Times New Roman" w:cs="Times New Roman"/>
          <w:color w:val="000000"/>
          <w:kern w:val="0"/>
          <w14:ligatures w14:val="none"/>
        </w:rPr>
        <w:t xml:space="preserve">, with particularly high concentration among </w:t>
      </w:r>
      <w:r w:rsidR="009971C3">
        <w:rPr>
          <w:rFonts w:ascii="Times New Roman" w:eastAsia="Times New Roman" w:hAnsi="Times New Roman" w:cs="Times New Roman"/>
          <w:color w:val="000000"/>
          <w:kern w:val="0"/>
          <w14:ligatures w14:val="none"/>
        </w:rPr>
        <w:t>c</w:t>
      </w:r>
      <w:r w:rsidRPr="0000392C">
        <w:rPr>
          <w:rFonts w:ascii="Times New Roman" w:eastAsia="Times New Roman" w:hAnsi="Times New Roman" w:cs="Times New Roman"/>
          <w:color w:val="000000"/>
          <w:kern w:val="0"/>
          <w14:ligatures w14:val="none"/>
        </w:rPr>
        <w:t xml:space="preserve">orporations and </w:t>
      </w:r>
      <w:r w:rsidR="009971C3">
        <w:rPr>
          <w:rFonts w:ascii="Times New Roman" w:eastAsia="Times New Roman" w:hAnsi="Times New Roman" w:cs="Times New Roman"/>
          <w:color w:val="000000"/>
          <w:kern w:val="0"/>
          <w14:ligatures w14:val="none"/>
        </w:rPr>
        <w:t>g</w:t>
      </w:r>
      <w:r w:rsidRPr="0000392C">
        <w:rPr>
          <w:rFonts w:ascii="Times New Roman" w:eastAsia="Times New Roman" w:hAnsi="Times New Roman" w:cs="Times New Roman"/>
          <w:color w:val="000000"/>
          <w:kern w:val="0"/>
          <w14:ligatures w14:val="none"/>
        </w:rPr>
        <w:t>overnment/</w:t>
      </w:r>
      <w:r w:rsidR="009971C3">
        <w:rPr>
          <w:rFonts w:ascii="Times New Roman" w:eastAsia="Times New Roman" w:hAnsi="Times New Roman" w:cs="Times New Roman"/>
          <w:color w:val="000000"/>
          <w:kern w:val="0"/>
          <w14:ligatures w14:val="none"/>
        </w:rPr>
        <w:t>n</w:t>
      </w:r>
      <w:r w:rsidRPr="0000392C">
        <w:rPr>
          <w:rFonts w:ascii="Times New Roman" w:eastAsia="Times New Roman" w:hAnsi="Times New Roman" w:cs="Times New Roman"/>
          <w:color w:val="000000"/>
          <w:kern w:val="0"/>
          <w14:ligatures w14:val="none"/>
        </w:rPr>
        <w:t>onprofits and meaningful concentration among LLCs (Figure 2). The movement from large raw gaps to attenuated but persistent adjusted associations suggests that parcel characteristics and neighborhood context explain part</w:t>
      </w:r>
      <w:r w:rsidR="009F5E8D">
        <w:rPr>
          <w:rFonts w:ascii="Times New Roman" w:eastAsia="Times New Roman" w:hAnsi="Times New Roman" w:cs="Times New Roman"/>
          <w:color w:val="000000"/>
          <w:kern w:val="0"/>
          <w14:ligatures w14:val="none"/>
        </w:rPr>
        <w:t xml:space="preserve">, </w:t>
      </w:r>
      <w:r w:rsidRPr="0000392C">
        <w:rPr>
          <w:rFonts w:ascii="Times New Roman" w:eastAsia="Times New Roman" w:hAnsi="Times New Roman" w:cs="Times New Roman"/>
          <w:color w:val="000000"/>
          <w:kern w:val="0"/>
          <w14:ligatures w14:val="none"/>
        </w:rPr>
        <w:t xml:space="preserve">but not </w:t>
      </w:r>
      <w:r w:rsidR="009F5E8D" w:rsidRPr="0000392C">
        <w:rPr>
          <w:rFonts w:ascii="Times New Roman" w:eastAsia="Times New Roman" w:hAnsi="Times New Roman" w:cs="Times New Roman"/>
          <w:color w:val="000000"/>
          <w:kern w:val="0"/>
          <w14:ligatures w14:val="none"/>
        </w:rPr>
        <w:t>all</w:t>
      </w:r>
      <w:r w:rsidR="009F5E8D">
        <w:rPr>
          <w:rFonts w:ascii="Times New Roman" w:eastAsia="Times New Roman" w:hAnsi="Times New Roman" w:cs="Times New Roman"/>
          <w:color w:val="000000"/>
          <w:kern w:val="0"/>
          <w14:ligatures w14:val="none"/>
        </w:rPr>
        <w:t>,</w:t>
      </w:r>
      <w:r w:rsidR="009F5E8D" w:rsidRPr="0000392C">
        <w:rPr>
          <w:rFonts w:ascii="Times New Roman" w:eastAsia="Times New Roman" w:hAnsi="Times New Roman" w:cs="Times New Roman"/>
          <w:color w:val="000000"/>
          <w:kern w:val="0"/>
          <w14:ligatures w14:val="none"/>
        </w:rPr>
        <w:t xml:space="preserve"> of</w:t>
      </w:r>
      <w:r w:rsidRPr="0000392C">
        <w:rPr>
          <w:rFonts w:ascii="Times New Roman" w:eastAsia="Times New Roman" w:hAnsi="Times New Roman" w:cs="Times New Roman"/>
          <w:color w:val="000000"/>
          <w:kern w:val="0"/>
          <w14:ligatures w14:val="none"/>
        </w:rPr>
        <w:t xml:space="preserve"> the observed pattern (Section 4.5). Together these findings point to organizational form and portfolio scale as meaningful correlates of who holds regulatory flood exposure in Douglas County. </w:t>
      </w:r>
    </w:p>
    <w:p w14:paraId="2046E696" w14:textId="77777777" w:rsidR="000613A0" w:rsidRDefault="0000392C" w:rsidP="00FA06E6">
      <w:pPr>
        <w:spacing w:after="100" w:afterAutospacing="1" w:line="240" w:lineRule="auto"/>
        <w:outlineLvl w:val="2"/>
        <w:rPr>
          <w:rFonts w:ascii="Times New Roman" w:eastAsia="Times New Roman" w:hAnsi="Times New Roman" w:cs="Times New Roman"/>
          <w:b/>
          <w:bCs/>
          <w:color w:val="000000"/>
          <w:kern w:val="0"/>
          <w14:ligatures w14:val="none"/>
        </w:rPr>
      </w:pPr>
      <w:r w:rsidRPr="000613A0">
        <w:rPr>
          <w:rFonts w:ascii="Times New Roman" w:eastAsia="Times New Roman" w:hAnsi="Times New Roman" w:cs="Times New Roman"/>
          <w:b/>
          <w:bCs/>
          <w:color w:val="000000"/>
          <w:kern w:val="0"/>
          <w14:ligatures w14:val="none"/>
        </w:rPr>
        <w:t xml:space="preserve">5.2 Mechanisms </w:t>
      </w:r>
    </w:p>
    <w:p w14:paraId="3D2ED39D" w14:textId="4D428A81" w:rsidR="0000392C" w:rsidRPr="0000392C" w:rsidRDefault="0000392C" w:rsidP="00FA06E6">
      <w:pPr>
        <w:spacing w:after="100" w:afterAutospacing="1" w:line="240" w:lineRule="auto"/>
        <w:outlineLvl w:val="2"/>
        <w:rPr>
          <w:rFonts w:ascii="Times New Roman" w:eastAsia="Times New Roman" w:hAnsi="Times New Roman" w:cs="Times New Roman"/>
          <w:color w:val="000000"/>
          <w:kern w:val="0"/>
          <w14:ligatures w14:val="none"/>
        </w:rPr>
      </w:pPr>
      <w:r w:rsidRPr="0000392C">
        <w:rPr>
          <w:rFonts w:ascii="Times New Roman" w:eastAsia="Times New Roman" w:hAnsi="Times New Roman" w:cs="Times New Roman"/>
          <w:color w:val="000000"/>
          <w:kern w:val="0"/>
          <w14:ligatures w14:val="none"/>
        </w:rPr>
        <w:t>Three mechanisms motivated our design and are consistent with the estimates. First, risk–return sorting can arise when hazard is imperfectly capitalized (</w:t>
      </w:r>
      <w:proofErr w:type="spellStart"/>
      <w:r w:rsidRPr="0000392C">
        <w:rPr>
          <w:rFonts w:ascii="Times New Roman" w:eastAsia="Times New Roman" w:hAnsi="Times New Roman" w:cs="Times New Roman"/>
          <w:color w:val="000000"/>
          <w:kern w:val="0"/>
          <w14:ligatures w14:val="none"/>
        </w:rPr>
        <w:t>Gourevitch</w:t>
      </w:r>
      <w:proofErr w:type="spellEnd"/>
      <w:r w:rsidRPr="0000392C">
        <w:rPr>
          <w:rFonts w:ascii="Times New Roman" w:eastAsia="Times New Roman" w:hAnsi="Times New Roman" w:cs="Times New Roman"/>
          <w:color w:val="000000"/>
          <w:kern w:val="0"/>
          <w14:ligatures w14:val="none"/>
        </w:rPr>
        <w:t xml:space="preserve"> et al., 2023) and when some owners target discounted assets or submarkets (Bin &amp; Polasky, 2004; Atreya &amp; Ferreira, 2015; </w:t>
      </w:r>
      <w:proofErr w:type="spellStart"/>
      <w:r w:rsidRPr="0000392C">
        <w:rPr>
          <w:rFonts w:ascii="Times New Roman" w:eastAsia="Times New Roman" w:hAnsi="Times New Roman" w:cs="Times New Roman"/>
          <w:color w:val="000000"/>
          <w:kern w:val="0"/>
          <w14:ligatures w14:val="none"/>
        </w:rPr>
        <w:t>Immergluck</w:t>
      </w:r>
      <w:proofErr w:type="spellEnd"/>
      <w:r w:rsidRPr="0000392C">
        <w:rPr>
          <w:rFonts w:ascii="Times New Roman" w:eastAsia="Times New Roman" w:hAnsi="Times New Roman" w:cs="Times New Roman"/>
          <w:color w:val="000000"/>
          <w:kern w:val="0"/>
          <w14:ligatures w14:val="none"/>
        </w:rPr>
        <w:t xml:space="preserve"> &amp; Law, 2014a, 2014b; Colburn et al., 2021; Demers &amp; Eisfeldt, 2022). The elevation of multi</w:t>
      </w:r>
      <w:r w:rsidRPr="0000392C">
        <w:rPr>
          <w:rFonts w:ascii="Times New Roman" w:eastAsia="Times New Roman" w:hAnsi="Times New Roman" w:cs="Times New Roman"/>
          <w:color w:val="000000"/>
          <w:kern w:val="0"/>
          <w14:ligatures w14:val="none"/>
        </w:rPr>
        <w:noBreakHyphen/>
        <w:t>parcel corporate portfolios is compatible with this logic. Second, the single</w:t>
      </w:r>
      <w:r w:rsidRPr="0000392C">
        <w:rPr>
          <w:rFonts w:ascii="Times New Roman" w:eastAsia="Times New Roman" w:hAnsi="Times New Roman" w:cs="Times New Roman"/>
          <w:color w:val="000000"/>
          <w:kern w:val="0"/>
          <w14:ligatures w14:val="none"/>
        </w:rPr>
        <w:noBreakHyphen/>
        <w:t>parcel premium among LLCs aligns with liability siloing in single</w:t>
      </w:r>
      <w:r w:rsidRPr="0000392C">
        <w:rPr>
          <w:rFonts w:ascii="Times New Roman" w:eastAsia="Times New Roman" w:hAnsi="Times New Roman" w:cs="Times New Roman"/>
          <w:color w:val="000000"/>
          <w:kern w:val="0"/>
          <w14:ligatures w14:val="none"/>
        </w:rPr>
        <w:noBreakHyphen/>
        <w:t>asset entities that isolate risk at the parcel level even when beneficial owners operate larger holdings (Travis, 2019). Third, patterns consistent with principal–agent frictions—where landlords’ mitigation incentives differ from those of owner</w:t>
      </w:r>
      <w:r w:rsidRPr="0000392C">
        <w:rPr>
          <w:rFonts w:ascii="Times New Roman" w:eastAsia="Times New Roman" w:hAnsi="Times New Roman" w:cs="Times New Roman"/>
          <w:color w:val="000000"/>
          <w:kern w:val="0"/>
          <w14:ligatures w14:val="none"/>
        </w:rPr>
        <w:noBreakHyphen/>
        <w:t>occupants—are suggested by higher exposure among non</w:t>
      </w:r>
      <w:r w:rsidRPr="0000392C">
        <w:rPr>
          <w:rFonts w:ascii="Times New Roman" w:eastAsia="Times New Roman" w:hAnsi="Times New Roman" w:cs="Times New Roman"/>
          <w:color w:val="000000"/>
          <w:kern w:val="0"/>
          <w14:ligatures w14:val="none"/>
        </w:rPr>
        <w:noBreakHyphen/>
        <w:t>individual forms and evidence on maintenance</w:t>
      </w:r>
      <w:r w:rsidR="003130BD">
        <w:rPr>
          <w:rFonts w:ascii="Times New Roman" w:eastAsia="Times New Roman" w:hAnsi="Times New Roman" w:cs="Times New Roman"/>
          <w:color w:val="000000"/>
          <w:kern w:val="0"/>
          <w14:ligatures w14:val="none"/>
        </w:rPr>
        <w:t xml:space="preserve"> and code </w:t>
      </w:r>
      <w:r w:rsidRPr="0000392C">
        <w:rPr>
          <w:rFonts w:ascii="Times New Roman" w:eastAsia="Times New Roman" w:hAnsi="Times New Roman" w:cs="Times New Roman"/>
          <w:color w:val="000000"/>
          <w:kern w:val="0"/>
          <w14:ligatures w14:val="none"/>
        </w:rPr>
        <w:t>compliance in rental</w:t>
      </w:r>
      <w:r w:rsidR="003130BD">
        <w:rPr>
          <w:rFonts w:ascii="Times New Roman" w:eastAsia="Times New Roman" w:hAnsi="Times New Roman" w:cs="Times New Roman"/>
          <w:color w:val="000000"/>
          <w:kern w:val="0"/>
          <w14:ligatures w14:val="none"/>
        </w:rPr>
        <w:t xml:space="preserve"> units</w:t>
      </w:r>
      <w:r w:rsidRPr="0000392C">
        <w:rPr>
          <w:rFonts w:ascii="Times New Roman" w:eastAsia="Times New Roman" w:hAnsi="Times New Roman" w:cs="Times New Roman"/>
          <w:color w:val="000000"/>
          <w:kern w:val="0"/>
          <w14:ligatures w14:val="none"/>
        </w:rPr>
        <w:t xml:space="preserve"> (Ellen et al., 2013; Rose &amp; Harris, 2022; Harrison et al., 2025).</w:t>
      </w:r>
    </w:p>
    <w:p w14:paraId="4878F5D1" w14:textId="6C285538" w:rsidR="0000392C" w:rsidRPr="0000392C" w:rsidRDefault="0000392C" w:rsidP="00FA06E6">
      <w:pPr>
        <w:spacing w:after="100" w:afterAutospacing="1" w:line="240" w:lineRule="auto"/>
        <w:rPr>
          <w:rFonts w:ascii="Times New Roman" w:eastAsia="Times New Roman" w:hAnsi="Times New Roman" w:cs="Times New Roman"/>
          <w:color w:val="000000"/>
          <w:kern w:val="0"/>
          <w14:ligatures w14:val="none"/>
        </w:rPr>
      </w:pPr>
      <w:r w:rsidRPr="0000392C">
        <w:rPr>
          <w:rFonts w:ascii="Times New Roman" w:eastAsia="Times New Roman" w:hAnsi="Times New Roman" w:cs="Times New Roman"/>
          <w:color w:val="000000"/>
          <w:kern w:val="0"/>
          <w14:ligatures w14:val="none"/>
        </w:rPr>
        <w:t>An obvious alternative explanation is proximity: distant owners might simply be more exposed. A companion analysis documents a steep proximity gradient for SFR exposure in this setting (Andrews et al., 2025). Yet the ownership pattern is stable when we add a distance term; the prespecified primary contrast shifts only slightly, and the ordering of estimates remains intact. This suggests that proximity mediates or moderates, but does not solely account for, the organizational form and scale associations we observe. </w:t>
      </w:r>
    </w:p>
    <w:p w14:paraId="5ED88280" w14:textId="5FE8597E" w:rsidR="006034FB" w:rsidRPr="006034FB" w:rsidRDefault="0000392C" w:rsidP="00FA06E6">
      <w:pPr>
        <w:spacing w:after="100" w:afterAutospacing="1" w:line="240" w:lineRule="auto"/>
        <w:outlineLvl w:val="2"/>
        <w:rPr>
          <w:rFonts w:ascii="Times New Roman" w:hAnsi="Times New Roman" w:cs="Times New Roman"/>
          <w:b/>
          <w:bCs/>
          <w:color w:val="000000"/>
        </w:rPr>
      </w:pPr>
      <w:r w:rsidRPr="006034FB">
        <w:rPr>
          <w:rFonts w:ascii="Times New Roman" w:eastAsia="Times New Roman" w:hAnsi="Times New Roman" w:cs="Times New Roman"/>
          <w:b/>
          <w:bCs/>
          <w:color w:val="000000"/>
          <w:kern w:val="0"/>
          <w14:ligatures w14:val="none"/>
        </w:rPr>
        <w:t xml:space="preserve">5.3 </w:t>
      </w:r>
      <w:r w:rsidR="006034FB" w:rsidRPr="006034FB">
        <w:rPr>
          <w:rFonts w:ascii="Times New Roman" w:hAnsi="Times New Roman" w:cs="Times New Roman"/>
          <w:b/>
          <w:bCs/>
          <w:color w:val="000000"/>
        </w:rPr>
        <w:t xml:space="preserve">Policy </w:t>
      </w:r>
      <w:r w:rsidR="003914EB">
        <w:rPr>
          <w:rFonts w:ascii="Times New Roman" w:hAnsi="Times New Roman" w:cs="Times New Roman"/>
          <w:b/>
          <w:bCs/>
          <w:color w:val="000000"/>
        </w:rPr>
        <w:t xml:space="preserve">&amp; </w:t>
      </w:r>
      <w:r w:rsidR="006034FB" w:rsidRPr="006034FB">
        <w:rPr>
          <w:rFonts w:ascii="Times New Roman" w:hAnsi="Times New Roman" w:cs="Times New Roman"/>
          <w:b/>
          <w:bCs/>
          <w:color w:val="000000"/>
        </w:rPr>
        <w:t>Administrative Implications</w:t>
      </w:r>
    </w:p>
    <w:p w14:paraId="07826C1A" w14:textId="760FFFE2" w:rsidR="0000392C" w:rsidRPr="0000392C" w:rsidRDefault="0000392C" w:rsidP="00FA06E6">
      <w:pPr>
        <w:spacing w:after="100" w:afterAutospacing="1" w:line="240" w:lineRule="auto"/>
        <w:outlineLvl w:val="2"/>
        <w:rPr>
          <w:rFonts w:ascii="Times New Roman" w:eastAsia="Times New Roman" w:hAnsi="Times New Roman" w:cs="Times New Roman"/>
          <w:color w:val="000000"/>
          <w:kern w:val="0"/>
          <w14:ligatures w14:val="none"/>
        </w:rPr>
      </w:pPr>
      <w:r w:rsidRPr="0000392C">
        <w:rPr>
          <w:rFonts w:ascii="Times New Roman" w:eastAsia="Times New Roman" w:hAnsi="Times New Roman" w:cs="Times New Roman"/>
          <w:color w:val="000000"/>
          <w:kern w:val="0"/>
          <w14:ligatures w14:val="none"/>
        </w:rPr>
        <w:t>Because SFHA boundaries directly govern permitting and insurance, and because ownership is a strong correlate of who holds exposure, policies can be tuned to where and who simultaneously. Three directions follow:</w:t>
      </w:r>
    </w:p>
    <w:p w14:paraId="18CC0380" w14:textId="64A1302A" w:rsidR="000C7459" w:rsidRPr="000C7459" w:rsidRDefault="000C7459" w:rsidP="00FA06E6">
      <w:pPr>
        <w:spacing w:after="100" w:afterAutospacing="1" w:line="240" w:lineRule="auto"/>
        <w:rPr>
          <w:rFonts w:ascii="Times New Roman" w:eastAsia="Times New Roman" w:hAnsi="Times New Roman" w:cs="Times New Roman"/>
          <w:b/>
          <w:bCs/>
          <w:color w:val="000000"/>
          <w:kern w:val="0"/>
          <w14:ligatures w14:val="none"/>
        </w:rPr>
      </w:pPr>
      <w:r w:rsidRPr="000C7459">
        <w:rPr>
          <w:rFonts w:ascii="Times New Roman" w:eastAsia="Times New Roman" w:hAnsi="Times New Roman" w:cs="Times New Roman"/>
          <w:b/>
          <w:bCs/>
          <w:color w:val="000000"/>
          <w:kern w:val="0"/>
          <w14:ligatures w14:val="none"/>
        </w:rPr>
        <w:t xml:space="preserve">5.3.1 </w:t>
      </w:r>
      <w:r w:rsidR="0000392C" w:rsidRPr="000C7459">
        <w:rPr>
          <w:rFonts w:ascii="Times New Roman" w:eastAsia="Times New Roman" w:hAnsi="Times New Roman" w:cs="Times New Roman"/>
          <w:b/>
          <w:bCs/>
          <w:color w:val="000000"/>
          <w:kern w:val="0"/>
          <w14:ligatures w14:val="none"/>
        </w:rPr>
        <w:t xml:space="preserve">Strengthen information flows </w:t>
      </w:r>
    </w:p>
    <w:p w14:paraId="3179E21C" w14:textId="16C19925" w:rsidR="0000392C" w:rsidRPr="0000392C" w:rsidRDefault="0000392C" w:rsidP="00FA06E6">
      <w:pPr>
        <w:spacing w:after="100" w:afterAutospacing="1" w:line="240" w:lineRule="auto"/>
        <w:rPr>
          <w:rFonts w:ascii="Times New Roman" w:eastAsia="Times New Roman" w:hAnsi="Times New Roman" w:cs="Times New Roman"/>
          <w:color w:val="000000"/>
          <w:kern w:val="0"/>
          <w14:ligatures w14:val="none"/>
        </w:rPr>
      </w:pPr>
      <w:r w:rsidRPr="0000392C">
        <w:rPr>
          <w:rFonts w:ascii="Times New Roman" w:eastAsia="Times New Roman" w:hAnsi="Times New Roman" w:cs="Times New Roman"/>
          <w:color w:val="000000"/>
          <w:kern w:val="0"/>
          <w14:ligatures w14:val="none"/>
        </w:rPr>
        <w:t>Nebraska’s seller disclosure explicitly addresses floodplain status (Neb. Rev. Stat. § 76</w:t>
      </w:r>
      <w:r w:rsidRPr="0000392C">
        <w:rPr>
          <w:rFonts w:ascii="Times New Roman" w:eastAsia="Times New Roman" w:hAnsi="Times New Roman" w:cs="Times New Roman"/>
          <w:color w:val="000000"/>
          <w:kern w:val="0"/>
          <w14:ligatures w14:val="none"/>
        </w:rPr>
        <w:noBreakHyphen/>
        <w:t>2,120; Nebraska Real Estate Commission, 2017), but the Uniform Residential Landlord and Tenant Act does not require flood</w:t>
      </w:r>
      <w:r w:rsidRPr="0000392C">
        <w:rPr>
          <w:rFonts w:ascii="Times New Roman" w:eastAsia="Times New Roman" w:hAnsi="Times New Roman" w:cs="Times New Roman"/>
          <w:color w:val="000000"/>
          <w:kern w:val="0"/>
          <w14:ligatures w14:val="none"/>
        </w:rPr>
        <w:noBreakHyphen/>
        <w:t>risk disclosure in leases (Neb. Rev. Stat. § 76</w:t>
      </w:r>
      <w:r w:rsidRPr="0000392C">
        <w:rPr>
          <w:rFonts w:ascii="Times New Roman" w:eastAsia="Times New Roman" w:hAnsi="Times New Roman" w:cs="Times New Roman"/>
          <w:color w:val="000000"/>
          <w:kern w:val="0"/>
          <w14:ligatures w14:val="none"/>
        </w:rPr>
        <w:noBreakHyphen/>
        <w:t>1417). Extending disclosure to rental contracts would narrow information gaps for tenants in SFHAs, particularly where landlords operate through shells that obscure scale.</w:t>
      </w:r>
    </w:p>
    <w:p w14:paraId="4624980A" w14:textId="38B64D1C" w:rsidR="000C7459" w:rsidRPr="000C7459" w:rsidRDefault="000C7459" w:rsidP="00FA06E6">
      <w:pPr>
        <w:spacing w:after="100" w:afterAutospacing="1" w:line="240"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 xml:space="preserve">5.3.2 </w:t>
      </w:r>
      <w:r w:rsidRPr="000C7459">
        <w:rPr>
          <w:rFonts w:ascii="Times New Roman" w:eastAsia="Times New Roman" w:hAnsi="Times New Roman" w:cs="Times New Roman"/>
          <w:b/>
          <w:bCs/>
          <w:color w:val="000000"/>
          <w:kern w:val="0"/>
          <w14:ligatures w14:val="none"/>
        </w:rPr>
        <w:t>P</w:t>
      </w:r>
      <w:r w:rsidR="0000392C" w:rsidRPr="000C7459">
        <w:rPr>
          <w:rFonts w:ascii="Times New Roman" w:eastAsia="Times New Roman" w:hAnsi="Times New Roman" w:cs="Times New Roman"/>
          <w:b/>
          <w:bCs/>
          <w:color w:val="000000"/>
          <w:kern w:val="0"/>
          <w14:ligatures w14:val="none"/>
        </w:rPr>
        <w:t>ortfolio</w:t>
      </w:r>
      <w:r w:rsidR="0000392C" w:rsidRPr="000C7459">
        <w:rPr>
          <w:rFonts w:ascii="Times New Roman" w:eastAsia="Times New Roman" w:hAnsi="Times New Roman" w:cs="Times New Roman"/>
          <w:b/>
          <w:bCs/>
          <w:color w:val="000000"/>
          <w:kern w:val="0"/>
          <w14:ligatures w14:val="none"/>
        </w:rPr>
        <w:noBreakHyphen/>
        <w:t xml:space="preserve">aware </w:t>
      </w:r>
      <w:r w:rsidRPr="000C7459">
        <w:rPr>
          <w:rFonts w:ascii="Times New Roman" w:eastAsia="Times New Roman" w:hAnsi="Times New Roman" w:cs="Times New Roman"/>
          <w:b/>
          <w:bCs/>
          <w:color w:val="000000"/>
          <w:kern w:val="0"/>
          <w14:ligatures w14:val="none"/>
        </w:rPr>
        <w:t>A</w:t>
      </w:r>
      <w:r w:rsidR="0000392C" w:rsidRPr="000C7459">
        <w:rPr>
          <w:rFonts w:ascii="Times New Roman" w:eastAsia="Times New Roman" w:hAnsi="Times New Roman" w:cs="Times New Roman"/>
          <w:b/>
          <w:bCs/>
          <w:color w:val="000000"/>
          <w:kern w:val="0"/>
          <w14:ligatures w14:val="none"/>
        </w:rPr>
        <w:t>dministration </w:t>
      </w:r>
    </w:p>
    <w:p w14:paraId="2BE41CA5" w14:textId="4252F954" w:rsidR="0000392C" w:rsidRPr="0000392C" w:rsidRDefault="0000392C" w:rsidP="00FA06E6">
      <w:pPr>
        <w:spacing w:after="100" w:afterAutospacing="1" w:line="240" w:lineRule="auto"/>
        <w:rPr>
          <w:rFonts w:ascii="Times New Roman" w:eastAsia="Times New Roman" w:hAnsi="Times New Roman" w:cs="Times New Roman"/>
          <w:color w:val="000000"/>
          <w:kern w:val="0"/>
          <w14:ligatures w14:val="none"/>
        </w:rPr>
      </w:pPr>
      <w:r w:rsidRPr="0000392C">
        <w:rPr>
          <w:rFonts w:ascii="Times New Roman" w:eastAsia="Times New Roman" w:hAnsi="Times New Roman" w:cs="Times New Roman"/>
          <w:color w:val="000000"/>
          <w:kern w:val="0"/>
          <w14:ligatures w14:val="none"/>
        </w:rPr>
        <w:t>Omaha’s rental registry requires owner entity and a local service contact but does not consolidate related shells (Omaha Municipal Code, 2019). Adding structured legal</w:t>
      </w:r>
      <w:r w:rsidRPr="0000392C">
        <w:rPr>
          <w:rFonts w:ascii="Times New Roman" w:eastAsia="Times New Roman" w:hAnsi="Times New Roman" w:cs="Times New Roman"/>
          <w:color w:val="000000"/>
          <w:kern w:val="0"/>
          <w14:ligatures w14:val="none"/>
        </w:rPr>
        <w:noBreakHyphen/>
        <w:t>form and standardized owner</w:t>
      </w:r>
      <w:r w:rsidRPr="0000392C">
        <w:rPr>
          <w:rFonts w:ascii="Times New Roman" w:eastAsia="Times New Roman" w:hAnsi="Times New Roman" w:cs="Times New Roman"/>
          <w:color w:val="000000"/>
          <w:kern w:val="0"/>
          <w14:ligatures w14:val="none"/>
        </w:rPr>
        <w:noBreakHyphen/>
        <w:t>name fields, plus optional registry linkages where available, would support identification of clusters of high</w:t>
      </w:r>
      <w:r w:rsidRPr="0000392C">
        <w:rPr>
          <w:rFonts w:ascii="Times New Roman" w:eastAsia="Times New Roman" w:hAnsi="Times New Roman" w:cs="Times New Roman"/>
          <w:color w:val="000000"/>
          <w:kern w:val="0"/>
          <w14:ligatures w14:val="none"/>
        </w:rPr>
        <w:noBreakHyphen/>
        <w:t>risk holdings for outreach, code assistance, or mitigation programs. These adjustments are administratively feasible and consistent with how we construct portfolio scale in this study.</w:t>
      </w:r>
    </w:p>
    <w:p w14:paraId="46535219" w14:textId="5552EAA5" w:rsidR="000C7459" w:rsidRPr="000C7459" w:rsidRDefault="000C7459" w:rsidP="00FA06E6">
      <w:pPr>
        <w:spacing w:after="100" w:afterAutospacing="1" w:line="240" w:lineRule="auto"/>
        <w:rPr>
          <w:rFonts w:ascii="Times New Roman" w:eastAsia="Times New Roman" w:hAnsi="Times New Roman" w:cs="Times New Roman"/>
          <w:b/>
          <w:bCs/>
          <w:color w:val="000000"/>
          <w:kern w:val="0"/>
          <w14:ligatures w14:val="none"/>
        </w:rPr>
      </w:pPr>
      <w:r w:rsidRPr="000C7459">
        <w:rPr>
          <w:rFonts w:ascii="Times New Roman" w:eastAsia="Times New Roman" w:hAnsi="Times New Roman" w:cs="Times New Roman"/>
          <w:b/>
          <w:bCs/>
          <w:color w:val="000000"/>
          <w:kern w:val="0"/>
          <w14:ligatures w14:val="none"/>
        </w:rPr>
        <w:lastRenderedPageBreak/>
        <w:t xml:space="preserve">5.3.3. </w:t>
      </w:r>
      <w:r w:rsidR="0000392C" w:rsidRPr="000C7459">
        <w:rPr>
          <w:rFonts w:ascii="Times New Roman" w:eastAsia="Times New Roman" w:hAnsi="Times New Roman" w:cs="Times New Roman"/>
          <w:b/>
          <w:bCs/>
          <w:color w:val="000000"/>
          <w:kern w:val="0"/>
          <w14:ligatures w14:val="none"/>
        </w:rPr>
        <w:t>Align licensure and mitigation</w:t>
      </w:r>
    </w:p>
    <w:p w14:paraId="692BC2ED" w14:textId="1D3CF36D" w:rsidR="0000392C" w:rsidRPr="0000392C" w:rsidRDefault="0000392C" w:rsidP="00FA06E6">
      <w:pPr>
        <w:spacing w:after="100" w:afterAutospacing="1" w:line="240" w:lineRule="auto"/>
        <w:rPr>
          <w:rFonts w:ascii="Times New Roman" w:eastAsia="Times New Roman" w:hAnsi="Times New Roman" w:cs="Times New Roman"/>
          <w:color w:val="000000"/>
          <w:kern w:val="0"/>
          <w14:ligatures w14:val="none"/>
        </w:rPr>
      </w:pPr>
      <w:r w:rsidRPr="0000392C">
        <w:rPr>
          <w:rFonts w:ascii="Times New Roman" w:eastAsia="Times New Roman" w:hAnsi="Times New Roman" w:cs="Times New Roman"/>
          <w:color w:val="000000"/>
          <w:kern w:val="0"/>
          <w14:ligatures w14:val="none"/>
        </w:rPr>
        <w:t> For SFR rentals inside SFHAs, the city could pilot flood</w:t>
      </w:r>
      <w:r w:rsidRPr="0000392C">
        <w:rPr>
          <w:rFonts w:ascii="Times New Roman" w:eastAsia="Times New Roman" w:hAnsi="Times New Roman" w:cs="Times New Roman"/>
          <w:color w:val="000000"/>
          <w:kern w:val="0"/>
          <w14:ligatures w14:val="none"/>
        </w:rPr>
        <w:noBreakHyphen/>
        <w:t>aware rental licensure: proof of active flood insurance where eligible, elevation of mechanicals to required freeboard, and backflow prevention at permitting checkpoints, with compliance prioritized for large or remote portfolios. Any new standards should be paired with equity guardrails—grants or fee relief for small local landlords, and clear tenant protections—to avoid unintended displacement. Omaha’s CRS participation provides a policy lever: calibrated incentives that reduce premiums when parcel</w:t>
      </w:r>
      <w:r w:rsidRPr="0000392C">
        <w:rPr>
          <w:rFonts w:ascii="Times New Roman" w:eastAsia="Times New Roman" w:hAnsi="Times New Roman" w:cs="Times New Roman"/>
          <w:color w:val="000000"/>
          <w:kern w:val="0"/>
          <w14:ligatures w14:val="none"/>
        </w:rPr>
        <w:noBreakHyphen/>
        <w:t>level mitigation is verifiably in place (City of Omaha, 2025; FEMA, 2025). </w:t>
      </w:r>
    </w:p>
    <w:p w14:paraId="68A001C8" w14:textId="5A096C55" w:rsidR="003D669E" w:rsidRPr="00E76A41" w:rsidRDefault="003D669E" w:rsidP="00FA06E6">
      <w:pPr>
        <w:spacing w:after="100" w:afterAutospacing="1" w:line="240" w:lineRule="auto"/>
        <w:rPr>
          <w:rFonts w:ascii="Times New Roman" w:eastAsia="Times New Roman" w:hAnsi="Times New Roman" w:cs="Times New Roman"/>
          <w:b/>
          <w:bCs/>
          <w:color w:val="000000"/>
          <w:kern w:val="0"/>
          <w14:ligatures w14:val="none"/>
        </w:rPr>
      </w:pPr>
      <w:r w:rsidRPr="00E76A41">
        <w:rPr>
          <w:rFonts w:ascii="Times New Roman" w:eastAsia="Times New Roman" w:hAnsi="Times New Roman" w:cs="Times New Roman"/>
          <w:b/>
          <w:bCs/>
          <w:color w:val="000000"/>
          <w:kern w:val="0"/>
          <w14:ligatures w14:val="none"/>
        </w:rPr>
        <w:t>5.</w:t>
      </w:r>
      <w:r w:rsidR="00FB48D0">
        <w:rPr>
          <w:rFonts w:ascii="Times New Roman" w:eastAsia="Times New Roman" w:hAnsi="Times New Roman" w:cs="Times New Roman"/>
          <w:b/>
          <w:bCs/>
          <w:color w:val="000000"/>
          <w:kern w:val="0"/>
          <w14:ligatures w14:val="none"/>
        </w:rPr>
        <w:t>4</w:t>
      </w:r>
      <w:r w:rsidRPr="00E76A41">
        <w:rPr>
          <w:rFonts w:ascii="Times New Roman" w:eastAsia="Times New Roman" w:hAnsi="Times New Roman" w:cs="Times New Roman"/>
          <w:b/>
          <w:bCs/>
          <w:color w:val="000000"/>
          <w:kern w:val="0"/>
          <w14:ligatures w14:val="none"/>
        </w:rPr>
        <w:t xml:space="preserve"> </w:t>
      </w:r>
      <w:r w:rsidR="00DB1D45" w:rsidRPr="00E76A41">
        <w:rPr>
          <w:rFonts w:ascii="Times New Roman" w:eastAsia="Times New Roman" w:hAnsi="Times New Roman" w:cs="Times New Roman"/>
          <w:b/>
          <w:bCs/>
          <w:color w:val="000000"/>
          <w:kern w:val="0"/>
          <w14:ligatures w14:val="none"/>
        </w:rPr>
        <w:t xml:space="preserve">Limitations </w:t>
      </w:r>
    </w:p>
    <w:p w14:paraId="0C0B25ED" w14:textId="6FCC74C4" w:rsidR="00DB1D45" w:rsidRPr="00DB1D45" w:rsidRDefault="003D669E" w:rsidP="00FA06E6">
      <w:pPr>
        <w:spacing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This study has a few </w:t>
      </w:r>
      <w:r w:rsidR="00B37504">
        <w:rPr>
          <w:rFonts w:ascii="Times New Roman" w:eastAsia="Times New Roman" w:hAnsi="Times New Roman" w:cs="Times New Roman"/>
          <w:color w:val="000000"/>
          <w:kern w:val="0"/>
          <w14:ligatures w14:val="none"/>
        </w:rPr>
        <w:t>notable</w:t>
      </w:r>
      <w:r>
        <w:rPr>
          <w:rFonts w:ascii="Times New Roman" w:eastAsia="Times New Roman" w:hAnsi="Times New Roman" w:cs="Times New Roman"/>
          <w:color w:val="000000"/>
          <w:kern w:val="0"/>
          <w14:ligatures w14:val="none"/>
        </w:rPr>
        <w:t xml:space="preserve"> limitations. </w:t>
      </w:r>
      <w:r w:rsidR="00DB1D45" w:rsidRPr="00DB1D45">
        <w:rPr>
          <w:rFonts w:ascii="Times New Roman" w:eastAsia="Times New Roman" w:hAnsi="Times New Roman" w:cs="Times New Roman"/>
          <w:color w:val="000000"/>
          <w:kern w:val="0"/>
          <w14:ligatures w14:val="none"/>
        </w:rPr>
        <w:t>Regulatory exposure is proxied by SFHAs and does not encompass all pluvial or compound flooding; ownership labels, while accurate at high confidence, can misclassify edge cases; exact</w:t>
      </w:r>
      <w:r w:rsidR="00C80E08">
        <w:rPr>
          <w:rFonts w:ascii="Times New Roman" w:eastAsia="Times New Roman" w:hAnsi="Times New Roman" w:cs="Times New Roman"/>
          <w:color w:val="000000"/>
          <w:kern w:val="0"/>
          <w14:ligatures w14:val="none"/>
        </w:rPr>
        <w:t xml:space="preserve"> </w:t>
      </w:r>
      <w:r w:rsidR="00DB1D45" w:rsidRPr="00DB1D45">
        <w:rPr>
          <w:rFonts w:ascii="Times New Roman" w:eastAsia="Times New Roman" w:hAnsi="Times New Roman" w:cs="Times New Roman"/>
          <w:color w:val="000000"/>
          <w:kern w:val="0"/>
          <w14:ligatures w14:val="none"/>
        </w:rPr>
        <w:t>match portfolio counts may overstate the number of single</w:t>
      </w:r>
      <w:r w:rsidR="00DB1D45" w:rsidRPr="00DB1D45">
        <w:rPr>
          <w:rFonts w:ascii="Times New Roman" w:eastAsia="Times New Roman" w:hAnsi="Times New Roman" w:cs="Times New Roman"/>
          <w:color w:val="000000"/>
          <w:kern w:val="0"/>
          <w14:ligatures w14:val="none"/>
        </w:rPr>
        <w:noBreakHyphen/>
        <w:t>parcel shells where beneficial owners fragment holdings; and the analysis is cross</w:t>
      </w:r>
      <w:r w:rsidR="00DB1D45" w:rsidRPr="00DB1D45">
        <w:rPr>
          <w:rFonts w:ascii="Times New Roman" w:eastAsia="Times New Roman" w:hAnsi="Times New Roman" w:cs="Times New Roman"/>
          <w:color w:val="000000"/>
          <w:kern w:val="0"/>
          <w14:ligatures w14:val="none"/>
        </w:rPr>
        <w:noBreakHyphen/>
        <w:t xml:space="preserve">sectional and confined to a single county. These caveats point to a clear </w:t>
      </w:r>
      <w:r w:rsidR="00C80E08">
        <w:rPr>
          <w:rFonts w:ascii="Times New Roman" w:eastAsia="Times New Roman" w:hAnsi="Times New Roman" w:cs="Times New Roman"/>
          <w:color w:val="000000"/>
          <w:kern w:val="0"/>
          <w14:ligatures w14:val="none"/>
        </w:rPr>
        <w:t xml:space="preserve">future research </w:t>
      </w:r>
      <w:r w:rsidR="00DB1D45" w:rsidRPr="00DB1D45">
        <w:rPr>
          <w:rFonts w:ascii="Times New Roman" w:eastAsia="Times New Roman" w:hAnsi="Times New Roman" w:cs="Times New Roman"/>
          <w:color w:val="000000"/>
          <w:kern w:val="0"/>
          <w14:ligatures w14:val="none"/>
        </w:rPr>
        <w:t>agenda</w:t>
      </w:r>
      <w:r w:rsidR="00C80E08">
        <w:rPr>
          <w:rFonts w:ascii="Times New Roman" w:eastAsia="Times New Roman" w:hAnsi="Times New Roman" w:cs="Times New Roman"/>
          <w:color w:val="000000"/>
          <w:kern w:val="0"/>
          <w14:ligatures w14:val="none"/>
        </w:rPr>
        <w:t xml:space="preserve"> including</w:t>
      </w:r>
      <w:r w:rsidR="00DB1D45" w:rsidRPr="00DB1D45">
        <w:rPr>
          <w:rFonts w:ascii="Times New Roman" w:eastAsia="Times New Roman" w:hAnsi="Times New Roman" w:cs="Times New Roman"/>
          <w:color w:val="000000"/>
          <w:kern w:val="0"/>
          <w14:ligatures w14:val="none"/>
        </w:rPr>
        <w:t xml:space="preserve"> multi</w:t>
      </w:r>
      <w:r w:rsidR="00DB1D45" w:rsidRPr="00DB1D45">
        <w:rPr>
          <w:rFonts w:ascii="Times New Roman" w:eastAsia="Times New Roman" w:hAnsi="Times New Roman" w:cs="Times New Roman"/>
          <w:color w:val="000000"/>
          <w:kern w:val="0"/>
          <w14:ligatures w14:val="none"/>
        </w:rPr>
        <w:noBreakHyphen/>
        <w:t>city replication; registry</w:t>
      </w:r>
      <w:r w:rsidR="00BA4CD8">
        <w:rPr>
          <w:rFonts w:ascii="Times New Roman" w:eastAsia="Times New Roman" w:hAnsi="Times New Roman" w:cs="Times New Roman"/>
          <w:color w:val="000000"/>
          <w:kern w:val="0"/>
          <w14:ligatures w14:val="none"/>
        </w:rPr>
        <w:t xml:space="preserve"> </w:t>
      </w:r>
      <w:r w:rsidR="00DB1D45" w:rsidRPr="00DB1D45">
        <w:rPr>
          <w:rFonts w:ascii="Times New Roman" w:eastAsia="Times New Roman" w:hAnsi="Times New Roman" w:cs="Times New Roman"/>
          <w:color w:val="000000"/>
          <w:kern w:val="0"/>
          <w14:ligatures w14:val="none"/>
        </w:rPr>
        <w:t>aided owner linkages to compare shell</w:t>
      </w:r>
      <w:r w:rsidR="00DB1D45" w:rsidRPr="00DB1D45">
        <w:rPr>
          <w:rFonts w:ascii="Times New Roman" w:eastAsia="Times New Roman" w:hAnsi="Times New Roman" w:cs="Times New Roman"/>
          <w:color w:val="000000"/>
          <w:kern w:val="0"/>
          <w14:ligatures w14:val="none"/>
        </w:rPr>
        <w:noBreakHyphen/>
        <w:t>level with consolidated patterns; event</w:t>
      </w:r>
      <w:r w:rsidR="00DB1D45" w:rsidRPr="00DB1D45">
        <w:rPr>
          <w:rFonts w:ascii="Times New Roman" w:eastAsia="Times New Roman" w:hAnsi="Times New Roman" w:cs="Times New Roman"/>
          <w:color w:val="000000"/>
          <w:kern w:val="0"/>
          <w14:ligatures w14:val="none"/>
        </w:rPr>
        <w:noBreakHyphen/>
        <w:t>study or difference</w:t>
      </w:r>
      <w:r w:rsidR="00DB1D45" w:rsidRPr="00DB1D45">
        <w:rPr>
          <w:rFonts w:ascii="Times New Roman" w:eastAsia="Times New Roman" w:hAnsi="Times New Roman" w:cs="Times New Roman"/>
          <w:color w:val="000000"/>
          <w:kern w:val="0"/>
          <w14:ligatures w14:val="none"/>
        </w:rPr>
        <w:noBreakHyphen/>
        <w:t>in</w:t>
      </w:r>
      <w:r w:rsidR="00DB1D45" w:rsidRPr="00DB1D45">
        <w:rPr>
          <w:rFonts w:ascii="Times New Roman" w:eastAsia="Times New Roman" w:hAnsi="Times New Roman" w:cs="Times New Roman"/>
          <w:color w:val="000000"/>
          <w:kern w:val="0"/>
          <w14:ligatures w14:val="none"/>
        </w:rPr>
        <w:noBreakHyphen/>
        <w:t>differences designs around policy adoptions to evaluate causal effects on siting, prices, insurance take</w:t>
      </w:r>
      <w:r w:rsidR="00DB1D45" w:rsidRPr="00DB1D45">
        <w:rPr>
          <w:rFonts w:ascii="Times New Roman" w:eastAsia="Times New Roman" w:hAnsi="Times New Roman" w:cs="Times New Roman"/>
          <w:color w:val="000000"/>
          <w:kern w:val="0"/>
          <w14:ligatures w14:val="none"/>
        </w:rPr>
        <w:noBreakHyphen/>
        <w:t>up, mitigation, and tenant outcomes; and extensions that incorporate structure age, quality, occupancy, and non</w:t>
      </w:r>
      <w:r w:rsidR="00DB1D45" w:rsidRPr="00DB1D45">
        <w:rPr>
          <w:rFonts w:ascii="Times New Roman" w:eastAsia="Times New Roman" w:hAnsi="Times New Roman" w:cs="Times New Roman"/>
          <w:color w:val="000000"/>
          <w:kern w:val="0"/>
          <w14:ligatures w14:val="none"/>
        </w:rPr>
        <w:noBreakHyphen/>
        <w:t>SFHA flood layers. </w:t>
      </w:r>
    </w:p>
    <w:p w14:paraId="35CF55A8" w14:textId="77777777" w:rsidR="00333C0D" w:rsidRPr="00333C0D" w:rsidRDefault="00333C0D" w:rsidP="00FA06E6">
      <w:pPr>
        <w:pStyle w:val="NormalWeb"/>
        <w:spacing w:before="0" w:beforeAutospacing="0"/>
        <w:rPr>
          <w:color w:val="000000"/>
          <w:sz w:val="22"/>
          <w:szCs w:val="22"/>
        </w:rPr>
      </w:pPr>
      <w:r w:rsidRPr="00333C0D">
        <w:rPr>
          <w:rStyle w:val="Strong"/>
          <w:rFonts w:eastAsiaTheme="majorEastAsia"/>
          <w:color w:val="000000"/>
          <w:sz w:val="22"/>
          <w:szCs w:val="22"/>
        </w:rPr>
        <w:t>6. Conclusion</w:t>
      </w:r>
    </w:p>
    <w:p w14:paraId="245D5946" w14:textId="02F16F1C" w:rsidR="00DE504C" w:rsidRPr="00DE504C" w:rsidRDefault="00DE504C" w:rsidP="00DE504C">
      <w:pPr>
        <w:pStyle w:val="p1"/>
        <w:rPr>
          <w:color w:val="000000"/>
          <w:sz w:val="22"/>
          <w:szCs w:val="22"/>
        </w:rPr>
      </w:pPr>
      <w:r w:rsidRPr="00DE504C">
        <w:rPr>
          <w:color w:val="000000"/>
          <w:sz w:val="22"/>
          <w:szCs w:val="22"/>
        </w:rPr>
        <w:t xml:space="preserve">Urban flood governance requires visibility not only into where regulatory hazard is mapped but also into how that hazard is organized across legal shells and portfolios. This study contributes a portable, city-scale pipeline that makes that ownership dimension empirically legible. By classifying owner-of-record entities with a fine-tuned transformer, measuring portfolio scale by exact name, aligning exposure to FEMA </w:t>
      </w:r>
      <w:r>
        <w:rPr>
          <w:color w:val="000000"/>
          <w:sz w:val="22"/>
          <w:szCs w:val="22"/>
        </w:rPr>
        <w:t>SFHAs</w:t>
      </w:r>
      <w:r w:rsidRPr="00DE504C">
        <w:rPr>
          <w:color w:val="000000"/>
          <w:sz w:val="22"/>
          <w:szCs w:val="22"/>
        </w:rPr>
        <w:t>, and estimating parcel-level associations in a modified Poisson framework with neighborhood fixed effects, we place organizational form and scale in the same empirical frame as parcel characteristics and micro-location.</w:t>
      </w:r>
    </w:p>
    <w:p w14:paraId="4611A08B" w14:textId="5EA9E329" w:rsidR="00DE504C" w:rsidRPr="00DE504C" w:rsidRDefault="00DE504C" w:rsidP="00DE504C">
      <w:pPr>
        <w:pStyle w:val="p1"/>
        <w:rPr>
          <w:color w:val="000000"/>
          <w:sz w:val="22"/>
          <w:szCs w:val="22"/>
        </w:rPr>
      </w:pPr>
      <w:r w:rsidRPr="00DE504C">
        <w:rPr>
          <w:color w:val="000000"/>
          <w:sz w:val="22"/>
          <w:szCs w:val="22"/>
        </w:rPr>
        <w:t>Applied to single-family parcels in Douglas County, Nebraska, the analysis shows that ownership is not neutral with respect to mapped exposure. After conditioning on parcel value and size and absorbing neighborhood heterogeneity, single-parcel LLCs exhibit the largest adjusted association with floodplain location, with a risk of exposure approximately 72% higher than that of single</w:t>
      </w:r>
      <w:r w:rsidR="000E2A9E">
        <w:rPr>
          <w:color w:val="000000"/>
          <w:sz w:val="22"/>
          <w:szCs w:val="22"/>
        </w:rPr>
        <w:t xml:space="preserve"> </w:t>
      </w:r>
      <w:r w:rsidRPr="00DE504C">
        <w:rPr>
          <w:color w:val="000000"/>
          <w:sz w:val="22"/>
          <w:szCs w:val="22"/>
        </w:rPr>
        <w:t xml:space="preserve">parcel </w:t>
      </w:r>
      <w:r w:rsidR="000E2A9E">
        <w:rPr>
          <w:color w:val="000000"/>
          <w:sz w:val="22"/>
          <w:szCs w:val="22"/>
        </w:rPr>
        <w:t>i</w:t>
      </w:r>
      <w:r w:rsidRPr="00DE504C">
        <w:rPr>
          <w:color w:val="000000"/>
          <w:sz w:val="22"/>
          <w:szCs w:val="22"/>
        </w:rPr>
        <w:t>ndividual</w:t>
      </w:r>
      <w:r w:rsidR="000E2A9E">
        <w:rPr>
          <w:color w:val="000000"/>
          <w:sz w:val="22"/>
          <w:szCs w:val="22"/>
        </w:rPr>
        <w:t xml:space="preserve"> owners</w:t>
      </w:r>
      <w:r w:rsidRPr="00DE504C">
        <w:rPr>
          <w:color w:val="000000"/>
          <w:sz w:val="22"/>
          <w:szCs w:val="22"/>
        </w:rPr>
        <w:t xml:space="preserve">. Elevated exposure is also found for multi-parcel </w:t>
      </w:r>
      <w:r w:rsidR="008154A9">
        <w:rPr>
          <w:color w:val="000000"/>
          <w:sz w:val="22"/>
          <w:szCs w:val="22"/>
        </w:rPr>
        <w:t>c</w:t>
      </w:r>
      <w:r w:rsidRPr="00DE504C">
        <w:rPr>
          <w:color w:val="000000"/>
          <w:sz w:val="22"/>
          <w:szCs w:val="22"/>
        </w:rPr>
        <w:t xml:space="preserve">orporations and multi-parcel LLCs, and multi-parcel </w:t>
      </w:r>
      <w:r w:rsidR="000E2A9E">
        <w:rPr>
          <w:color w:val="000000"/>
          <w:sz w:val="22"/>
          <w:szCs w:val="22"/>
        </w:rPr>
        <w:t>i</w:t>
      </w:r>
      <w:r w:rsidRPr="00DE504C">
        <w:rPr>
          <w:color w:val="000000"/>
          <w:sz w:val="22"/>
          <w:szCs w:val="22"/>
        </w:rPr>
        <w:t xml:space="preserve">ndividuals exceed their single-parcel counterparts. Within-form contrasts sharpen these patterns: among LLCs, single-parcel holdings show greater exposure than multi-parcel holdings, consistent with liability siloing. Conversely, among </w:t>
      </w:r>
      <w:r w:rsidR="008154A9">
        <w:rPr>
          <w:color w:val="000000"/>
          <w:sz w:val="22"/>
          <w:szCs w:val="22"/>
        </w:rPr>
        <w:t>c</w:t>
      </w:r>
      <w:r w:rsidRPr="00DE504C">
        <w:rPr>
          <w:color w:val="000000"/>
          <w:sz w:val="22"/>
          <w:szCs w:val="22"/>
        </w:rPr>
        <w:t>orporations, multi-parcel portfolios exhibit greater exposure than single-parcel ones, consistent with scale dynamics. These results persist when we add an owner–parcel distance term, suggesting that proximity mediates but does not explain away the ownership signal. Concentration analyses further indicate that a small subset of corporate and governmental owners holds a disproportionate share of flood-exposed parcels, while exposure among Individuals and Trusts is concentrated within a minority of owners once zero holdings are considered.</w:t>
      </w:r>
    </w:p>
    <w:p w14:paraId="5D9C255A" w14:textId="77777777" w:rsidR="00DE504C" w:rsidRPr="00DE504C" w:rsidRDefault="00DE504C" w:rsidP="00DE504C">
      <w:pPr>
        <w:pStyle w:val="p1"/>
        <w:rPr>
          <w:color w:val="000000"/>
          <w:sz w:val="22"/>
          <w:szCs w:val="22"/>
        </w:rPr>
      </w:pPr>
      <w:r w:rsidRPr="00DE504C">
        <w:rPr>
          <w:color w:val="000000"/>
          <w:sz w:val="22"/>
          <w:szCs w:val="22"/>
        </w:rPr>
        <w:t xml:space="preserve">Substantively, the findings are compatible with risk–return sorting in settings where hazard is imperfectly capitalized, with principal-agent frictions in rental operations, and with legal structures that compartmentalize liability at the parcel level. Methodologically, the pipeline replaces coarse absentee proxies with an auditable legal-form and portfolio-scale typology that can be assembled from standard </w:t>
      </w:r>
      <w:r w:rsidRPr="00DE504C">
        <w:rPr>
          <w:color w:val="000000"/>
          <w:sz w:val="22"/>
          <w:szCs w:val="22"/>
        </w:rPr>
        <w:lastRenderedPageBreak/>
        <w:t>assessor fields and reproduced across jurisdictions. The resulting artifacts—standardized owner labels, portfolio counts, and parcel-level SFHA flags—can support portfolio-aware administration, including targeted outreach, code assistance, flood-aware rental licensure, and calibrated incentives within Community Rating System frameworks.</w:t>
      </w:r>
    </w:p>
    <w:p w14:paraId="21A685C5" w14:textId="407FEC00" w:rsidR="00E96CC0" w:rsidRPr="00E96CC0" w:rsidRDefault="00DE504C" w:rsidP="00DE504C">
      <w:pPr>
        <w:pStyle w:val="p1"/>
        <w:spacing w:before="0" w:beforeAutospacing="0"/>
        <w:rPr>
          <w:sz w:val="22"/>
          <w:szCs w:val="22"/>
        </w:rPr>
      </w:pPr>
      <w:r w:rsidRPr="00DE504C">
        <w:rPr>
          <w:color w:val="000000"/>
          <w:sz w:val="22"/>
          <w:szCs w:val="22"/>
        </w:rPr>
        <w:t>Taken together, the evidence demonstrates that who owns—and the form in which they own—helps explain who holds mapped flood exposure. By making ownership structure visible at parcel scale and aligning outcomes with regulatory boundaries, the framework offers a reproducible basis for integrating the “who” of ownership into the “where” of hazard—an empirical step toward more precise, equitable, and effective floodplain governance.</w:t>
      </w:r>
      <w:r w:rsidR="00333C0D">
        <w:rPr>
          <w:b/>
          <w:bCs/>
          <w:sz w:val="22"/>
          <w:szCs w:val="22"/>
        </w:rPr>
        <w:br/>
      </w:r>
      <w:r w:rsidR="00333C0D">
        <w:rPr>
          <w:b/>
          <w:bCs/>
          <w:sz w:val="22"/>
          <w:szCs w:val="22"/>
        </w:rPr>
        <w:br/>
      </w:r>
      <w:r w:rsidR="00E96CC0" w:rsidRPr="003D669E">
        <w:rPr>
          <w:b/>
          <w:bCs/>
          <w:sz w:val="22"/>
          <w:szCs w:val="22"/>
        </w:rPr>
        <w:t>7. References</w:t>
      </w:r>
      <w:r w:rsidR="00E96CC0" w:rsidRPr="00E96CC0">
        <w:rPr>
          <w:sz w:val="22"/>
          <w:szCs w:val="22"/>
        </w:rPr>
        <w:br/>
      </w:r>
      <w:r w:rsidR="00E96CC0" w:rsidRPr="00E96CC0">
        <w:rPr>
          <w:sz w:val="22"/>
          <w:szCs w:val="22"/>
        </w:rPr>
        <w:br/>
        <w:t xml:space="preserve">An, B. Y., Jakabovics, A., Orlando, A. W., Rodnyansky, S., &amp; Son, E. (2024). Who owns America? A methodology for identifying landlords’ ownership scale and the implications for targeted code enforcement. </w:t>
      </w:r>
      <w:r w:rsidR="00E96CC0" w:rsidRPr="00E96CC0">
        <w:rPr>
          <w:i/>
          <w:iCs/>
          <w:sz w:val="22"/>
          <w:szCs w:val="22"/>
        </w:rPr>
        <w:t>Journal of the American Planning Association, 90</w:t>
      </w:r>
      <w:r w:rsidR="00E96CC0" w:rsidRPr="00E96CC0">
        <w:rPr>
          <w:sz w:val="22"/>
          <w:szCs w:val="22"/>
        </w:rPr>
        <w:t>(4), 627–641. https://doi.org/10.1080/01944363.2023.2292674</w:t>
      </w:r>
    </w:p>
    <w:p w14:paraId="0C669D61" w14:textId="77777777" w:rsidR="00E96CC0" w:rsidRPr="00E96CC0" w:rsidRDefault="00E96CC0" w:rsidP="00FA06E6">
      <w:pPr>
        <w:pStyle w:val="p1"/>
        <w:spacing w:before="0" w:beforeAutospacing="0"/>
        <w:rPr>
          <w:sz w:val="22"/>
          <w:szCs w:val="22"/>
        </w:rPr>
      </w:pPr>
      <w:r w:rsidRPr="00E96CC0">
        <w:rPr>
          <w:sz w:val="22"/>
          <w:szCs w:val="22"/>
        </w:rPr>
        <w:t xml:space="preserve">Andrews, J., Lee, J., Mason, J.B., Nam, Y., &amp; Tang, Z. (2025). Associations between Owner Proximity and Parcel-Level Flood Exposure: Evidence from Douglas County, Nebraska. </w:t>
      </w:r>
      <w:r w:rsidRPr="00E96CC0">
        <w:rPr>
          <w:i/>
          <w:iCs/>
          <w:sz w:val="22"/>
          <w:szCs w:val="22"/>
        </w:rPr>
        <w:t>International Journal of Disaster Risk Reduction</w:t>
      </w:r>
      <w:r w:rsidRPr="00E96CC0">
        <w:rPr>
          <w:sz w:val="22"/>
          <w:szCs w:val="22"/>
        </w:rPr>
        <w:t>, (accepted, in press).</w:t>
      </w:r>
    </w:p>
    <w:p w14:paraId="57B0384D" w14:textId="77777777" w:rsidR="00E96CC0" w:rsidRPr="00E96CC0" w:rsidRDefault="00E96CC0" w:rsidP="00FA06E6">
      <w:pPr>
        <w:pStyle w:val="p1"/>
        <w:spacing w:before="0" w:beforeAutospacing="0"/>
        <w:rPr>
          <w:sz w:val="22"/>
          <w:szCs w:val="22"/>
        </w:rPr>
      </w:pPr>
      <w:proofErr w:type="spellStart"/>
      <w:r w:rsidRPr="00E96CC0">
        <w:rPr>
          <w:sz w:val="22"/>
          <w:szCs w:val="22"/>
        </w:rPr>
        <w:t>Arimond</w:t>
      </w:r>
      <w:proofErr w:type="spellEnd"/>
      <w:r w:rsidRPr="00E96CC0">
        <w:rPr>
          <w:sz w:val="22"/>
          <w:szCs w:val="22"/>
        </w:rPr>
        <w:t xml:space="preserve">, A., Molteni, M., Jany, D., </w:t>
      </w:r>
      <w:proofErr w:type="spellStart"/>
      <w:r w:rsidRPr="00E96CC0">
        <w:rPr>
          <w:sz w:val="22"/>
          <w:szCs w:val="22"/>
        </w:rPr>
        <w:t>Manolova</w:t>
      </w:r>
      <w:proofErr w:type="spellEnd"/>
      <w:r w:rsidRPr="00E96CC0">
        <w:rPr>
          <w:sz w:val="22"/>
          <w:szCs w:val="22"/>
        </w:rPr>
        <w:t xml:space="preserve">, Z., Borth, D., &amp; Hoepner, A. G. F. (2023). Transformer-based entity legal form classification. </w:t>
      </w:r>
      <w:proofErr w:type="spellStart"/>
      <w:r w:rsidRPr="00E96CC0">
        <w:rPr>
          <w:i/>
          <w:iCs/>
          <w:sz w:val="22"/>
          <w:szCs w:val="22"/>
        </w:rPr>
        <w:t>arXiv</w:t>
      </w:r>
      <w:proofErr w:type="spellEnd"/>
      <w:r w:rsidRPr="00E96CC0">
        <w:rPr>
          <w:i/>
          <w:iCs/>
          <w:sz w:val="22"/>
          <w:szCs w:val="22"/>
        </w:rPr>
        <w:t xml:space="preserve"> preprint</w:t>
      </w:r>
      <w:r w:rsidRPr="00E96CC0">
        <w:rPr>
          <w:sz w:val="22"/>
          <w:szCs w:val="22"/>
        </w:rPr>
        <w:t xml:space="preserve"> arXiv:2310.12766. https://arxiv.org/abs/2310.12766</w:t>
      </w:r>
    </w:p>
    <w:p w14:paraId="1E6CC64E" w14:textId="77777777" w:rsidR="00E96CC0" w:rsidRPr="00E96CC0" w:rsidRDefault="00E96CC0" w:rsidP="00FA06E6">
      <w:pPr>
        <w:pStyle w:val="p1"/>
        <w:spacing w:before="0" w:beforeAutospacing="0"/>
        <w:rPr>
          <w:sz w:val="22"/>
          <w:szCs w:val="22"/>
        </w:rPr>
      </w:pPr>
      <w:r w:rsidRPr="00E96CC0">
        <w:rPr>
          <w:sz w:val="22"/>
          <w:szCs w:val="22"/>
        </w:rPr>
        <w:t xml:space="preserve">Atreya, A., &amp; Ferreira, S. (2015). Seeing is believing? Evidence from property prices in inundated areas. </w:t>
      </w:r>
      <w:r w:rsidRPr="00E96CC0">
        <w:rPr>
          <w:i/>
          <w:iCs/>
          <w:sz w:val="22"/>
          <w:szCs w:val="22"/>
        </w:rPr>
        <w:t>Risk Analysis, 35</w:t>
      </w:r>
      <w:r w:rsidRPr="00E96CC0">
        <w:rPr>
          <w:sz w:val="22"/>
          <w:szCs w:val="22"/>
        </w:rPr>
        <w:t>(5), 882–899. https://doi.org/10.1111/risa.12307</w:t>
      </w:r>
    </w:p>
    <w:p w14:paraId="4E005A21" w14:textId="77777777" w:rsidR="00E96CC0" w:rsidRPr="00E96CC0" w:rsidRDefault="00E96CC0" w:rsidP="00FA06E6">
      <w:pPr>
        <w:pStyle w:val="p1"/>
        <w:spacing w:before="0" w:beforeAutospacing="0"/>
        <w:rPr>
          <w:sz w:val="22"/>
          <w:szCs w:val="22"/>
        </w:rPr>
      </w:pPr>
      <w:r w:rsidRPr="00E96CC0">
        <w:rPr>
          <w:sz w:val="22"/>
          <w:szCs w:val="22"/>
        </w:rPr>
        <w:t xml:space="preserve">Benjamini, Y., &amp; Hochberg, Y. (1995). Controlling the false discovery rate: A practical and powerful approach to multiple testing. </w:t>
      </w:r>
      <w:r w:rsidRPr="00E96CC0">
        <w:rPr>
          <w:i/>
          <w:iCs/>
          <w:sz w:val="22"/>
          <w:szCs w:val="22"/>
        </w:rPr>
        <w:t>Journal of the Royal Statistical Society: Series B (Methodological), 57</w:t>
      </w:r>
      <w:r w:rsidRPr="00E96CC0">
        <w:rPr>
          <w:sz w:val="22"/>
          <w:szCs w:val="22"/>
        </w:rPr>
        <w:t>(1), 289–300.</w:t>
      </w:r>
    </w:p>
    <w:p w14:paraId="7E8E7BE0" w14:textId="77777777" w:rsidR="00E96CC0" w:rsidRPr="00E96CC0" w:rsidRDefault="00E96CC0" w:rsidP="00FA06E6">
      <w:pPr>
        <w:pStyle w:val="p1"/>
        <w:spacing w:before="0" w:beforeAutospacing="0"/>
        <w:rPr>
          <w:sz w:val="22"/>
          <w:szCs w:val="22"/>
        </w:rPr>
      </w:pPr>
      <w:r w:rsidRPr="00E96CC0">
        <w:rPr>
          <w:sz w:val="22"/>
          <w:szCs w:val="22"/>
        </w:rPr>
        <w:t xml:space="preserve">Bin, O., &amp; Polasky, S. (2004). Effects of flood hazards on property values: Evidence before and after Hurricane Floyd. </w:t>
      </w:r>
      <w:r w:rsidRPr="00E96CC0">
        <w:rPr>
          <w:i/>
          <w:iCs/>
          <w:sz w:val="22"/>
          <w:szCs w:val="22"/>
        </w:rPr>
        <w:t>Land Economics, 80</w:t>
      </w:r>
      <w:r w:rsidRPr="00E96CC0">
        <w:rPr>
          <w:sz w:val="22"/>
          <w:szCs w:val="22"/>
        </w:rPr>
        <w:t>(4), 490–500. https://doi.org/10.3368/le.80.4.490</w:t>
      </w:r>
    </w:p>
    <w:p w14:paraId="38A01B2C" w14:textId="77777777" w:rsidR="00E96CC0" w:rsidRPr="00E96CC0" w:rsidRDefault="00E96CC0" w:rsidP="00FA06E6">
      <w:pPr>
        <w:pStyle w:val="p1"/>
        <w:spacing w:before="0" w:beforeAutospacing="0"/>
        <w:rPr>
          <w:sz w:val="22"/>
          <w:szCs w:val="22"/>
        </w:rPr>
      </w:pPr>
      <w:r w:rsidRPr="00E96CC0">
        <w:rPr>
          <w:sz w:val="22"/>
          <w:szCs w:val="22"/>
        </w:rPr>
        <w:t>City of Omaha Planning Department. (n.d.). Flood and floodplain information. https://planning.cityofomaha.org/</w:t>
      </w:r>
    </w:p>
    <w:p w14:paraId="713F2B77" w14:textId="77777777" w:rsidR="00E96CC0" w:rsidRPr="00E96CC0" w:rsidRDefault="00E96CC0" w:rsidP="00FA06E6">
      <w:pPr>
        <w:pStyle w:val="p1"/>
        <w:spacing w:before="0" w:beforeAutospacing="0"/>
        <w:rPr>
          <w:sz w:val="22"/>
          <w:szCs w:val="22"/>
        </w:rPr>
      </w:pPr>
      <w:r w:rsidRPr="00E96CC0">
        <w:rPr>
          <w:sz w:val="22"/>
          <w:szCs w:val="22"/>
        </w:rPr>
        <w:t>Colburn, G., Walter, R. J., &amp; Pfeiffer, D. (2021). Capitalizing on collapse: An analysis of institutional single</w:t>
      </w:r>
      <w:r w:rsidRPr="00E96CC0">
        <w:rPr>
          <w:sz w:val="22"/>
          <w:szCs w:val="22"/>
        </w:rPr>
        <w:noBreakHyphen/>
        <w:t xml:space="preserve">family rental investors. </w:t>
      </w:r>
      <w:r w:rsidRPr="00E96CC0">
        <w:rPr>
          <w:i/>
          <w:iCs/>
          <w:sz w:val="22"/>
          <w:szCs w:val="22"/>
        </w:rPr>
        <w:t>Urban Affairs Review, 57</w:t>
      </w:r>
      <w:r w:rsidRPr="00E96CC0">
        <w:rPr>
          <w:sz w:val="22"/>
          <w:szCs w:val="22"/>
        </w:rPr>
        <w:t>(6), 1590–1625. https://doi.org/10.1177/1078087420922910</w:t>
      </w:r>
    </w:p>
    <w:p w14:paraId="1F73752F" w14:textId="77777777" w:rsidR="00E96CC0" w:rsidRPr="00E96CC0" w:rsidRDefault="00E96CC0" w:rsidP="00FA06E6">
      <w:pPr>
        <w:pStyle w:val="p1"/>
        <w:spacing w:before="0" w:beforeAutospacing="0"/>
        <w:rPr>
          <w:sz w:val="22"/>
          <w:szCs w:val="22"/>
        </w:rPr>
      </w:pPr>
      <w:r w:rsidRPr="00E96CC0">
        <w:rPr>
          <w:sz w:val="22"/>
          <w:szCs w:val="22"/>
        </w:rPr>
        <w:t xml:space="preserve">Cook, T. M., </w:t>
      </w:r>
      <w:proofErr w:type="spellStart"/>
      <w:r w:rsidRPr="00E96CC0">
        <w:rPr>
          <w:sz w:val="22"/>
          <w:szCs w:val="22"/>
        </w:rPr>
        <w:t>Rongerude</w:t>
      </w:r>
      <w:proofErr w:type="spellEnd"/>
      <w:r w:rsidRPr="00E96CC0">
        <w:rPr>
          <w:sz w:val="22"/>
          <w:szCs w:val="22"/>
        </w:rPr>
        <w:t xml:space="preserve">, J., Mueller, E., &amp; Kuhlmann, D. (2024). Providing rental housing: A systematic literature review of residential rental property owner decision making. </w:t>
      </w:r>
      <w:r w:rsidRPr="00E96CC0">
        <w:rPr>
          <w:i/>
          <w:iCs/>
          <w:sz w:val="22"/>
          <w:szCs w:val="22"/>
        </w:rPr>
        <w:t>Journal of Planning Literature, 39</w:t>
      </w:r>
      <w:r w:rsidRPr="00E96CC0">
        <w:rPr>
          <w:sz w:val="22"/>
          <w:szCs w:val="22"/>
        </w:rPr>
        <w:t>(4), 427–444. https://doi.org/10.1177/08854122241239571</w:t>
      </w:r>
    </w:p>
    <w:p w14:paraId="2B6356C8" w14:textId="77777777" w:rsidR="00E96CC0" w:rsidRPr="00E96CC0" w:rsidRDefault="00E96CC0" w:rsidP="00FA06E6">
      <w:pPr>
        <w:pStyle w:val="p1"/>
        <w:spacing w:before="0" w:beforeAutospacing="0"/>
        <w:rPr>
          <w:sz w:val="22"/>
          <w:szCs w:val="22"/>
        </w:rPr>
      </w:pPr>
      <w:r w:rsidRPr="00E96CC0">
        <w:rPr>
          <w:sz w:val="22"/>
          <w:szCs w:val="22"/>
        </w:rPr>
        <w:t>Demers, A., &amp; Eisfeldt, A. L. (2022). Total returns to single</w:t>
      </w:r>
      <w:r w:rsidRPr="00E96CC0">
        <w:rPr>
          <w:sz w:val="22"/>
          <w:szCs w:val="22"/>
        </w:rPr>
        <w:noBreakHyphen/>
        <w:t xml:space="preserve">family rentals. </w:t>
      </w:r>
      <w:r w:rsidRPr="00E96CC0">
        <w:rPr>
          <w:i/>
          <w:iCs/>
          <w:sz w:val="22"/>
          <w:szCs w:val="22"/>
        </w:rPr>
        <w:t>Real Estate Economics, 50</w:t>
      </w:r>
      <w:r w:rsidRPr="00E96CC0">
        <w:rPr>
          <w:sz w:val="22"/>
          <w:szCs w:val="22"/>
        </w:rPr>
        <w:t>(1), 7–32. https://doi.org/10.1111/1540-6229.12353</w:t>
      </w:r>
    </w:p>
    <w:p w14:paraId="1D04EDCE" w14:textId="77777777" w:rsidR="00E96CC0" w:rsidRPr="00E96CC0" w:rsidRDefault="00E96CC0" w:rsidP="00FA06E6">
      <w:pPr>
        <w:pStyle w:val="p1"/>
        <w:spacing w:before="0" w:beforeAutospacing="0"/>
        <w:rPr>
          <w:sz w:val="22"/>
          <w:szCs w:val="22"/>
        </w:rPr>
      </w:pPr>
      <w:proofErr w:type="spellStart"/>
      <w:r w:rsidRPr="00E96CC0">
        <w:rPr>
          <w:sz w:val="22"/>
          <w:szCs w:val="22"/>
        </w:rPr>
        <w:lastRenderedPageBreak/>
        <w:t>D’Lima</w:t>
      </w:r>
      <w:proofErr w:type="spellEnd"/>
      <w:r w:rsidRPr="00E96CC0">
        <w:rPr>
          <w:sz w:val="22"/>
          <w:szCs w:val="22"/>
        </w:rPr>
        <w:t xml:space="preserve">, W., &amp; Schultz, P. (2021). Residential real estate investments and investor characteristics. </w:t>
      </w:r>
      <w:r w:rsidRPr="00E96CC0">
        <w:rPr>
          <w:i/>
          <w:iCs/>
          <w:sz w:val="22"/>
          <w:szCs w:val="22"/>
        </w:rPr>
        <w:t>Journal of Real Estate Finance and Economics, 63</w:t>
      </w:r>
      <w:r w:rsidRPr="00E96CC0">
        <w:rPr>
          <w:sz w:val="22"/>
          <w:szCs w:val="22"/>
        </w:rPr>
        <w:t>(3), 354–393. https://doi.org/10.1007/s11146-020-09771-8</w:t>
      </w:r>
    </w:p>
    <w:p w14:paraId="6123C5AF" w14:textId="77777777" w:rsidR="00E96CC0" w:rsidRPr="00E96CC0" w:rsidRDefault="00E96CC0" w:rsidP="00FA06E6">
      <w:pPr>
        <w:pStyle w:val="p1"/>
        <w:spacing w:before="0" w:beforeAutospacing="0"/>
        <w:rPr>
          <w:sz w:val="22"/>
          <w:szCs w:val="22"/>
        </w:rPr>
      </w:pPr>
      <w:r w:rsidRPr="00E96CC0">
        <w:rPr>
          <w:sz w:val="22"/>
          <w:szCs w:val="22"/>
        </w:rPr>
        <w:t xml:space="preserve">Ding, L., Zhang, S., &amp; Diep, M. (2025). </w:t>
      </w:r>
      <w:r w:rsidRPr="00E96CC0">
        <w:rPr>
          <w:i/>
          <w:iCs/>
          <w:sz w:val="22"/>
          <w:szCs w:val="22"/>
        </w:rPr>
        <w:t>Ownership profile of single</w:t>
      </w:r>
      <w:r w:rsidRPr="00E96CC0">
        <w:rPr>
          <w:i/>
          <w:iCs/>
          <w:sz w:val="22"/>
          <w:szCs w:val="22"/>
        </w:rPr>
        <w:noBreakHyphen/>
        <w:t>family residence properties in Philadelphia: A focus on large corporate investors.</w:t>
      </w:r>
      <w:r w:rsidRPr="00E96CC0">
        <w:rPr>
          <w:sz w:val="22"/>
          <w:szCs w:val="22"/>
        </w:rPr>
        <w:t xml:space="preserve"> Philadelphia: Federal Reserve Bank of Philadelphia. https://www.philadelphiafed.org/-/media/FRBP/Assets/Community-Development/Reports/Report-Ownership-Profile-of-Single-Family-Residence-Properties-in-Philadelphia-Feb2025.pdf</w:t>
      </w:r>
    </w:p>
    <w:p w14:paraId="3463C036" w14:textId="77777777" w:rsidR="00E96CC0" w:rsidRPr="00E96CC0" w:rsidRDefault="00E96CC0" w:rsidP="00FA06E6">
      <w:pPr>
        <w:pStyle w:val="p1"/>
        <w:spacing w:before="0" w:beforeAutospacing="0"/>
        <w:rPr>
          <w:sz w:val="22"/>
          <w:szCs w:val="22"/>
        </w:rPr>
      </w:pPr>
      <w:r w:rsidRPr="00E96CC0">
        <w:rPr>
          <w:sz w:val="22"/>
          <w:szCs w:val="22"/>
        </w:rPr>
        <w:t xml:space="preserve">Ellen, I. G., Been, V., Hayashi, A., &amp; Gross, B. (2013). </w:t>
      </w:r>
      <w:r w:rsidRPr="00E96CC0">
        <w:rPr>
          <w:i/>
          <w:iCs/>
          <w:sz w:val="22"/>
          <w:szCs w:val="22"/>
        </w:rPr>
        <w:t>Maintenance and investment in small rental properties: Findings from New York City and Baltimore.</w:t>
      </w:r>
      <w:r w:rsidRPr="00E96CC0">
        <w:rPr>
          <w:sz w:val="22"/>
          <w:szCs w:val="22"/>
        </w:rPr>
        <w:t xml:space="preserve"> NYU Furman Center for Real Estate &amp; Urban Policy.</w:t>
      </w:r>
    </w:p>
    <w:p w14:paraId="71D1B832" w14:textId="77777777" w:rsidR="00E96CC0" w:rsidRPr="00E96CC0" w:rsidRDefault="00E96CC0" w:rsidP="00FA06E6">
      <w:pPr>
        <w:pStyle w:val="p1"/>
        <w:spacing w:before="0" w:beforeAutospacing="0"/>
        <w:rPr>
          <w:sz w:val="22"/>
          <w:szCs w:val="22"/>
        </w:rPr>
      </w:pPr>
      <w:r w:rsidRPr="00E96CC0">
        <w:rPr>
          <w:sz w:val="22"/>
          <w:szCs w:val="22"/>
        </w:rPr>
        <w:t xml:space="preserve">Federal Emergency Management Agency (FEMA). (2025, April 1). </w:t>
      </w:r>
      <w:r w:rsidRPr="00E96CC0">
        <w:rPr>
          <w:i/>
          <w:iCs/>
          <w:sz w:val="22"/>
          <w:szCs w:val="22"/>
        </w:rPr>
        <w:t>CRS eligible communities—April 1, 2025, effective date.</w:t>
      </w:r>
      <w:r w:rsidRPr="00E96CC0">
        <w:rPr>
          <w:sz w:val="22"/>
          <w:szCs w:val="22"/>
        </w:rPr>
        <w:t xml:space="preserve"> https://www.fema.gov/floodplain-management/community-rating-system</w:t>
      </w:r>
    </w:p>
    <w:p w14:paraId="15945B8A" w14:textId="77777777" w:rsidR="00E96CC0" w:rsidRPr="00E96CC0" w:rsidRDefault="00E96CC0" w:rsidP="00FA06E6">
      <w:pPr>
        <w:pStyle w:val="p1"/>
        <w:spacing w:before="0" w:beforeAutospacing="0"/>
        <w:rPr>
          <w:sz w:val="22"/>
          <w:szCs w:val="22"/>
        </w:rPr>
      </w:pPr>
      <w:r w:rsidRPr="00E96CC0">
        <w:rPr>
          <w:sz w:val="22"/>
          <w:szCs w:val="22"/>
        </w:rPr>
        <w:t>Fields, D. (2022). Automated landlord: Digital technologies and post</w:t>
      </w:r>
      <w:r w:rsidRPr="00E96CC0">
        <w:rPr>
          <w:sz w:val="22"/>
          <w:szCs w:val="22"/>
        </w:rPr>
        <w:noBreakHyphen/>
        <w:t xml:space="preserve">crisis financial accumulation. </w:t>
      </w:r>
      <w:r w:rsidRPr="00E96CC0">
        <w:rPr>
          <w:i/>
          <w:iCs/>
          <w:sz w:val="22"/>
          <w:szCs w:val="22"/>
        </w:rPr>
        <w:t>Environment and Planning A: Economy and Space, 54</w:t>
      </w:r>
      <w:r w:rsidRPr="00E96CC0">
        <w:rPr>
          <w:sz w:val="22"/>
          <w:szCs w:val="22"/>
        </w:rPr>
        <w:t>(1), 160–181. https://doi.org/10.1177/0308518X19846514</w:t>
      </w:r>
    </w:p>
    <w:p w14:paraId="4A2C4D22" w14:textId="77777777" w:rsidR="00E96CC0" w:rsidRPr="00E96CC0" w:rsidRDefault="00E96CC0" w:rsidP="00FA06E6">
      <w:pPr>
        <w:pStyle w:val="p1"/>
        <w:spacing w:before="0" w:beforeAutospacing="0"/>
        <w:rPr>
          <w:sz w:val="22"/>
          <w:szCs w:val="22"/>
        </w:rPr>
      </w:pPr>
      <w:r w:rsidRPr="00E96CC0">
        <w:rPr>
          <w:sz w:val="22"/>
          <w:szCs w:val="22"/>
        </w:rPr>
        <w:t xml:space="preserve">Goodman, L., Zinn, A., Reynolds, K., &amp; Noble, O. (2023). </w:t>
      </w:r>
      <w:r w:rsidRPr="00E96CC0">
        <w:rPr>
          <w:i/>
          <w:iCs/>
          <w:sz w:val="22"/>
          <w:szCs w:val="22"/>
        </w:rPr>
        <w:t>A profile of institutional investor–owned single</w:t>
      </w:r>
      <w:r w:rsidRPr="00E96CC0">
        <w:rPr>
          <w:i/>
          <w:iCs/>
          <w:sz w:val="22"/>
          <w:szCs w:val="22"/>
        </w:rPr>
        <w:noBreakHyphen/>
        <w:t>family rental properties.</w:t>
      </w:r>
      <w:r w:rsidRPr="00E96CC0">
        <w:rPr>
          <w:sz w:val="22"/>
          <w:szCs w:val="22"/>
        </w:rPr>
        <w:t xml:space="preserve"> Washington, DC: Urban Institute. https://www.urban.org/research/publication/profile-institutional-investor-owned-single-family-rental-properties</w:t>
      </w:r>
    </w:p>
    <w:p w14:paraId="2097F96E" w14:textId="77777777" w:rsidR="00E96CC0" w:rsidRPr="00E96CC0" w:rsidRDefault="00E96CC0" w:rsidP="00FA06E6">
      <w:pPr>
        <w:pStyle w:val="p1"/>
        <w:spacing w:before="0" w:beforeAutospacing="0"/>
        <w:rPr>
          <w:sz w:val="22"/>
          <w:szCs w:val="22"/>
        </w:rPr>
      </w:pPr>
      <w:proofErr w:type="spellStart"/>
      <w:r w:rsidRPr="00E96CC0">
        <w:rPr>
          <w:sz w:val="22"/>
          <w:szCs w:val="22"/>
        </w:rPr>
        <w:t>Gourevitch</w:t>
      </w:r>
      <w:proofErr w:type="spellEnd"/>
      <w:r w:rsidRPr="00E96CC0">
        <w:rPr>
          <w:sz w:val="22"/>
          <w:szCs w:val="22"/>
        </w:rPr>
        <w:t xml:space="preserve">, J. D., Keenan, J. M., </w:t>
      </w:r>
      <w:proofErr w:type="spellStart"/>
      <w:r w:rsidRPr="00E96CC0">
        <w:rPr>
          <w:sz w:val="22"/>
          <w:szCs w:val="22"/>
        </w:rPr>
        <w:t>Alijani</w:t>
      </w:r>
      <w:proofErr w:type="spellEnd"/>
      <w:r w:rsidRPr="00E96CC0">
        <w:rPr>
          <w:sz w:val="22"/>
          <w:szCs w:val="22"/>
        </w:rPr>
        <w:t xml:space="preserve"> Rad, A., Kahn, M. E., Hino, M., &amp; Wing, O. E. J. (2023). Unpriced climate risk and the potential consequences of overvaluation in U.S. housing markets. </w:t>
      </w:r>
      <w:r w:rsidRPr="00E96CC0">
        <w:rPr>
          <w:i/>
          <w:iCs/>
          <w:sz w:val="22"/>
          <w:szCs w:val="22"/>
        </w:rPr>
        <w:t>Nature Climate Change, 13</w:t>
      </w:r>
      <w:r w:rsidRPr="00E96CC0">
        <w:rPr>
          <w:sz w:val="22"/>
          <w:szCs w:val="22"/>
        </w:rPr>
        <w:t>(2), 143–151. https://doi.org/10.1038/s41558-023-01594-8</w:t>
      </w:r>
    </w:p>
    <w:p w14:paraId="5C90FA92" w14:textId="77777777" w:rsidR="00E96CC0" w:rsidRPr="00E96CC0" w:rsidRDefault="00E96CC0" w:rsidP="00FA06E6">
      <w:pPr>
        <w:pStyle w:val="p1"/>
        <w:spacing w:before="0" w:beforeAutospacing="0"/>
        <w:rPr>
          <w:sz w:val="22"/>
          <w:szCs w:val="22"/>
        </w:rPr>
      </w:pPr>
      <w:r w:rsidRPr="00E96CC0">
        <w:rPr>
          <w:sz w:val="22"/>
          <w:szCs w:val="22"/>
        </w:rPr>
        <w:t xml:space="preserve">Hangen, F., &amp; O’Brien, D. T. (2024). Linking landlords to uncover ownership obscurity. </w:t>
      </w:r>
      <w:r w:rsidRPr="00E96CC0">
        <w:rPr>
          <w:i/>
          <w:iCs/>
          <w:sz w:val="22"/>
          <w:szCs w:val="22"/>
        </w:rPr>
        <w:t>Housing Studies, 40</w:t>
      </w:r>
      <w:r w:rsidRPr="00E96CC0">
        <w:rPr>
          <w:sz w:val="22"/>
          <w:szCs w:val="22"/>
        </w:rPr>
        <w:t>(4), 940–965. https://doi.org/10.1080/02673037.2024.2325508</w:t>
      </w:r>
    </w:p>
    <w:p w14:paraId="40E9A216" w14:textId="77777777" w:rsidR="00E96CC0" w:rsidRPr="00E96CC0" w:rsidRDefault="00E96CC0" w:rsidP="00FA06E6">
      <w:pPr>
        <w:pStyle w:val="p1"/>
        <w:spacing w:before="0" w:beforeAutospacing="0"/>
        <w:rPr>
          <w:sz w:val="22"/>
          <w:szCs w:val="22"/>
        </w:rPr>
      </w:pPr>
      <w:r w:rsidRPr="00E96CC0">
        <w:rPr>
          <w:sz w:val="22"/>
          <w:szCs w:val="22"/>
        </w:rPr>
        <w:t xml:space="preserve">Harrison, A., </w:t>
      </w:r>
      <w:proofErr w:type="spellStart"/>
      <w:r w:rsidRPr="00E96CC0">
        <w:rPr>
          <w:sz w:val="22"/>
          <w:szCs w:val="22"/>
        </w:rPr>
        <w:t>Immergluck</w:t>
      </w:r>
      <w:proofErr w:type="spellEnd"/>
      <w:r w:rsidRPr="00E96CC0">
        <w:rPr>
          <w:sz w:val="22"/>
          <w:szCs w:val="22"/>
        </w:rPr>
        <w:t>, D., &amp; Walker, J. (2025). Single</w:t>
      </w:r>
      <w:r w:rsidRPr="00E96CC0">
        <w:rPr>
          <w:sz w:val="22"/>
          <w:szCs w:val="22"/>
        </w:rPr>
        <w:noBreakHyphen/>
        <w:t xml:space="preserve">family rental (SFR) investor types, property conditions, and implications for urban </w:t>
      </w:r>
      <w:proofErr w:type="spellStart"/>
      <w:r w:rsidRPr="00E96CC0">
        <w:rPr>
          <w:sz w:val="22"/>
          <w:szCs w:val="22"/>
        </w:rPr>
        <w:t>neighbourhoods</w:t>
      </w:r>
      <w:proofErr w:type="spellEnd"/>
      <w:r w:rsidRPr="00E96CC0">
        <w:rPr>
          <w:sz w:val="22"/>
          <w:szCs w:val="22"/>
        </w:rPr>
        <w:t xml:space="preserve">: Evidence from Memphis, Tennessee. </w:t>
      </w:r>
      <w:r w:rsidRPr="00E96CC0">
        <w:rPr>
          <w:i/>
          <w:iCs/>
          <w:sz w:val="22"/>
          <w:szCs w:val="22"/>
        </w:rPr>
        <w:t>Housing Studies, 40</w:t>
      </w:r>
      <w:r w:rsidRPr="00E96CC0">
        <w:rPr>
          <w:sz w:val="22"/>
          <w:szCs w:val="22"/>
        </w:rPr>
        <w:t>(2), 466–486. https://doi.org/10.1080/02673037.2024.2307589</w:t>
      </w:r>
    </w:p>
    <w:p w14:paraId="5DFBEC46" w14:textId="77777777" w:rsidR="00E96CC0" w:rsidRPr="00E96CC0" w:rsidRDefault="00E96CC0" w:rsidP="00FA06E6">
      <w:pPr>
        <w:pStyle w:val="p1"/>
        <w:spacing w:before="0" w:beforeAutospacing="0"/>
        <w:rPr>
          <w:sz w:val="22"/>
          <w:szCs w:val="22"/>
        </w:rPr>
      </w:pPr>
      <w:proofErr w:type="spellStart"/>
      <w:r w:rsidRPr="00E96CC0">
        <w:rPr>
          <w:sz w:val="22"/>
          <w:szCs w:val="22"/>
        </w:rPr>
        <w:t>Immergluck</w:t>
      </w:r>
      <w:proofErr w:type="spellEnd"/>
      <w:r w:rsidRPr="00E96CC0">
        <w:rPr>
          <w:sz w:val="22"/>
          <w:szCs w:val="22"/>
        </w:rPr>
        <w:t>, D., &amp; Law, J. (2014a). Investing in crisis: The methods, strategies, and expectations of investors in single</w:t>
      </w:r>
      <w:r w:rsidRPr="00E96CC0">
        <w:rPr>
          <w:sz w:val="22"/>
          <w:szCs w:val="22"/>
        </w:rPr>
        <w:noBreakHyphen/>
        <w:t xml:space="preserve">family foreclosed homes in distressed neighborhoods. </w:t>
      </w:r>
      <w:r w:rsidRPr="00E96CC0">
        <w:rPr>
          <w:i/>
          <w:iCs/>
          <w:sz w:val="22"/>
          <w:szCs w:val="22"/>
        </w:rPr>
        <w:t>Housing Policy Debate, 24</w:t>
      </w:r>
      <w:r w:rsidRPr="00E96CC0">
        <w:rPr>
          <w:sz w:val="22"/>
          <w:szCs w:val="22"/>
        </w:rPr>
        <w:t>(3), 568–593. https://doi.org/10.1080/10511482.2013.850733</w:t>
      </w:r>
    </w:p>
    <w:p w14:paraId="24A421CF" w14:textId="77777777" w:rsidR="00E96CC0" w:rsidRPr="00E96CC0" w:rsidRDefault="00E96CC0" w:rsidP="00FA06E6">
      <w:pPr>
        <w:pStyle w:val="p1"/>
        <w:spacing w:before="0" w:beforeAutospacing="0"/>
        <w:rPr>
          <w:sz w:val="22"/>
          <w:szCs w:val="22"/>
        </w:rPr>
      </w:pPr>
      <w:proofErr w:type="spellStart"/>
      <w:r w:rsidRPr="00E96CC0">
        <w:rPr>
          <w:sz w:val="22"/>
          <w:szCs w:val="22"/>
        </w:rPr>
        <w:t>Immergluck</w:t>
      </w:r>
      <w:proofErr w:type="spellEnd"/>
      <w:r w:rsidRPr="00E96CC0">
        <w:rPr>
          <w:sz w:val="22"/>
          <w:szCs w:val="22"/>
        </w:rPr>
        <w:t xml:space="preserve">, D., &amp; Law, J. (2014b). Speculating in crisis: The </w:t>
      </w:r>
      <w:proofErr w:type="spellStart"/>
      <w:r w:rsidRPr="00E96CC0">
        <w:rPr>
          <w:sz w:val="22"/>
          <w:szCs w:val="22"/>
        </w:rPr>
        <w:t>intrametropolitan</w:t>
      </w:r>
      <w:proofErr w:type="spellEnd"/>
      <w:r w:rsidRPr="00E96CC0">
        <w:rPr>
          <w:sz w:val="22"/>
          <w:szCs w:val="22"/>
        </w:rPr>
        <w:t xml:space="preserve"> geography of investing in foreclosed homes in Atlanta. </w:t>
      </w:r>
      <w:r w:rsidRPr="00E96CC0">
        <w:rPr>
          <w:i/>
          <w:iCs/>
          <w:sz w:val="22"/>
          <w:szCs w:val="22"/>
        </w:rPr>
        <w:t>Urban Geography, 35</w:t>
      </w:r>
      <w:r w:rsidRPr="00E96CC0">
        <w:rPr>
          <w:sz w:val="22"/>
          <w:szCs w:val="22"/>
        </w:rPr>
        <w:t>(1), 1–24. https://doi.org/10.1080/02723638.2013.858510</w:t>
      </w:r>
    </w:p>
    <w:p w14:paraId="07B8DDD8" w14:textId="77777777" w:rsidR="00E96CC0" w:rsidRPr="00E96CC0" w:rsidRDefault="00E96CC0" w:rsidP="00FA06E6">
      <w:pPr>
        <w:pStyle w:val="p1"/>
        <w:spacing w:before="0" w:beforeAutospacing="0"/>
        <w:rPr>
          <w:sz w:val="22"/>
          <w:szCs w:val="22"/>
        </w:rPr>
      </w:pPr>
      <w:r w:rsidRPr="00E96CC0">
        <w:rPr>
          <w:sz w:val="22"/>
          <w:szCs w:val="22"/>
        </w:rPr>
        <w:t xml:space="preserve">Kruse, F., </w:t>
      </w:r>
      <w:proofErr w:type="spellStart"/>
      <w:r w:rsidRPr="00E96CC0">
        <w:rPr>
          <w:sz w:val="22"/>
          <w:szCs w:val="22"/>
        </w:rPr>
        <w:t>Awick</w:t>
      </w:r>
      <w:proofErr w:type="spellEnd"/>
      <w:r w:rsidRPr="00E96CC0">
        <w:rPr>
          <w:sz w:val="22"/>
          <w:szCs w:val="22"/>
        </w:rPr>
        <w:t>, J.-P., Marx Gómez, J., &amp; Loos, P. (2021). Developing a legal form classification and extraction approach for company entity matching: Benchmark of rule</w:t>
      </w:r>
      <w:r w:rsidRPr="00E96CC0">
        <w:rPr>
          <w:sz w:val="22"/>
          <w:szCs w:val="22"/>
        </w:rPr>
        <w:noBreakHyphen/>
        <w:t xml:space="preserve">based and machine learning approaches. </w:t>
      </w:r>
      <w:r w:rsidRPr="00E96CC0">
        <w:rPr>
          <w:i/>
          <w:iCs/>
          <w:sz w:val="22"/>
          <w:szCs w:val="22"/>
        </w:rPr>
        <w:t>Business Information Systems, 1</w:t>
      </w:r>
      <w:r w:rsidRPr="00E96CC0">
        <w:rPr>
          <w:sz w:val="22"/>
          <w:szCs w:val="22"/>
        </w:rPr>
        <w:t>, 13–26. https://doi.org/10.52825/bis.v1i.44</w:t>
      </w:r>
    </w:p>
    <w:p w14:paraId="5A234B49" w14:textId="77777777" w:rsidR="00E96CC0" w:rsidRPr="00E96CC0" w:rsidRDefault="00E96CC0" w:rsidP="00FA06E6">
      <w:pPr>
        <w:pStyle w:val="p1"/>
        <w:spacing w:before="0" w:beforeAutospacing="0"/>
        <w:rPr>
          <w:sz w:val="22"/>
          <w:szCs w:val="22"/>
        </w:rPr>
      </w:pPr>
      <w:r w:rsidRPr="00E96CC0">
        <w:rPr>
          <w:sz w:val="22"/>
          <w:szCs w:val="22"/>
        </w:rPr>
        <w:lastRenderedPageBreak/>
        <w:t xml:space="preserve">Nebraska Department of Natural Resources. (2008). </w:t>
      </w:r>
      <w:r w:rsidRPr="00E96CC0">
        <w:rPr>
          <w:i/>
          <w:iCs/>
          <w:sz w:val="22"/>
          <w:szCs w:val="22"/>
        </w:rPr>
        <w:t>Title 455, Nebraska Administrative Code, Chapter 1: Minimum standards for floodplain management programs.</w:t>
      </w:r>
      <w:r w:rsidRPr="00E96CC0">
        <w:rPr>
          <w:sz w:val="22"/>
          <w:szCs w:val="22"/>
        </w:rPr>
        <w:t xml:space="preserve"> https://dnr.nebraska.gov/sites/default/files/doc/about/rules/Title_455_0708.pdf</w:t>
      </w:r>
    </w:p>
    <w:p w14:paraId="170C029E" w14:textId="77777777" w:rsidR="00E96CC0" w:rsidRPr="00E96CC0" w:rsidRDefault="00E96CC0" w:rsidP="00FA06E6">
      <w:pPr>
        <w:pStyle w:val="p1"/>
        <w:spacing w:before="0" w:beforeAutospacing="0"/>
        <w:rPr>
          <w:sz w:val="22"/>
          <w:szCs w:val="22"/>
        </w:rPr>
      </w:pPr>
      <w:r w:rsidRPr="00E96CC0">
        <w:rPr>
          <w:sz w:val="22"/>
          <w:szCs w:val="22"/>
        </w:rPr>
        <w:t xml:space="preserve">Nebraska Legislature. (n.d.). </w:t>
      </w:r>
      <w:r w:rsidRPr="00E96CC0">
        <w:rPr>
          <w:i/>
          <w:iCs/>
          <w:sz w:val="22"/>
          <w:szCs w:val="22"/>
        </w:rPr>
        <w:t>Neb. Rev. Stat. § 76</w:t>
      </w:r>
      <w:r w:rsidRPr="00E96CC0">
        <w:rPr>
          <w:i/>
          <w:iCs/>
          <w:sz w:val="22"/>
          <w:szCs w:val="22"/>
        </w:rPr>
        <w:noBreakHyphen/>
        <w:t>1417 — Disclosure (Uniform Residential Landlord and Tenant Act).</w:t>
      </w:r>
      <w:r w:rsidRPr="00E96CC0">
        <w:rPr>
          <w:sz w:val="22"/>
          <w:szCs w:val="22"/>
        </w:rPr>
        <w:t xml:space="preserve"> https://nebraskalegislature.gov/laws/statutes.php?statute=76-1417</w:t>
      </w:r>
    </w:p>
    <w:p w14:paraId="42CD2BBC" w14:textId="77777777" w:rsidR="00E96CC0" w:rsidRPr="00E96CC0" w:rsidRDefault="00E96CC0" w:rsidP="00FA06E6">
      <w:pPr>
        <w:pStyle w:val="p1"/>
        <w:spacing w:before="0" w:beforeAutospacing="0"/>
        <w:rPr>
          <w:sz w:val="22"/>
          <w:szCs w:val="22"/>
        </w:rPr>
      </w:pPr>
      <w:r w:rsidRPr="00E96CC0">
        <w:rPr>
          <w:sz w:val="22"/>
          <w:szCs w:val="22"/>
        </w:rPr>
        <w:t xml:space="preserve">Nebraska Legislature. (n.d.). </w:t>
      </w:r>
      <w:r w:rsidRPr="00E96CC0">
        <w:rPr>
          <w:i/>
          <w:iCs/>
          <w:sz w:val="22"/>
          <w:szCs w:val="22"/>
        </w:rPr>
        <w:t>Neb. Rev. Stat. § 76</w:t>
      </w:r>
      <w:r w:rsidRPr="00E96CC0">
        <w:rPr>
          <w:i/>
          <w:iCs/>
          <w:sz w:val="22"/>
          <w:szCs w:val="22"/>
        </w:rPr>
        <w:noBreakHyphen/>
        <w:t>2,120 — Seller Property Condition Disclosure Statement.</w:t>
      </w:r>
      <w:r w:rsidRPr="00E96CC0">
        <w:rPr>
          <w:sz w:val="22"/>
          <w:szCs w:val="22"/>
        </w:rPr>
        <w:t xml:space="preserve"> https://nebraskalegislature.gov/laws/statutes.php?statute=76-2,120</w:t>
      </w:r>
    </w:p>
    <w:p w14:paraId="541397F3" w14:textId="77777777" w:rsidR="00E96CC0" w:rsidRPr="00E96CC0" w:rsidRDefault="00E96CC0" w:rsidP="00FA06E6">
      <w:pPr>
        <w:pStyle w:val="p1"/>
        <w:spacing w:before="0" w:beforeAutospacing="0"/>
        <w:rPr>
          <w:sz w:val="22"/>
          <w:szCs w:val="22"/>
        </w:rPr>
      </w:pPr>
      <w:r w:rsidRPr="00E96CC0">
        <w:rPr>
          <w:sz w:val="22"/>
          <w:szCs w:val="22"/>
        </w:rPr>
        <w:t xml:space="preserve">Nebraska Real Estate Commission. (2017). </w:t>
      </w:r>
      <w:r w:rsidRPr="00E96CC0">
        <w:rPr>
          <w:i/>
          <w:iCs/>
          <w:sz w:val="22"/>
          <w:szCs w:val="22"/>
        </w:rPr>
        <w:t>Seller Property Condition Disclosure Statement.</w:t>
      </w:r>
      <w:r w:rsidRPr="00E96CC0">
        <w:rPr>
          <w:sz w:val="22"/>
          <w:szCs w:val="22"/>
        </w:rPr>
        <w:t xml:space="preserve"> https://nrec.nebraska.gov/pdf/forms/SPCD.pdf</w:t>
      </w:r>
    </w:p>
    <w:p w14:paraId="0EB91827" w14:textId="39E3DAEC" w:rsidR="00E96CC0" w:rsidRPr="00E96CC0" w:rsidRDefault="00E96CC0" w:rsidP="00FA06E6">
      <w:pPr>
        <w:pStyle w:val="p1"/>
        <w:spacing w:before="0" w:beforeAutospacing="0"/>
        <w:rPr>
          <w:sz w:val="22"/>
          <w:szCs w:val="22"/>
        </w:rPr>
      </w:pPr>
      <w:r w:rsidRPr="00E96CC0">
        <w:rPr>
          <w:sz w:val="22"/>
          <w:szCs w:val="22"/>
        </w:rPr>
        <w:t>Omaha Municipal Code. (2019). Chapter 48 (Housing &amp; Property Maintenance), Article II (Rental Property Registration and Inspection), § 48</w:t>
      </w:r>
      <w:r w:rsidRPr="00E96CC0">
        <w:rPr>
          <w:sz w:val="22"/>
          <w:szCs w:val="22"/>
        </w:rPr>
        <w:noBreakHyphen/>
        <w:t>205(c)(1)</w:t>
      </w:r>
      <w:r w:rsidR="00750BC5">
        <w:rPr>
          <w:sz w:val="22"/>
          <w:szCs w:val="22"/>
        </w:rPr>
        <w:t xml:space="preserve"> </w:t>
      </w:r>
      <w:r w:rsidR="00750BC5" w:rsidRPr="00E96CC0">
        <w:rPr>
          <w:sz w:val="22"/>
          <w:szCs w:val="22"/>
        </w:rPr>
        <w:t>– (</w:t>
      </w:r>
      <w:r w:rsidRPr="00E96CC0">
        <w:rPr>
          <w:sz w:val="22"/>
          <w:szCs w:val="22"/>
        </w:rPr>
        <w:t xml:space="preserve">2) (Adopted by Ord. 41767, Apr. 9, 2019). </w:t>
      </w:r>
      <w:proofErr w:type="spellStart"/>
      <w:r w:rsidRPr="00E96CC0">
        <w:rPr>
          <w:sz w:val="22"/>
          <w:szCs w:val="22"/>
        </w:rPr>
        <w:t>Municode</w:t>
      </w:r>
      <w:proofErr w:type="spellEnd"/>
      <w:r w:rsidRPr="00E96CC0">
        <w:rPr>
          <w:sz w:val="22"/>
          <w:szCs w:val="22"/>
        </w:rPr>
        <w:t xml:space="preserve"> Library. https://library.municode.com/ne/omaha/codes/code_of_ordinances?nodeId=OMMUCOCHGEORVOII_CH48PRMA</w:t>
      </w:r>
    </w:p>
    <w:p w14:paraId="6DE03F98" w14:textId="77777777" w:rsidR="00E96CC0" w:rsidRPr="00E96CC0" w:rsidRDefault="00E96CC0" w:rsidP="00FA06E6">
      <w:pPr>
        <w:pStyle w:val="p1"/>
        <w:spacing w:before="0" w:beforeAutospacing="0"/>
        <w:rPr>
          <w:sz w:val="22"/>
          <w:szCs w:val="22"/>
        </w:rPr>
      </w:pPr>
      <w:r w:rsidRPr="00E96CC0">
        <w:rPr>
          <w:sz w:val="22"/>
          <w:szCs w:val="22"/>
        </w:rPr>
        <w:t>Omaha Municipal Code. (2025). Chapter 55 (Zoning), Article XI (Overlay Districts), § 55</w:t>
      </w:r>
      <w:r w:rsidRPr="00E96CC0">
        <w:rPr>
          <w:sz w:val="22"/>
          <w:szCs w:val="22"/>
        </w:rPr>
        <w:noBreakHyphen/>
        <w:t xml:space="preserve">662 (elevation/floodproofing standard) (as amended by Ord. 44191). </w:t>
      </w:r>
      <w:proofErr w:type="spellStart"/>
      <w:r w:rsidRPr="00E96CC0">
        <w:rPr>
          <w:sz w:val="22"/>
          <w:szCs w:val="22"/>
        </w:rPr>
        <w:t>Municode</w:t>
      </w:r>
      <w:proofErr w:type="spellEnd"/>
      <w:r w:rsidRPr="00E96CC0">
        <w:rPr>
          <w:sz w:val="22"/>
          <w:szCs w:val="22"/>
        </w:rPr>
        <w:t xml:space="preserve"> Library.</w:t>
      </w:r>
    </w:p>
    <w:p w14:paraId="4EF4A999" w14:textId="77777777" w:rsidR="00E96CC0" w:rsidRPr="00E96CC0" w:rsidRDefault="00E96CC0" w:rsidP="00FA06E6">
      <w:pPr>
        <w:pStyle w:val="p1"/>
        <w:spacing w:before="0" w:beforeAutospacing="0"/>
        <w:rPr>
          <w:sz w:val="22"/>
          <w:szCs w:val="22"/>
        </w:rPr>
      </w:pPr>
      <w:r w:rsidRPr="00E96CC0">
        <w:rPr>
          <w:sz w:val="22"/>
          <w:szCs w:val="22"/>
        </w:rPr>
        <w:t xml:space="preserve">Petrzelka, P., Ma, Z., &amp; Malin, S. (2013). The elephant in the room: Absentee landowner issues in conservation and land management. </w:t>
      </w:r>
      <w:r w:rsidRPr="00E96CC0">
        <w:rPr>
          <w:i/>
          <w:iCs/>
          <w:sz w:val="22"/>
          <w:szCs w:val="22"/>
        </w:rPr>
        <w:t>Land Use Policy, 30</w:t>
      </w:r>
      <w:r w:rsidRPr="00E96CC0">
        <w:rPr>
          <w:sz w:val="22"/>
          <w:szCs w:val="22"/>
        </w:rPr>
        <w:t>(1), 157–166. https://doi.org/10.1016/j.landusepol.2012.03.015</w:t>
      </w:r>
    </w:p>
    <w:p w14:paraId="1B1B2455" w14:textId="77777777" w:rsidR="00E96CC0" w:rsidRPr="00E96CC0" w:rsidRDefault="00E96CC0" w:rsidP="00FA06E6">
      <w:pPr>
        <w:pStyle w:val="p1"/>
        <w:spacing w:before="0" w:beforeAutospacing="0"/>
        <w:rPr>
          <w:sz w:val="22"/>
          <w:szCs w:val="22"/>
        </w:rPr>
      </w:pPr>
      <w:proofErr w:type="spellStart"/>
      <w:r w:rsidRPr="00E96CC0">
        <w:rPr>
          <w:sz w:val="22"/>
          <w:szCs w:val="22"/>
        </w:rPr>
        <w:t>Robsky</w:t>
      </w:r>
      <w:proofErr w:type="spellEnd"/>
      <w:r w:rsidRPr="00E96CC0">
        <w:rPr>
          <w:sz w:val="22"/>
          <w:szCs w:val="22"/>
        </w:rPr>
        <w:t xml:space="preserve"> Huntley, E., Almeida, L.-B., Heaton, S., &amp; Moon Park, A. (2022). </w:t>
      </w:r>
      <w:r w:rsidRPr="00E96CC0">
        <w:rPr>
          <w:i/>
          <w:iCs/>
          <w:sz w:val="22"/>
          <w:szCs w:val="22"/>
        </w:rPr>
        <w:t>Housing justice beyond the emergency: An analysis of racial inequity in eviction filings across Massachusetts.</w:t>
      </w:r>
      <w:r w:rsidRPr="00E96CC0">
        <w:rPr>
          <w:sz w:val="22"/>
          <w:szCs w:val="22"/>
        </w:rPr>
        <w:t xml:space="preserve"> Homes for All Massachusetts. https://www.homesforallmass.org/covid-evictions-report/hfamass-covid-evictions-report-short-03-22-screen-rfs.pdf</w:t>
      </w:r>
    </w:p>
    <w:p w14:paraId="7B4D8ADF" w14:textId="77777777" w:rsidR="00E96CC0" w:rsidRPr="00E96CC0" w:rsidRDefault="00E96CC0" w:rsidP="00FA06E6">
      <w:pPr>
        <w:pStyle w:val="p1"/>
        <w:spacing w:before="0" w:beforeAutospacing="0"/>
        <w:rPr>
          <w:sz w:val="22"/>
          <w:szCs w:val="22"/>
        </w:rPr>
      </w:pPr>
      <w:r w:rsidRPr="00E96CC0">
        <w:rPr>
          <w:sz w:val="22"/>
          <w:szCs w:val="22"/>
        </w:rPr>
        <w:t xml:space="preserve">Rose, G., &amp; Harris, R. (2022). The three tenures: A case of property maintenance. </w:t>
      </w:r>
      <w:r w:rsidRPr="00E96CC0">
        <w:rPr>
          <w:i/>
          <w:iCs/>
          <w:sz w:val="22"/>
          <w:szCs w:val="22"/>
        </w:rPr>
        <w:t>Urban Studies, 59</w:t>
      </w:r>
      <w:r w:rsidRPr="00E96CC0">
        <w:rPr>
          <w:sz w:val="22"/>
          <w:szCs w:val="22"/>
        </w:rPr>
        <w:t>(9), 1926–1943. https://doi.org/10.1177/00420980211029203</w:t>
      </w:r>
    </w:p>
    <w:p w14:paraId="68D57D7A" w14:textId="77777777" w:rsidR="00E96CC0" w:rsidRPr="00E96CC0" w:rsidRDefault="00E96CC0" w:rsidP="00FA06E6">
      <w:pPr>
        <w:pStyle w:val="p1"/>
        <w:spacing w:before="0" w:beforeAutospacing="0"/>
        <w:rPr>
          <w:sz w:val="22"/>
          <w:szCs w:val="22"/>
        </w:rPr>
      </w:pPr>
      <w:r w:rsidRPr="00E96CC0">
        <w:rPr>
          <w:sz w:val="22"/>
          <w:szCs w:val="22"/>
        </w:rPr>
        <w:t xml:space="preserve">Shelton, T., &amp; Seymour, E. (2024). Horizontal holdings: Untangling the networks of corporate landlords. </w:t>
      </w:r>
      <w:r w:rsidRPr="00E96CC0">
        <w:rPr>
          <w:i/>
          <w:iCs/>
          <w:sz w:val="22"/>
          <w:szCs w:val="22"/>
        </w:rPr>
        <w:t>Annals of the American Association of Geographers, 114</w:t>
      </w:r>
      <w:r w:rsidRPr="00E96CC0">
        <w:rPr>
          <w:sz w:val="22"/>
          <w:szCs w:val="22"/>
        </w:rPr>
        <w:t>(8), 1819–1831. https://doi.org/10.1080/24694452.2023.2278690</w:t>
      </w:r>
    </w:p>
    <w:p w14:paraId="613BA3E2" w14:textId="77777777" w:rsidR="00E96CC0" w:rsidRPr="00E96CC0" w:rsidRDefault="00E96CC0" w:rsidP="00FA06E6">
      <w:pPr>
        <w:pStyle w:val="p1"/>
        <w:spacing w:before="0" w:beforeAutospacing="0"/>
        <w:rPr>
          <w:sz w:val="22"/>
          <w:szCs w:val="22"/>
        </w:rPr>
      </w:pPr>
      <w:r w:rsidRPr="00E96CC0">
        <w:rPr>
          <w:sz w:val="22"/>
          <w:szCs w:val="22"/>
        </w:rPr>
        <w:t xml:space="preserve">Thomas, T., </w:t>
      </w:r>
      <w:proofErr w:type="spellStart"/>
      <w:r w:rsidRPr="00E96CC0">
        <w:rPr>
          <w:sz w:val="22"/>
          <w:szCs w:val="22"/>
        </w:rPr>
        <w:t>Ramiller</w:t>
      </w:r>
      <w:proofErr w:type="spellEnd"/>
      <w:r w:rsidRPr="00E96CC0">
        <w:rPr>
          <w:sz w:val="22"/>
          <w:szCs w:val="22"/>
        </w:rPr>
        <w:t xml:space="preserve">, A., Ren, C., &amp; Toomet, O. (2024). Toward a national eviction data collection strategy using natural language processing. </w:t>
      </w:r>
      <w:r w:rsidRPr="00E96CC0">
        <w:rPr>
          <w:i/>
          <w:iCs/>
          <w:sz w:val="22"/>
          <w:szCs w:val="22"/>
        </w:rPr>
        <w:t>Cityscape, 26</w:t>
      </w:r>
      <w:r w:rsidRPr="00E96CC0">
        <w:rPr>
          <w:sz w:val="22"/>
          <w:szCs w:val="22"/>
        </w:rPr>
        <w:t>(1), 241–263. https://www.huduser.gov/portal/periodicals/cityscape/vol26num1/ch12.pdf</w:t>
      </w:r>
    </w:p>
    <w:p w14:paraId="480B0AE3" w14:textId="77777777" w:rsidR="00E96CC0" w:rsidRPr="00E96CC0" w:rsidRDefault="00E96CC0" w:rsidP="00FA06E6">
      <w:pPr>
        <w:pStyle w:val="p1"/>
        <w:spacing w:before="0" w:beforeAutospacing="0"/>
        <w:rPr>
          <w:sz w:val="22"/>
          <w:szCs w:val="22"/>
        </w:rPr>
      </w:pPr>
      <w:r w:rsidRPr="00E96CC0">
        <w:rPr>
          <w:sz w:val="22"/>
          <w:szCs w:val="22"/>
        </w:rPr>
        <w:t xml:space="preserve">Torres, R. (2024). Who owns our homes? Methods to group and unmask anonymous corporate owners. </w:t>
      </w:r>
      <w:r w:rsidRPr="00E96CC0">
        <w:rPr>
          <w:i/>
          <w:iCs/>
          <w:sz w:val="22"/>
          <w:szCs w:val="22"/>
        </w:rPr>
        <w:t>Cityscape, 26</w:t>
      </w:r>
      <w:r w:rsidRPr="00E96CC0">
        <w:rPr>
          <w:sz w:val="22"/>
          <w:szCs w:val="22"/>
        </w:rPr>
        <w:t>(1), 339–362. https://www.huduser.gov/portal/periodicals/cityscape/vol26num1/article17.html</w:t>
      </w:r>
    </w:p>
    <w:p w14:paraId="6AAD94FB" w14:textId="77777777" w:rsidR="00E96CC0" w:rsidRPr="00E96CC0" w:rsidRDefault="00E96CC0" w:rsidP="00FA06E6">
      <w:pPr>
        <w:pStyle w:val="p1"/>
        <w:spacing w:before="0" w:beforeAutospacing="0"/>
        <w:rPr>
          <w:sz w:val="22"/>
          <w:szCs w:val="22"/>
        </w:rPr>
      </w:pPr>
      <w:r w:rsidRPr="00E96CC0">
        <w:rPr>
          <w:sz w:val="22"/>
          <w:szCs w:val="22"/>
        </w:rPr>
        <w:t xml:space="preserve">Travis, A. (2019). The organization of neglect: Limited liability companies and housing disinvestment. </w:t>
      </w:r>
      <w:r w:rsidRPr="00E96CC0">
        <w:rPr>
          <w:i/>
          <w:iCs/>
          <w:sz w:val="22"/>
          <w:szCs w:val="22"/>
        </w:rPr>
        <w:t>American Sociological Review, 84</w:t>
      </w:r>
      <w:r w:rsidRPr="00E96CC0">
        <w:rPr>
          <w:sz w:val="22"/>
          <w:szCs w:val="22"/>
        </w:rPr>
        <w:t>(1), 142–170. https://doi.org/10.1177/0003122418821339</w:t>
      </w:r>
    </w:p>
    <w:p w14:paraId="20395E51" w14:textId="77777777" w:rsidR="00E96CC0" w:rsidRPr="00E96CC0" w:rsidRDefault="00E96CC0" w:rsidP="00FA06E6">
      <w:pPr>
        <w:pStyle w:val="p1"/>
        <w:spacing w:before="0" w:beforeAutospacing="0"/>
        <w:rPr>
          <w:sz w:val="22"/>
          <w:szCs w:val="22"/>
        </w:rPr>
      </w:pPr>
      <w:r w:rsidRPr="00E96CC0">
        <w:rPr>
          <w:sz w:val="22"/>
          <w:szCs w:val="22"/>
        </w:rPr>
        <w:lastRenderedPageBreak/>
        <w:t>Ulrich</w:t>
      </w:r>
      <w:r w:rsidRPr="00E96CC0">
        <w:rPr>
          <w:sz w:val="22"/>
          <w:szCs w:val="22"/>
        </w:rPr>
        <w:noBreakHyphen/>
        <w:t>Schad, J. D., Babin, N., Ma, Z., &amp; Prokopy, L. S. (2016). Out of state, out of mind? Non</w:t>
      </w:r>
      <w:r w:rsidRPr="00E96CC0">
        <w:rPr>
          <w:sz w:val="22"/>
          <w:szCs w:val="22"/>
        </w:rPr>
        <w:noBreakHyphen/>
        <w:t xml:space="preserve">operating farmland owners and conservation decision making. </w:t>
      </w:r>
      <w:r w:rsidRPr="00E96CC0">
        <w:rPr>
          <w:i/>
          <w:iCs/>
          <w:sz w:val="22"/>
          <w:szCs w:val="22"/>
        </w:rPr>
        <w:t>Land Use Policy, 54</w:t>
      </w:r>
      <w:r w:rsidRPr="00E96CC0">
        <w:rPr>
          <w:sz w:val="22"/>
          <w:szCs w:val="22"/>
        </w:rPr>
        <w:t>, 602–613. https://doi.org/10.1016/j.landusepol.2016.02.031</w:t>
      </w:r>
    </w:p>
    <w:p w14:paraId="53E409F0" w14:textId="77777777" w:rsidR="00E96CC0" w:rsidRPr="00E96CC0" w:rsidRDefault="00E96CC0" w:rsidP="00FA06E6">
      <w:pPr>
        <w:pStyle w:val="p1"/>
        <w:spacing w:before="0" w:beforeAutospacing="0"/>
        <w:rPr>
          <w:sz w:val="22"/>
          <w:szCs w:val="22"/>
        </w:rPr>
      </w:pPr>
      <w:r w:rsidRPr="00E96CC0">
        <w:rPr>
          <w:sz w:val="22"/>
          <w:szCs w:val="22"/>
        </w:rPr>
        <w:t xml:space="preserve">U.S. Government Accountability Office (GAO). (2024). </w:t>
      </w:r>
      <w:r w:rsidRPr="00E96CC0">
        <w:rPr>
          <w:i/>
          <w:iCs/>
          <w:sz w:val="22"/>
          <w:szCs w:val="22"/>
        </w:rPr>
        <w:t>Rental housing: Information on institutional investment in single</w:t>
      </w:r>
      <w:r w:rsidRPr="00E96CC0">
        <w:rPr>
          <w:i/>
          <w:iCs/>
          <w:sz w:val="22"/>
          <w:szCs w:val="22"/>
        </w:rPr>
        <w:noBreakHyphen/>
        <w:t>family homes</w:t>
      </w:r>
      <w:r w:rsidRPr="00E96CC0">
        <w:rPr>
          <w:sz w:val="22"/>
          <w:szCs w:val="22"/>
        </w:rPr>
        <w:t xml:space="preserve"> (GAO</w:t>
      </w:r>
      <w:r w:rsidRPr="00E96CC0">
        <w:rPr>
          <w:sz w:val="22"/>
          <w:szCs w:val="22"/>
        </w:rPr>
        <w:noBreakHyphen/>
        <w:t>24</w:t>
      </w:r>
      <w:r w:rsidRPr="00E96CC0">
        <w:rPr>
          <w:sz w:val="22"/>
          <w:szCs w:val="22"/>
        </w:rPr>
        <w:noBreakHyphen/>
        <w:t>106643). Washington, DC: GAO. https://www.gao.gov/products/gao-24-106643</w:t>
      </w:r>
    </w:p>
    <w:p w14:paraId="6E5E2516" w14:textId="77777777" w:rsidR="00E96CC0" w:rsidRPr="00E96CC0" w:rsidRDefault="00E96CC0" w:rsidP="00FA06E6">
      <w:pPr>
        <w:pStyle w:val="p1"/>
        <w:spacing w:before="0" w:beforeAutospacing="0"/>
        <w:rPr>
          <w:sz w:val="22"/>
          <w:szCs w:val="22"/>
        </w:rPr>
      </w:pPr>
      <w:r w:rsidRPr="00E96CC0">
        <w:rPr>
          <w:sz w:val="22"/>
          <w:szCs w:val="22"/>
        </w:rPr>
        <w:t xml:space="preserve">Watson, C. L., &amp; Ziv, O. (2021). Is the rent too high? Land ownership and monopoly power. </w:t>
      </w:r>
      <w:proofErr w:type="spellStart"/>
      <w:r w:rsidRPr="00E96CC0">
        <w:rPr>
          <w:i/>
          <w:iCs/>
          <w:sz w:val="22"/>
          <w:szCs w:val="22"/>
        </w:rPr>
        <w:t>CESifo</w:t>
      </w:r>
      <w:proofErr w:type="spellEnd"/>
      <w:r w:rsidRPr="00E96CC0">
        <w:rPr>
          <w:i/>
          <w:iCs/>
          <w:sz w:val="22"/>
          <w:szCs w:val="22"/>
        </w:rPr>
        <w:t xml:space="preserve"> Working Paper</w:t>
      </w:r>
      <w:r w:rsidRPr="00E96CC0">
        <w:rPr>
          <w:sz w:val="22"/>
          <w:szCs w:val="22"/>
        </w:rPr>
        <w:t xml:space="preserve"> No. 8864. https://doi.org/10.2139/ssrn.3774672</w:t>
      </w:r>
    </w:p>
    <w:p w14:paraId="2CC1A239" w14:textId="77777777" w:rsidR="00E96CC0" w:rsidRPr="00E96CC0" w:rsidRDefault="00E96CC0" w:rsidP="00FA06E6">
      <w:pPr>
        <w:pStyle w:val="p1"/>
        <w:spacing w:before="0" w:beforeAutospacing="0"/>
        <w:rPr>
          <w:sz w:val="22"/>
          <w:szCs w:val="22"/>
        </w:rPr>
      </w:pPr>
      <w:r w:rsidRPr="00E96CC0">
        <w:rPr>
          <w:sz w:val="22"/>
          <w:szCs w:val="22"/>
        </w:rPr>
        <w:t xml:space="preserve">Wilson, B., Tate, E., &amp; Emrich, C. T. (2021). Flood recovery outcomes and disaster assistance barriers for vulnerable populations. </w:t>
      </w:r>
      <w:r w:rsidRPr="00E96CC0">
        <w:rPr>
          <w:i/>
          <w:iCs/>
          <w:sz w:val="22"/>
          <w:szCs w:val="22"/>
        </w:rPr>
        <w:t>Frontiers in Water, 3</w:t>
      </w:r>
      <w:r w:rsidRPr="00E96CC0">
        <w:rPr>
          <w:sz w:val="22"/>
          <w:szCs w:val="22"/>
        </w:rPr>
        <w:t>, 752307. https://doi.org/10.3389/frwa.2021.752307</w:t>
      </w:r>
    </w:p>
    <w:p w14:paraId="1B792778" w14:textId="77777777" w:rsidR="00E96CC0" w:rsidRPr="00E96CC0" w:rsidRDefault="00E96CC0" w:rsidP="00FA06E6">
      <w:pPr>
        <w:pStyle w:val="p1"/>
        <w:spacing w:before="0" w:beforeAutospacing="0"/>
        <w:rPr>
          <w:sz w:val="22"/>
          <w:szCs w:val="22"/>
        </w:rPr>
      </w:pPr>
      <w:r w:rsidRPr="00E96CC0">
        <w:rPr>
          <w:sz w:val="22"/>
          <w:szCs w:val="22"/>
        </w:rPr>
        <w:t xml:space="preserve">Zou, G. (2004). A modified Poisson regression approach to prospective studies with binary data. </w:t>
      </w:r>
      <w:r w:rsidRPr="00E96CC0">
        <w:rPr>
          <w:i/>
          <w:iCs/>
          <w:sz w:val="22"/>
          <w:szCs w:val="22"/>
        </w:rPr>
        <w:t>American Journal of Epidemiology, 159</w:t>
      </w:r>
      <w:r w:rsidRPr="00E96CC0">
        <w:rPr>
          <w:sz w:val="22"/>
          <w:szCs w:val="22"/>
        </w:rPr>
        <w:t>(7), 702–706. https://doi.org/10.1093/aje/kwh090</w:t>
      </w:r>
    </w:p>
    <w:p w14:paraId="339D9661" w14:textId="11EBFA5E" w:rsidR="00932C29" w:rsidRPr="00932C29" w:rsidRDefault="00932C29" w:rsidP="00FA06E6">
      <w:pPr>
        <w:spacing w:after="0" w:line="240" w:lineRule="auto"/>
        <w:rPr>
          <w:rFonts w:ascii="Times New Roman" w:eastAsia="Times New Roman" w:hAnsi="Times New Roman" w:cs="Times New Roman"/>
          <w:kern w:val="0"/>
          <w:sz w:val="24"/>
          <w:szCs w:val="24"/>
          <w14:ligatures w14:val="none"/>
        </w:rPr>
      </w:pPr>
    </w:p>
    <w:p w14:paraId="3F9ECAD3" w14:textId="77777777" w:rsidR="00932C29" w:rsidRPr="00932C29" w:rsidRDefault="00932C29" w:rsidP="00FA06E6">
      <w:pPr>
        <w:spacing w:after="100" w:afterAutospacing="1" w:line="240" w:lineRule="auto"/>
        <w:outlineLvl w:val="0"/>
        <w:rPr>
          <w:rFonts w:ascii="Times New Roman" w:eastAsia="Times New Roman" w:hAnsi="Times New Roman" w:cs="Times New Roman"/>
          <w:b/>
          <w:bCs/>
          <w:color w:val="000000"/>
          <w:kern w:val="36"/>
          <w14:ligatures w14:val="none"/>
        </w:rPr>
      </w:pPr>
      <w:r w:rsidRPr="00932C29">
        <w:rPr>
          <w:rFonts w:ascii="Times New Roman" w:eastAsia="Times New Roman" w:hAnsi="Times New Roman" w:cs="Times New Roman"/>
          <w:b/>
          <w:bCs/>
          <w:color w:val="000000"/>
          <w:kern w:val="36"/>
          <w14:ligatures w14:val="none"/>
        </w:rPr>
        <w:t>Appendix A. Model Card — Ownership</w:t>
      </w:r>
      <w:r w:rsidRPr="00932C29">
        <w:rPr>
          <w:rFonts w:ascii="Times New Roman" w:eastAsia="Times New Roman" w:hAnsi="Times New Roman" w:cs="Times New Roman"/>
          <w:b/>
          <w:bCs/>
          <w:color w:val="000000"/>
          <w:kern w:val="36"/>
          <w14:ligatures w14:val="none"/>
        </w:rPr>
        <w:noBreakHyphen/>
        <w:t>Form Classifier</w:t>
      </w:r>
    </w:p>
    <w:p w14:paraId="01B4452F" w14:textId="26CDB408" w:rsidR="00932C29" w:rsidRPr="00932C29" w:rsidRDefault="00932C29" w:rsidP="00FA06E6">
      <w:pPr>
        <w:spacing w:after="100" w:afterAutospacing="1" w:line="240" w:lineRule="auto"/>
        <w:outlineLvl w:val="1"/>
        <w:rPr>
          <w:rFonts w:ascii="Times New Roman" w:eastAsia="Times New Roman" w:hAnsi="Times New Roman" w:cs="Times New Roman"/>
          <w:b/>
          <w:bCs/>
          <w:color w:val="000000"/>
          <w:kern w:val="0"/>
          <w14:ligatures w14:val="none"/>
        </w:rPr>
      </w:pPr>
      <w:r w:rsidRPr="00932C29">
        <w:rPr>
          <w:rFonts w:ascii="Times New Roman" w:eastAsia="Times New Roman" w:hAnsi="Times New Roman" w:cs="Times New Roman"/>
          <w:b/>
          <w:bCs/>
          <w:color w:val="000000"/>
          <w:kern w:val="0"/>
          <w14:ligatures w14:val="none"/>
        </w:rPr>
        <w:t>A</w:t>
      </w:r>
      <w:r w:rsidR="004D25C4">
        <w:rPr>
          <w:rFonts w:ascii="Times New Roman" w:eastAsia="Times New Roman" w:hAnsi="Times New Roman" w:cs="Times New Roman"/>
          <w:b/>
          <w:bCs/>
          <w:color w:val="000000"/>
          <w:kern w:val="0"/>
          <w14:ligatures w14:val="none"/>
        </w:rPr>
        <w:t>1</w:t>
      </w:r>
      <w:r w:rsidRPr="00932C29">
        <w:rPr>
          <w:rFonts w:ascii="Times New Roman" w:eastAsia="Times New Roman" w:hAnsi="Times New Roman" w:cs="Times New Roman"/>
          <w:b/>
          <w:bCs/>
          <w:color w:val="000000"/>
          <w:kern w:val="0"/>
          <w14:ligatures w14:val="none"/>
        </w:rPr>
        <w:t>. Performance (evaluation set, n = 756)</w:t>
      </w:r>
    </w:p>
    <w:p w14:paraId="7BCEBF36" w14:textId="77777777" w:rsidR="00932C29" w:rsidRPr="00932C29" w:rsidRDefault="00932C29" w:rsidP="00FA06E6">
      <w:pPr>
        <w:spacing w:after="100" w:afterAutospacing="1" w:line="240" w:lineRule="auto"/>
        <w:rPr>
          <w:rFonts w:ascii="Times New Roman" w:eastAsia="Times New Roman" w:hAnsi="Times New Roman" w:cs="Times New Roman"/>
          <w:color w:val="000000"/>
          <w:kern w:val="0"/>
          <w14:ligatures w14:val="none"/>
        </w:rPr>
      </w:pPr>
      <w:r w:rsidRPr="00932C29">
        <w:rPr>
          <w:rFonts w:ascii="Times New Roman" w:eastAsia="Times New Roman" w:hAnsi="Times New Roman" w:cs="Times New Roman"/>
          <w:b/>
          <w:bCs/>
          <w:color w:val="000000"/>
          <w:kern w:val="0"/>
          <w14:ligatures w14:val="none"/>
        </w:rPr>
        <w:t>Overall:</w:t>
      </w:r>
      <w:r w:rsidRPr="00932C29">
        <w:rPr>
          <w:rFonts w:ascii="Times New Roman" w:eastAsia="Times New Roman" w:hAnsi="Times New Roman" w:cs="Times New Roman"/>
          <w:color w:val="000000"/>
          <w:kern w:val="0"/>
          <w14:ligatures w14:val="none"/>
        </w:rPr>
        <w:t> Accuracy = 0.9934; Micro</w:t>
      </w:r>
      <w:r w:rsidRPr="00932C29">
        <w:rPr>
          <w:rFonts w:ascii="Times New Roman" w:eastAsia="Times New Roman" w:hAnsi="Times New Roman" w:cs="Times New Roman"/>
          <w:color w:val="000000"/>
          <w:kern w:val="0"/>
          <w14:ligatures w14:val="none"/>
        </w:rPr>
        <w:noBreakHyphen/>
        <w:t>F1 = 0.9934; Macro</w:t>
      </w:r>
      <w:r w:rsidRPr="00932C29">
        <w:rPr>
          <w:rFonts w:ascii="Times New Roman" w:eastAsia="Times New Roman" w:hAnsi="Times New Roman" w:cs="Times New Roman"/>
          <w:color w:val="000000"/>
          <w:kern w:val="0"/>
          <w14:ligatures w14:val="none"/>
        </w:rPr>
        <w:noBreakHyphen/>
        <w:t>F1 = 0.9800; Weighted</w:t>
      </w:r>
      <w:r w:rsidRPr="00932C29">
        <w:rPr>
          <w:rFonts w:ascii="Times New Roman" w:eastAsia="Times New Roman" w:hAnsi="Times New Roman" w:cs="Times New Roman"/>
          <w:color w:val="000000"/>
          <w:kern w:val="0"/>
          <w14:ligatures w14:val="none"/>
        </w:rPr>
        <w:noBreakHyphen/>
        <w:t>F1 = 0.9934.</w:t>
      </w:r>
      <w:r w:rsidRPr="00932C29">
        <w:rPr>
          <w:rFonts w:ascii="Times New Roman" w:eastAsia="Times New Roman" w:hAnsi="Times New Roman" w:cs="Times New Roman"/>
          <w:color w:val="000000"/>
          <w:kern w:val="0"/>
          <w14:ligatures w14:val="none"/>
        </w:rPr>
        <w:br/>
      </w:r>
      <w:r w:rsidRPr="00932C29">
        <w:rPr>
          <w:rFonts w:ascii="Times New Roman" w:eastAsia="Times New Roman" w:hAnsi="Times New Roman" w:cs="Times New Roman"/>
          <w:b/>
          <w:bCs/>
          <w:color w:val="000000"/>
          <w:kern w:val="0"/>
          <w14:ligatures w14:val="none"/>
        </w:rPr>
        <w:t>Per</w:t>
      </w:r>
      <w:r w:rsidRPr="00932C29">
        <w:rPr>
          <w:rFonts w:ascii="Times New Roman" w:eastAsia="Times New Roman" w:hAnsi="Times New Roman" w:cs="Times New Roman"/>
          <w:b/>
          <w:bCs/>
          <w:color w:val="000000"/>
          <w:kern w:val="0"/>
          <w14:ligatures w14:val="none"/>
        </w:rPr>
        <w:noBreakHyphen/>
        <w:t>class (Precision / Recall / F1 / Support):</w:t>
      </w:r>
      <w:r w:rsidRPr="00932C29">
        <w:rPr>
          <w:rFonts w:ascii="Times New Roman" w:eastAsia="Times New Roman" w:hAnsi="Times New Roman" w:cs="Times New Roman"/>
          <w:color w:val="000000"/>
          <w:kern w:val="0"/>
          <w14:ligatures w14:val="none"/>
        </w:rPr>
        <w:t> Corporation (1.000 / 0.9286 / 0.9630 / 42); Individual (0.9982 / 0.9982 / 0.9982 / 561); LLC (0.9878 / 1.0000 / 0.9939 / 81); Government/Non</w:t>
      </w:r>
      <w:r w:rsidRPr="00932C29">
        <w:rPr>
          <w:rFonts w:ascii="Times New Roman" w:eastAsia="Times New Roman" w:hAnsi="Times New Roman" w:cs="Times New Roman"/>
          <w:color w:val="000000"/>
          <w:kern w:val="0"/>
          <w14:ligatures w14:val="none"/>
        </w:rPr>
        <w:noBreakHyphen/>
        <w:t>profit (0.9429 / 1.0000 / 0.9706 / 33); Trust (0.9744 / 0.9744 / 0.9744 / 39). </w:t>
      </w:r>
    </w:p>
    <w:p w14:paraId="51ACF2E5" w14:textId="5535AAA6" w:rsidR="00CF3313" w:rsidRDefault="00932C29" w:rsidP="00FA06E6">
      <w:pPr>
        <w:spacing w:after="100" w:afterAutospacing="1" w:line="240" w:lineRule="auto"/>
        <w:outlineLvl w:val="1"/>
        <w:rPr>
          <w:rFonts w:ascii="-webkit-standard" w:hAnsi="-webkit-standard"/>
          <w:color w:val="000000"/>
          <w:sz w:val="27"/>
          <w:szCs w:val="27"/>
        </w:rPr>
      </w:pPr>
      <w:r w:rsidRPr="00932C29">
        <w:rPr>
          <w:rFonts w:ascii="Times New Roman" w:eastAsia="Times New Roman" w:hAnsi="Times New Roman" w:cs="Times New Roman"/>
          <w:b/>
          <w:bCs/>
          <w:color w:val="000000"/>
          <w:kern w:val="0"/>
          <w14:ligatures w14:val="none"/>
        </w:rPr>
        <w:t>A</w:t>
      </w:r>
      <w:r w:rsidR="007A6C52">
        <w:rPr>
          <w:rFonts w:ascii="Times New Roman" w:eastAsia="Times New Roman" w:hAnsi="Times New Roman" w:cs="Times New Roman"/>
          <w:b/>
          <w:bCs/>
          <w:color w:val="000000"/>
          <w:kern w:val="0"/>
          <w14:ligatures w14:val="none"/>
        </w:rPr>
        <w:t>6</w:t>
      </w:r>
      <w:r w:rsidRPr="00932C29">
        <w:rPr>
          <w:rFonts w:ascii="Times New Roman" w:eastAsia="Times New Roman" w:hAnsi="Times New Roman" w:cs="Times New Roman"/>
          <w:b/>
          <w:bCs/>
          <w:color w:val="000000"/>
          <w:kern w:val="0"/>
          <w14:ligatures w14:val="none"/>
        </w:rPr>
        <w:t xml:space="preserve">. </w:t>
      </w:r>
      <w:r w:rsidR="00CF3313" w:rsidRPr="00CF3313">
        <w:rPr>
          <w:rFonts w:ascii="Times New Roman" w:hAnsi="Times New Roman" w:cs="Times New Roman"/>
          <w:b/>
          <w:bCs/>
          <w:color w:val="000000"/>
        </w:rPr>
        <w:t xml:space="preserve">Ablation </w:t>
      </w:r>
      <w:r w:rsidR="00CF3313">
        <w:rPr>
          <w:rFonts w:ascii="Times New Roman" w:hAnsi="Times New Roman" w:cs="Times New Roman"/>
          <w:b/>
          <w:bCs/>
          <w:color w:val="000000"/>
        </w:rPr>
        <w:t xml:space="preserve">&amp; </w:t>
      </w:r>
      <w:r w:rsidR="00CF3313" w:rsidRPr="00CF3313">
        <w:rPr>
          <w:rFonts w:ascii="Times New Roman" w:hAnsi="Times New Roman" w:cs="Times New Roman"/>
          <w:b/>
          <w:bCs/>
          <w:color w:val="000000"/>
        </w:rPr>
        <w:t>Baseline Comparisons</w:t>
      </w:r>
    </w:p>
    <w:p w14:paraId="16D06C03" w14:textId="77777777" w:rsidR="00941C02" w:rsidRPr="00941C02" w:rsidRDefault="00932C29" w:rsidP="00FA06E6">
      <w:pPr>
        <w:spacing w:after="100" w:afterAutospacing="1" w:line="240" w:lineRule="auto"/>
        <w:outlineLvl w:val="1"/>
        <w:rPr>
          <w:rFonts w:ascii="Times New Roman" w:eastAsia="Times New Roman" w:hAnsi="Times New Roman" w:cs="Times New Roman"/>
          <w:color w:val="000000"/>
          <w:kern w:val="0"/>
          <w14:ligatures w14:val="none"/>
        </w:rPr>
      </w:pPr>
      <w:r w:rsidRPr="00941C02">
        <w:rPr>
          <w:rFonts w:ascii="Times New Roman" w:eastAsia="Times New Roman" w:hAnsi="Times New Roman" w:cs="Times New Roman"/>
          <w:color w:val="000000"/>
          <w:kern w:val="0"/>
          <w14:ligatures w14:val="none"/>
        </w:rPr>
        <w:t>Token</w:t>
      </w:r>
      <w:r w:rsidRPr="00941C02">
        <w:rPr>
          <w:rFonts w:ascii="Times New Roman" w:eastAsia="Times New Roman" w:hAnsi="Times New Roman" w:cs="Times New Roman"/>
          <w:color w:val="000000"/>
          <w:kern w:val="0"/>
          <w14:ligatures w14:val="none"/>
        </w:rPr>
        <w:noBreakHyphen/>
        <w:t>removal ablation </w:t>
      </w:r>
    </w:p>
    <w:p w14:paraId="1465E221" w14:textId="77777777" w:rsidR="00941C02" w:rsidRDefault="00932C29" w:rsidP="00FA06E6">
      <w:pPr>
        <w:spacing w:after="100" w:afterAutospacing="1" w:line="240" w:lineRule="auto"/>
        <w:outlineLvl w:val="1"/>
        <w:rPr>
          <w:rFonts w:ascii="Times New Roman" w:eastAsia="Times New Roman" w:hAnsi="Times New Roman" w:cs="Times New Roman"/>
          <w:b/>
          <w:bCs/>
          <w:color w:val="000000"/>
          <w:kern w:val="0"/>
          <w14:ligatures w14:val="none"/>
        </w:rPr>
      </w:pPr>
      <w:r w:rsidRPr="00932C29">
        <w:rPr>
          <w:rFonts w:ascii="Times New Roman" w:eastAsia="Times New Roman" w:hAnsi="Times New Roman" w:cs="Times New Roman"/>
          <w:color w:val="000000"/>
          <w:kern w:val="0"/>
          <w14:ligatures w14:val="none"/>
        </w:rPr>
        <w:t>From test strings, remove {LLC, LLP, LP, Inc, Corp, Ltd, Trust} (case</w:t>
      </w:r>
      <w:r w:rsidRPr="00932C29">
        <w:rPr>
          <w:rFonts w:ascii="Times New Roman" w:eastAsia="Times New Roman" w:hAnsi="Times New Roman" w:cs="Times New Roman"/>
          <w:color w:val="000000"/>
          <w:kern w:val="0"/>
          <w14:ligatures w14:val="none"/>
        </w:rPr>
        <w:noBreakHyphen/>
        <w:t>insensitive, punctuation</w:t>
      </w:r>
      <w:r w:rsidRPr="00932C29">
        <w:rPr>
          <w:rFonts w:ascii="Times New Roman" w:eastAsia="Times New Roman" w:hAnsi="Times New Roman" w:cs="Times New Roman"/>
          <w:color w:val="000000"/>
          <w:kern w:val="0"/>
          <w14:ligatures w14:val="none"/>
        </w:rPr>
        <w:noBreakHyphen/>
        <w:t>agnostic).</w:t>
      </w:r>
      <w:r w:rsidRPr="00932C29">
        <w:rPr>
          <w:rFonts w:ascii="Times New Roman" w:eastAsia="Times New Roman" w:hAnsi="Times New Roman" w:cs="Times New Roman"/>
          <w:color w:val="000000"/>
          <w:kern w:val="0"/>
          <w14:ligatures w14:val="none"/>
        </w:rPr>
        <w:br/>
      </w:r>
    </w:p>
    <w:p w14:paraId="42582A8B" w14:textId="5A8DFE69" w:rsidR="00941C02" w:rsidRPr="00941C02" w:rsidRDefault="00932C29" w:rsidP="00FA06E6">
      <w:pPr>
        <w:spacing w:after="100" w:afterAutospacing="1" w:line="240" w:lineRule="auto"/>
        <w:outlineLvl w:val="1"/>
        <w:rPr>
          <w:rFonts w:ascii="Times New Roman" w:eastAsia="Times New Roman" w:hAnsi="Times New Roman" w:cs="Times New Roman"/>
          <w:color w:val="000000"/>
          <w:kern w:val="0"/>
          <w14:ligatures w14:val="none"/>
        </w:rPr>
      </w:pPr>
      <w:r w:rsidRPr="00941C02">
        <w:rPr>
          <w:rFonts w:ascii="Times New Roman" w:eastAsia="Times New Roman" w:hAnsi="Times New Roman" w:cs="Times New Roman"/>
          <w:color w:val="000000"/>
          <w:kern w:val="0"/>
          <w14:ligatures w14:val="none"/>
        </w:rPr>
        <w:t>Rule</w:t>
      </w:r>
      <w:r w:rsidRPr="00941C02">
        <w:rPr>
          <w:rFonts w:ascii="Times New Roman" w:eastAsia="Times New Roman" w:hAnsi="Times New Roman" w:cs="Times New Roman"/>
          <w:color w:val="000000"/>
          <w:kern w:val="0"/>
          <w14:ligatures w14:val="none"/>
        </w:rPr>
        <w:noBreakHyphen/>
        <w:t>based baseline</w:t>
      </w:r>
    </w:p>
    <w:p w14:paraId="6CC93CC4" w14:textId="7F2D1825" w:rsidR="00941C02" w:rsidRPr="00941C02" w:rsidRDefault="00932C29" w:rsidP="00FA06E6">
      <w:pPr>
        <w:spacing w:after="100" w:afterAutospacing="1" w:line="240" w:lineRule="auto"/>
        <w:outlineLvl w:val="1"/>
        <w:rPr>
          <w:rFonts w:ascii="Times New Roman" w:eastAsia="Times New Roman" w:hAnsi="Times New Roman" w:cs="Times New Roman"/>
          <w:color w:val="000000"/>
          <w:kern w:val="0"/>
          <w14:ligatures w14:val="none"/>
        </w:rPr>
      </w:pPr>
      <w:r w:rsidRPr="00932C29">
        <w:rPr>
          <w:rFonts w:ascii="Times New Roman" w:eastAsia="Times New Roman" w:hAnsi="Times New Roman" w:cs="Times New Roman"/>
          <w:color w:val="000000"/>
          <w:kern w:val="0"/>
          <w14:ligatures w14:val="none"/>
        </w:rPr>
        <w:t>Regex: CITY/COUNTY/STATE OF… → Government/Non</w:t>
      </w:r>
      <w:r w:rsidRPr="00932C29">
        <w:rPr>
          <w:rFonts w:ascii="Times New Roman" w:eastAsia="Times New Roman" w:hAnsi="Times New Roman" w:cs="Times New Roman"/>
          <w:color w:val="000000"/>
          <w:kern w:val="0"/>
          <w14:ligatures w14:val="none"/>
        </w:rPr>
        <w:noBreakHyphen/>
        <w:t>profit; LLC/LLP/LP; TRUST/Trustee; INC/INCORPORATED/CORP/COMPANY/LTD; else Individual. Precedence: Government/Non</w:t>
      </w:r>
      <w:r w:rsidRPr="00932C29">
        <w:rPr>
          <w:rFonts w:ascii="Times New Roman" w:eastAsia="Times New Roman" w:hAnsi="Times New Roman" w:cs="Times New Roman"/>
          <w:color w:val="000000"/>
          <w:kern w:val="0"/>
          <w14:ligatures w14:val="none"/>
        </w:rPr>
        <w:noBreakHyphen/>
        <w:t>profit → LLC → Trust → Corporation → Individual.</w:t>
      </w:r>
      <w:r w:rsidRPr="00932C29">
        <w:rPr>
          <w:rFonts w:ascii="Times New Roman" w:eastAsia="Times New Roman" w:hAnsi="Times New Roman" w:cs="Times New Roman"/>
          <w:color w:val="000000"/>
          <w:kern w:val="0"/>
          <w14:ligatures w14:val="none"/>
        </w:rPr>
        <w:br/>
      </w:r>
      <w:r w:rsidRPr="00941C02">
        <w:rPr>
          <w:rFonts w:ascii="Times New Roman" w:eastAsia="Times New Roman" w:hAnsi="Times New Roman" w:cs="Times New Roman"/>
          <w:color w:val="000000"/>
          <w:kern w:val="0"/>
          <w14:ligatures w14:val="none"/>
        </w:rPr>
        <w:t>Split hygiene </w:t>
      </w:r>
    </w:p>
    <w:p w14:paraId="3F3F1BB4" w14:textId="77777777" w:rsidR="00941C02" w:rsidRDefault="00932C29" w:rsidP="00FA06E6">
      <w:pPr>
        <w:spacing w:after="100" w:afterAutospacing="1" w:line="240" w:lineRule="auto"/>
        <w:outlineLvl w:val="1"/>
        <w:rPr>
          <w:rFonts w:ascii="Times New Roman" w:eastAsia="Times New Roman" w:hAnsi="Times New Roman" w:cs="Times New Roman"/>
          <w:color w:val="000000"/>
          <w:kern w:val="0"/>
          <w14:ligatures w14:val="none"/>
        </w:rPr>
      </w:pPr>
      <w:r w:rsidRPr="00932C29">
        <w:rPr>
          <w:rFonts w:ascii="Times New Roman" w:eastAsia="Times New Roman" w:hAnsi="Times New Roman" w:cs="Times New Roman"/>
          <w:color w:val="000000"/>
          <w:kern w:val="0"/>
          <w14:ligatures w14:val="none"/>
        </w:rPr>
        <w:t>Ablations evaluated on the held</w:t>
      </w:r>
      <w:r w:rsidRPr="00932C29">
        <w:rPr>
          <w:rFonts w:ascii="Times New Roman" w:eastAsia="Times New Roman" w:hAnsi="Times New Roman" w:cs="Times New Roman"/>
          <w:color w:val="000000"/>
          <w:kern w:val="0"/>
          <w14:ligatures w14:val="none"/>
        </w:rPr>
        <w:noBreakHyphen/>
        <w:t>out test set; augmented variants tied to the same base string remain in the same fold. </w:t>
      </w:r>
    </w:p>
    <w:p w14:paraId="16E4240B" w14:textId="7316B064" w:rsidR="00932C29" w:rsidRPr="00932C29" w:rsidRDefault="00932C29" w:rsidP="00FA06E6">
      <w:pPr>
        <w:spacing w:after="100" w:afterAutospacing="1" w:line="240" w:lineRule="auto"/>
        <w:outlineLvl w:val="1"/>
        <w:rPr>
          <w:rFonts w:ascii="Times New Roman" w:eastAsia="Times New Roman" w:hAnsi="Times New Roman" w:cs="Times New Roman"/>
          <w:color w:val="000000"/>
          <w:kern w:val="0"/>
          <w14:ligatures w14:val="none"/>
        </w:rPr>
      </w:pPr>
      <w:r w:rsidRPr="00932C29">
        <w:rPr>
          <w:rFonts w:ascii="Times New Roman" w:eastAsia="Times New Roman" w:hAnsi="Times New Roman" w:cs="Times New Roman"/>
          <w:b/>
          <w:bCs/>
          <w:color w:val="000000"/>
          <w:kern w:val="0"/>
          <w14:ligatures w14:val="none"/>
        </w:rPr>
        <w:t>Overall performance</w:t>
      </w:r>
    </w:p>
    <w:tbl>
      <w:tblPr>
        <w:tblStyle w:val="PlainTable4"/>
        <w:tblW w:w="0" w:type="auto"/>
        <w:tblLook w:val="04A0" w:firstRow="1" w:lastRow="0" w:firstColumn="1" w:lastColumn="0" w:noHBand="0" w:noVBand="1"/>
      </w:tblPr>
      <w:tblGrid>
        <w:gridCol w:w="2105"/>
        <w:gridCol w:w="1108"/>
        <w:gridCol w:w="1139"/>
        <w:gridCol w:w="1090"/>
        <w:gridCol w:w="1420"/>
      </w:tblGrid>
      <w:tr w:rsidR="00932C29" w:rsidRPr="00932C29" w14:paraId="3ECE9231" w14:textId="77777777" w:rsidTr="00F408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477D5B" w14:textId="3BBBD0D0" w:rsidR="00932C29" w:rsidRPr="00932C29" w:rsidRDefault="00F408EE" w:rsidP="00FA06E6">
            <w:pPr>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Model</w:t>
            </w:r>
          </w:p>
        </w:tc>
        <w:tc>
          <w:tcPr>
            <w:tcW w:w="0" w:type="auto"/>
            <w:hideMark/>
          </w:tcPr>
          <w:p w14:paraId="56A0F136" w14:textId="77777777" w:rsidR="00932C29" w:rsidRPr="00932C29" w:rsidRDefault="00932C29" w:rsidP="00FA06E6">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sidRPr="00932C29">
              <w:rPr>
                <w:rFonts w:ascii="Times New Roman" w:eastAsia="Times New Roman" w:hAnsi="Times New Roman" w:cs="Times New Roman"/>
                <w:color w:val="000000"/>
                <w:kern w:val="0"/>
                <w14:ligatures w14:val="none"/>
              </w:rPr>
              <w:t>Accuracy</w:t>
            </w:r>
          </w:p>
        </w:tc>
        <w:tc>
          <w:tcPr>
            <w:tcW w:w="0" w:type="auto"/>
            <w:hideMark/>
          </w:tcPr>
          <w:p w14:paraId="775286B2" w14:textId="77777777" w:rsidR="00932C29" w:rsidRPr="00932C29" w:rsidRDefault="00932C29" w:rsidP="00FA06E6">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sidRPr="00932C29">
              <w:rPr>
                <w:rFonts w:ascii="Times New Roman" w:eastAsia="Times New Roman" w:hAnsi="Times New Roman" w:cs="Times New Roman"/>
                <w:color w:val="000000"/>
                <w:kern w:val="0"/>
                <w14:ligatures w14:val="none"/>
              </w:rPr>
              <w:t>Macro F1</w:t>
            </w:r>
          </w:p>
        </w:tc>
        <w:tc>
          <w:tcPr>
            <w:tcW w:w="0" w:type="auto"/>
            <w:hideMark/>
          </w:tcPr>
          <w:p w14:paraId="340651F3" w14:textId="77777777" w:rsidR="00932C29" w:rsidRPr="00932C29" w:rsidRDefault="00932C29" w:rsidP="00FA06E6">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sidRPr="00932C29">
              <w:rPr>
                <w:rFonts w:ascii="Times New Roman" w:eastAsia="Times New Roman" w:hAnsi="Times New Roman" w:cs="Times New Roman"/>
                <w:color w:val="000000"/>
                <w:kern w:val="0"/>
                <w14:ligatures w14:val="none"/>
              </w:rPr>
              <w:t>Micro F1</w:t>
            </w:r>
          </w:p>
        </w:tc>
        <w:tc>
          <w:tcPr>
            <w:tcW w:w="0" w:type="auto"/>
            <w:hideMark/>
          </w:tcPr>
          <w:p w14:paraId="7182B7B5" w14:textId="77777777" w:rsidR="00932C29" w:rsidRPr="00932C29" w:rsidRDefault="00932C29" w:rsidP="00FA06E6">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sidRPr="00932C29">
              <w:rPr>
                <w:rFonts w:ascii="Times New Roman" w:eastAsia="Times New Roman" w:hAnsi="Times New Roman" w:cs="Times New Roman"/>
                <w:color w:val="000000"/>
                <w:kern w:val="0"/>
                <w14:ligatures w14:val="none"/>
              </w:rPr>
              <w:t>Weighted F1</w:t>
            </w:r>
          </w:p>
        </w:tc>
      </w:tr>
      <w:tr w:rsidR="00932C29" w:rsidRPr="00932C29" w14:paraId="28B4681A" w14:textId="77777777" w:rsidTr="00F40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CB29CF" w14:textId="77777777" w:rsidR="00932C29" w:rsidRPr="00932C29" w:rsidRDefault="00932C29" w:rsidP="00FA06E6">
            <w:pPr>
              <w:rPr>
                <w:rFonts w:ascii="Times New Roman" w:eastAsia="Times New Roman" w:hAnsi="Times New Roman" w:cs="Times New Roman"/>
                <w:color w:val="000000"/>
                <w:kern w:val="0"/>
                <w14:ligatures w14:val="none"/>
              </w:rPr>
            </w:pPr>
            <w:r w:rsidRPr="00932C29">
              <w:rPr>
                <w:rFonts w:ascii="Times New Roman" w:eastAsia="Times New Roman" w:hAnsi="Times New Roman" w:cs="Times New Roman"/>
                <w:color w:val="000000"/>
                <w:kern w:val="0"/>
                <w14:ligatures w14:val="none"/>
              </w:rPr>
              <w:t>BERT — Original</w:t>
            </w:r>
          </w:p>
        </w:tc>
        <w:tc>
          <w:tcPr>
            <w:tcW w:w="0" w:type="auto"/>
            <w:hideMark/>
          </w:tcPr>
          <w:p w14:paraId="2E0FB308" w14:textId="77777777" w:rsidR="00932C29" w:rsidRPr="00932C29" w:rsidRDefault="00932C29"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932C29">
              <w:rPr>
                <w:rFonts w:ascii="Times New Roman" w:eastAsia="Times New Roman" w:hAnsi="Times New Roman" w:cs="Times New Roman"/>
                <w:color w:val="000000"/>
                <w:kern w:val="0"/>
                <w14:ligatures w14:val="none"/>
              </w:rPr>
              <w:t>0.993386</w:t>
            </w:r>
          </w:p>
        </w:tc>
        <w:tc>
          <w:tcPr>
            <w:tcW w:w="0" w:type="auto"/>
            <w:hideMark/>
          </w:tcPr>
          <w:p w14:paraId="2B5402AA" w14:textId="77777777" w:rsidR="00932C29" w:rsidRPr="00932C29" w:rsidRDefault="00932C29"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932C29">
              <w:rPr>
                <w:rFonts w:ascii="Times New Roman" w:eastAsia="Times New Roman" w:hAnsi="Times New Roman" w:cs="Times New Roman"/>
                <w:color w:val="000000"/>
                <w:kern w:val="0"/>
                <w14:ligatures w14:val="none"/>
              </w:rPr>
              <w:t>0.979999</w:t>
            </w:r>
          </w:p>
        </w:tc>
        <w:tc>
          <w:tcPr>
            <w:tcW w:w="0" w:type="auto"/>
            <w:hideMark/>
          </w:tcPr>
          <w:p w14:paraId="50F6F58B" w14:textId="77777777" w:rsidR="00932C29" w:rsidRPr="00932C29" w:rsidRDefault="00932C29"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932C29">
              <w:rPr>
                <w:rFonts w:ascii="Times New Roman" w:eastAsia="Times New Roman" w:hAnsi="Times New Roman" w:cs="Times New Roman"/>
                <w:color w:val="000000"/>
                <w:kern w:val="0"/>
                <w14:ligatures w14:val="none"/>
              </w:rPr>
              <w:t>0.993386</w:t>
            </w:r>
          </w:p>
        </w:tc>
        <w:tc>
          <w:tcPr>
            <w:tcW w:w="0" w:type="auto"/>
            <w:hideMark/>
          </w:tcPr>
          <w:p w14:paraId="2D36C1C5" w14:textId="77777777" w:rsidR="00932C29" w:rsidRPr="00932C29" w:rsidRDefault="00932C29"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932C29">
              <w:rPr>
                <w:rFonts w:ascii="Times New Roman" w:eastAsia="Times New Roman" w:hAnsi="Times New Roman" w:cs="Times New Roman"/>
                <w:color w:val="000000"/>
                <w:kern w:val="0"/>
                <w14:ligatures w14:val="none"/>
              </w:rPr>
              <w:t>0.993356</w:t>
            </w:r>
          </w:p>
        </w:tc>
      </w:tr>
      <w:tr w:rsidR="00932C29" w:rsidRPr="00932C29" w14:paraId="0198449F" w14:textId="77777777" w:rsidTr="00F408EE">
        <w:tc>
          <w:tcPr>
            <w:cnfStyle w:val="001000000000" w:firstRow="0" w:lastRow="0" w:firstColumn="1" w:lastColumn="0" w:oddVBand="0" w:evenVBand="0" w:oddHBand="0" w:evenHBand="0" w:firstRowFirstColumn="0" w:firstRowLastColumn="0" w:lastRowFirstColumn="0" w:lastRowLastColumn="0"/>
            <w:tcW w:w="0" w:type="auto"/>
            <w:hideMark/>
          </w:tcPr>
          <w:p w14:paraId="2C0A7680" w14:textId="77777777" w:rsidR="00932C29" w:rsidRPr="00932C29" w:rsidRDefault="00932C29" w:rsidP="00FA06E6">
            <w:pPr>
              <w:rPr>
                <w:rFonts w:ascii="Times New Roman" w:eastAsia="Times New Roman" w:hAnsi="Times New Roman" w:cs="Times New Roman"/>
                <w:color w:val="000000"/>
                <w:kern w:val="0"/>
                <w14:ligatures w14:val="none"/>
              </w:rPr>
            </w:pPr>
            <w:r w:rsidRPr="00932C29">
              <w:rPr>
                <w:rFonts w:ascii="Times New Roman" w:eastAsia="Times New Roman" w:hAnsi="Times New Roman" w:cs="Times New Roman"/>
                <w:color w:val="000000"/>
                <w:kern w:val="0"/>
                <w14:ligatures w14:val="none"/>
              </w:rPr>
              <w:t>BERT — Ablated</w:t>
            </w:r>
          </w:p>
        </w:tc>
        <w:tc>
          <w:tcPr>
            <w:tcW w:w="0" w:type="auto"/>
            <w:hideMark/>
          </w:tcPr>
          <w:p w14:paraId="2870EA2A" w14:textId="77777777" w:rsidR="00932C29" w:rsidRPr="00932C29" w:rsidRDefault="00932C29"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932C29">
              <w:rPr>
                <w:rFonts w:ascii="Times New Roman" w:eastAsia="Times New Roman" w:hAnsi="Times New Roman" w:cs="Times New Roman"/>
                <w:color w:val="000000"/>
                <w:kern w:val="0"/>
                <w14:ligatures w14:val="none"/>
              </w:rPr>
              <w:t>0.953704</w:t>
            </w:r>
          </w:p>
        </w:tc>
        <w:tc>
          <w:tcPr>
            <w:tcW w:w="0" w:type="auto"/>
            <w:hideMark/>
          </w:tcPr>
          <w:p w14:paraId="0ED402AF" w14:textId="77777777" w:rsidR="00932C29" w:rsidRPr="00932C29" w:rsidRDefault="00932C29"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932C29">
              <w:rPr>
                <w:rFonts w:ascii="Times New Roman" w:eastAsia="Times New Roman" w:hAnsi="Times New Roman" w:cs="Times New Roman"/>
                <w:color w:val="000000"/>
                <w:kern w:val="0"/>
                <w14:ligatures w14:val="none"/>
              </w:rPr>
              <w:t>0.885115</w:t>
            </w:r>
          </w:p>
        </w:tc>
        <w:tc>
          <w:tcPr>
            <w:tcW w:w="0" w:type="auto"/>
            <w:hideMark/>
          </w:tcPr>
          <w:p w14:paraId="7677BA9A" w14:textId="77777777" w:rsidR="00932C29" w:rsidRPr="00932C29" w:rsidRDefault="00932C29"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932C29">
              <w:rPr>
                <w:rFonts w:ascii="Times New Roman" w:eastAsia="Times New Roman" w:hAnsi="Times New Roman" w:cs="Times New Roman"/>
                <w:color w:val="000000"/>
                <w:kern w:val="0"/>
                <w14:ligatures w14:val="none"/>
              </w:rPr>
              <w:t>0.953704</w:t>
            </w:r>
          </w:p>
        </w:tc>
        <w:tc>
          <w:tcPr>
            <w:tcW w:w="0" w:type="auto"/>
            <w:hideMark/>
          </w:tcPr>
          <w:p w14:paraId="6A3EADA3" w14:textId="77777777" w:rsidR="00932C29" w:rsidRPr="00932C29" w:rsidRDefault="00932C29" w:rsidP="00FA06E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932C29">
              <w:rPr>
                <w:rFonts w:ascii="Times New Roman" w:eastAsia="Times New Roman" w:hAnsi="Times New Roman" w:cs="Times New Roman"/>
                <w:color w:val="000000"/>
                <w:kern w:val="0"/>
                <w14:ligatures w14:val="none"/>
              </w:rPr>
              <w:t>0.952532</w:t>
            </w:r>
          </w:p>
        </w:tc>
      </w:tr>
      <w:tr w:rsidR="00932C29" w:rsidRPr="00932C29" w14:paraId="5529C403" w14:textId="77777777" w:rsidTr="00F40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8D4BA6" w14:textId="77777777" w:rsidR="00932C29" w:rsidRPr="00932C29" w:rsidRDefault="00932C29" w:rsidP="00FA06E6">
            <w:pPr>
              <w:rPr>
                <w:rFonts w:ascii="Times New Roman" w:eastAsia="Times New Roman" w:hAnsi="Times New Roman" w:cs="Times New Roman"/>
                <w:color w:val="000000"/>
                <w:kern w:val="0"/>
                <w14:ligatures w14:val="none"/>
              </w:rPr>
            </w:pPr>
            <w:r w:rsidRPr="00932C29">
              <w:rPr>
                <w:rFonts w:ascii="Times New Roman" w:eastAsia="Times New Roman" w:hAnsi="Times New Roman" w:cs="Times New Roman"/>
                <w:color w:val="000000"/>
                <w:kern w:val="0"/>
                <w14:ligatures w14:val="none"/>
              </w:rPr>
              <w:lastRenderedPageBreak/>
              <w:t>Rule</w:t>
            </w:r>
            <w:r w:rsidRPr="00932C29">
              <w:rPr>
                <w:rFonts w:ascii="Times New Roman" w:eastAsia="Times New Roman" w:hAnsi="Times New Roman" w:cs="Times New Roman"/>
                <w:color w:val="000000"/>
                <w:kern w:val="0"/>
                <w14:ligatures w14:val="none"/>
              </w:rPr>
              <w:noBreakHyphen/>
              <w:t>based Baseline</w:t>
            </w:r>
          </w:p>
        </w:tc>
        <w:tc>
          <w:tcPr>
            <w:tcW w:w="0" w:type="auto"/>
            <w:hideMark/>
          </w:tcPr>
          <w:p w14:paraId="4C9BE883" w14:textId="77777777" w:rsidR="00932C29" w:rsidRPr="00932C29" w:rsidRDefault="00932C29"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932C29">
              <w:rPr>
                <w:rFonts w:ascii="Times New Roman" w:eastAsia="Times New Roman" w:hAnsi="Times New Roman" w:cs="Times New Roman"/>
                <w:color w:val="000000"/>
                <w:kern w:val="0"/>
                <w14:ligatures w14:val="none"/>
              </w:rPr>
              <w:t>0.841270</w:t>
            </w:r>
          </w:p>
        </w:tc>
        <w:tc>
          <w:tcPr>
            <w:tcW w:w="0" w:type="auto"/>
            <w:hideMark/>
          </w:tcPr>
          <w:p w14:paraId="1433BA4A" w14:textId="77777777" w:rsidR="00932C29" w:rsidRPr="00932C29" w:rsidRDefault="00932C29"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932C29">
              <w:rPr>
                <w:rFonts w:ascii="Times New Roman" w:eastAsia="Times New Roman" w:hAnsi="Times New Roman" w:cs="Times New Roman"/>
                <w:color w:val="000000"/>
                <w:kern w:val="0"/>
                <w14:ligatures w14:val="none"/>
              </w:rPr>
              <w:t>0.509683</w:t>
            </w:r>
          </w:p>
        </w:tc>
        <w:tc>
          <w:tcPr>
            <w:tcW w:w="0" w:type="auto"/>
            <w:hideMark/>
          </w:tcPr>
          <w:p w14:paraId="1F7E746A" w14:textId="77777777" w:rsidR="00932C29" w:rsidRPr="00932C29" w:rsidRDefault="00932C29"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932C29">
              <w:rPr>
                <w:rFonts w:ascii="Times New Roman" w:eastAsia="Times New Roman" w:hAnsi="Times New Roman" w:cs="Times New Roman"/>
                <w:color w:val="000000"/>
                <w:kern w:val="0"/>
                <w14:ligatures w14:val="none"/>
              </w:rPr>
              <w:t>0.841270</w:t>
            </w:r>
          </w:p>
        </w:tc>
        <w:tc>
          <w:tcPr>
            <w:tcW w:w="0" w:type="auto"/>
            <w:hideMark/>
          </w:tcPr>
          <w:p w14:paraId="5144BD94" w14:textId="77777777" w:rsidR="00932C29" w:rsidRPr="00932C29" w:rsidRDefault="00932C29" w:rsidP="00FA06E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932C29">
              <w:rPr>
                <w:rFonts w:ascii="Times New Roman" w:eastAsia="Times New Roman" w:hAnsi="Times New Roman" w:cs="Times New Roman"/>
                <w:color w:val="000000"/>
                <w:kern w:val="0"/>
                <w14:ligatures w14:val="none"/>
              </w:rPr>
              <w:t>0.806666</w:t>
            </w:r>
          </w:p>
        </w:tc>
      </w:tr>
    </w:tbl>
    <w:p w14:paraId="4D903D26" w14:textId="77777777" w:rsidR="00980D9C" w:rsidRPr="0000392C" w:rsidRDefault="00980D9C" w:rsidP="00FA06E6">
      <w:pPr>
        <w:rPr>
          <w:rFonts w:ascii="Times New Roman" w:hAnsi="Times New Roman" w:cs="Times New Roman"/>
          <w:b/>
          <w:bCs/>
        </w:rPr>
      </w:pPr>
    </w:p>
    <w:sectPr w:rsidR="00980D9C" w:rsidRPr="000039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C0384"/>
    <w:multiLevelType w:val="multilevel"/>
    <w:tmpl w:val="3834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1A1F01"/>
    <w:multiLevelType w:val="multilevel"/>
    <w:tmpl w:val="518E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8B1E90"/>
    <w:multiLevelType w:val="multilevel"/>
    <w:tmpl w:val="6646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982EEE"/>
    <w:multiLevelType w:val="multilevel"/>
    <w:tmpl w:val="3398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256834">
    <w:abstractNumId w:val="3"/>
  </w:num>
  <w:num w:numId="2" w16cid:durableId="1870608801">
    <w:abstractNumId w:val="0"/>
  </w:num>
  <w:num w:numId="3" w16cid:durableId="74860336">
    <w:abstractNumId w:val="2"/>
  </w:num>
  <w:num w:numId="4" w16cid:durableId="10367388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D7F"/>
    <w:rsid w:val="0000392C"/>
    <w:rsid w:val="00023BC2"/>
    <w:rsid w:val="000257FF"/>
    <w:rsid w:val="00042026"/>
    <w:rsid w:val="0004424C"/>
    <w:rsid w:val="00047EB7"/>
    <w:rsid w:val="000613A0"/>
    <w:rsid w:val="00074513"/>
    <w:rsid w:val="000917B4"/>
    <w:rsid w:val="000B0315"/>
    <w:rsid w:val="000B59F2"/>
    <w:rsid w:val="000C7459"/>
    <w:rsid w:val="000D2E45"/>
    <w:rsid w:val="000E2A9E"/>
    <w:rsid w:val="000E79FE"/>
    <w:rsid w:val="000F1292"/>
    <w:rsid w:val="000F4E02"/>
    <w:rsid w:val="000F54FD"/>
    <w:rsid w:val="001024F0"/>
    <w:rsid w:val="001069E7"/>
    <w:rsid w:val="00117F20"/>
    <w:rsid w:val="001206BA"/>
    <w:rsid w:val="00122026"/>
    <w:rsid w:val="001223E1"/>
    <w:rsid w:val="00123610"/>
    <w:rsid w:val="00126D9A"/>
    <w:rsid w:val="001656DD"/>
    <w:rsid w:val="001735E7"/>
    <w:rsid w:val="001F3E7C"/>
    <w:rsid w:val="00211CAC"/>
    <w:rsid w:val="0021473D"/>
    <w:rsid w:val="002226AC"/>
    <w:rsid w:val="002373D8"/>
    <w:rsid w:val="00256839"/>
    <w:rsid w:val="00266EA3"/>
    <w:rsid w:val="002A03F2"/>
    <w:rsid w:val="002A4775"/>
    <w:rsid w:val="002A48EB"/>
    <w:rsid w:val="002B1985"/>
    <w:rsid w:val="002C3FF3"/>
    <w:rsid w:val="002C7F5E"/>
    <w:rsid w:val="00302B50"/>
    <w:rsid w:val="00305510"/>
    <w:rsid w:val="003130BD"/>
    <w:rsid w:val="00333C0D"/>
    <w:rsid w:val="00334B86"/>
    <w:rsid w:val="00354AC0"/>
    <w:rsid w:val="0035659B"/>
    <w:rsid w:val="003666C4"/>
    <w:rsid w:val="00370AA4"/>
    <w:rsid w:val="003914EB"/>
    <w:rsid w:val="003A2B3E"/>
    <w:rsid w:val="003A5CD9"/>
    <w:rsid w:val="003A7CD0"/>
    <w:rsid w:val="003A7FD2"/>
    <w:rsid w:val="003B15E8"/>
    <w:rsid w:val="003B7328"/>
    <w:rsid w:val="003B7F39"/>
    <w:rsid w:val="003C097E"/>
    <w:rsid w:val="003D38EB"/>
    <w:rsid w:val="003D5276"/>
    <w:rsid w:val="003D55A8"/>
    <w:rsid w:val="003D669E"/>
    <w:rsid w:val="003E08CA"/>
    <w:rsid w:val="00401AD9"/>
    <w:rsid w:val="00412681"/>
    <w:rsid w:val="004138CC"/>
    <w:rsid w:val="00420235"/>
    <w:rsid w:val="004212DA"/>
    <w:rsid w:val="00422FE1"/>
    <w:rsid w:val="00424094"/>
    <w:rsid w:val="00445F87"/>
    <w:rsid w:val="00472B5D"/>
    <w:rsid w:val="004771BB"/>
    <w:rsid w:val="00486428"/>
    <w:rsid w:val="00492F19"/>
    <w:rsid w:val="004D25C4"/>
    <w:rsid w:val="004F4D48"/>
    <w:rsid w:val="00502708"/>
    <w:rsid w:val="00504ABC"/>
    <w:rsid w:val="00515A5B"/>
    <w:rsid w:val="00516D8A"/>
    <w:rsid w:val="005234BD"/>
    <w:rsid w:val="0056770D"/>
    <w:rsid w:val="00584191"/>
    <w:rsid w:val="0058782E"/>
    <w:rsid w:val="00593980"/>
    <w:rsid w:val="005B5894"/>
    <w:rsid w:val="005C6F82"/>
    <w:rsid w:val="005D498F"/>
    <w:rsid w:val="005D5052"/>
    <w:rsid w:val="005D798B"/>
    <w:rsid w:val="005E02C4"/>
    <w:rsid w:val="005E1EE4"/>
    <w:rsid w:val="005E42F1"/>
    <w:rsid w:val="005E4C98"/>
    <w:rsid w:val="005E6451"/>
    <w:rsid w:val="005E695B"/>
    <w:rsid w:val="0060024D"/>
    <w:rsid w:val="006034FB"/>
    <w:rsid w:val="006216F3"/>
    <w:rsid w:val="00640D7D"/>
    <w:rsid w:val="006512D4"/>
    <w:rsid w:val="00656CF3"/>
    <w:rsid w:val="006678BB"/>
    <w:rsid w:val="0068744D"/>
    <w:rsid w:val="006A08FA"/>
    <w:rsid w:val="006A562C"/>
    <w:rsid w:val="006A7163"/>
    <w:rsid w:val="006C5D7F"/>
    <w:rsid w:val="00712669"/>
    <w:rsid w:val="00726114"/>
    <w:rsid w:val="007308B1"/>
    <w:rsid w:val="00735FB7"/>
    <w:rsid w:val="00736063"/>
    <w:rsid w:val="007433AC"/>
    <w:rsid w:val="00750BC5"/>
    <w:rsid w:val="00777ADE"/>
    <w:rsid w:val="00781041"/>
    <w:rsid w:val="00787A92"/>
    <w:rsid w:val="007A6C52"/>
    <w:rsid w:val="007D3FEE"/>
    <w:rsid w:val="007F2978"/>
    <w:rsid w:val="008016D5"/>
    <w:rsid w:val="008029FC"/>
    <w:rsid w:val="008077E1"/>
    <w:rsid w:val="008154A9"/>
    <w:rsid w:val="00836294"/>
    <w:rsid w:val="0083707C"/>
    <w:rsid w:val="008372E9"/>
    <w:rsid w:val="008567C6"/>
    <w:rsid w:val="0086061E"/>
    <w:rsid w:val="00874595"/>
    <w:rsid w:val="00877BE3"/>
    <w:rsid w:val="008D0685"/>
    <w:rsid w:val="008E087F"/>
    <w:rsid w:val="008F0498"/>
    <w:rsid w:val="008F0B6C"/>
    <w:rsid w:val="00932C29"/>
    <w:rsid w:val="00941C02"/>
    <w:rsid w:val="009448E2"/>
    <w:rsid w:val="009476E8"/>
    <w:rsid w:val="00954777"/>
    <w:rsid w:val="00980D9C"/>
    <w:rsid w:val="009971C3"/>
    <w:rsid w:val="00997951"/>
    <w:rsid w:val="009A06C4"/>
    <w:rsid w:val="009C614F"/>
    <w:rsid w:val="009D039B"/>
    <w:rsid w:val="009D26A8"/>
    <w:rsid w:val="009D3423"/>
    <w:rsid w:val="009E5458"/>
    <w:rsid w:val="009F5E8D"/>
    <w:rsid w:val="00A23DB1"/>
    <w:rsid w:val="00A257B4"/>
    <w:rsid w:val="00A26906"/>
    <w:rsid w:val="00A3337C"/>
    <w:rsid w:val="00A35F43"/>
    <w:rsid w:val="00A37921"/>
    <w:rsid w:val="00A40A69"/>
    <w:rsid w:val="00A46C60"/>
    <w:rsid w:val="00A70508"/>
    <w:rsid w:val="00A961AE"/>
    <w:rsid w:val="00A962E5"/>
    <w:rsid w:val="00AA111C"/>
    <w:rsid w:val="00AC7E80"/>
    <w:rsid w:val="00AE061A"/>
    <w:rsid w:val="00AE70FC"/>
    <w:rsid w:val="00AF1679"/>
    <w:rsid w:val="00AF4346"/>
    <w:rsid w:val="00B02EED"/>
    <w:rsid w:val="00B05B9E"/>
    <w:rsid w:val="00B10A95"/>
    <w:rsid w:val="00B13007"/>
    <w:rsid w:val="00B25DA9"/>
    <w:rsid w:val="00B31963"/>
    <w:rsid w:val="00B342AB"/>
    <w:rsid w:val="00B371CA"/>
    <w:rsid w:val="00B37504"/>
    <w:rsid w:val="00B463FD"/>
    <w:rsid w:val="00B51D6D"/>
    <w:rsid w:val="00B57A8E"/>
    <w:rsid w:val="00B857BD"/>
    <w:rsid w:val="00BA4CD8"/>
    <w:rsid w:val="00BD6C31"/>
    <w:rsid w:val="00BD78C6"/>
    <w:rsid w:val="00BE5DDF"/>
    <w:rsid w:val="00BE7CF6"/>
    <w:rsid w:val="00BF0D97"/>
    <w:rsid w:val="00BF76F8"/>
    <w:rsid w:val="00C04C47"/>
    <w:rsid w:val="00C12758"/>
    <w:rsid w:val="00C151A1"/>
    <w:rsid w:val="00C15426"/>
    <w:rsid w:val="00C31FF7"/>
    <w:rsid w:val="00C36AA3"/>
    <w:rsid w:val="00C447D6"/>
    <w:rsid w:val="00C46971"/>
    <w:rsid w:val="00C520B5"/>
    <w:rsid w:val="00C652F6"/>
    <w:rsid w:val="00C75131"/>
    <w:rsid w:val="00C80E08"/>
    <w:rsid w:val="00C82C2B"/>
    <w:rsid w:val="00C92B98"/>
    <w:rsid w:val="00C95C2A"/>
    <w:rsid w:val="00CA71AE"/>
    <w:rsid w:val="00CB1A01"/>
    <w:rsid w:val="00CF3313"/>
    <w:rsid w:val="00D13582"/>
    <w:rsid w:val="00D260F8"/>
    <w:rsid w:val="00D32264"/>
    <w:rsid w:val="00D34789"/>
    <w:rsid w:val="00D47C9E"/>
    <w:rsid w:val="00D82F08"/>
    <w:rsid w:val="00D904FE"/>
    <w:rsid w:val="00D93CE8"/>
    <w:rsid w:val="00D93D8E"/>
    <w:rsid w:val="00DB06A0"/>
    <w:rsid w:val="00DB1D45"/>
    <w:rsid w:val="00DB46DE"/>
    <w:rsid w:val="00DE504C"/>
    <w:rsid w:val="00DE534E"/>
    <w:rsid w:val="00E20B45"/>
    <w:rsid w:val="00E20EE2"/>
    <w:rsid w:val="00E20F4B"/>
    <w:rsid w:val="00E22C9A"/>
    <w:rsid w:val="00E70B11"/>
    <w:rsid w:val="00E75B95"/>
    <w:rsid w:val="00E76A41"/>
    <w:rsid w:val="00E96CC0"/>
    <w:rsid w:val="00EA1DA0"/>
    <w:rsid w:val="00EA3D6E"/>
    <w:rsid w:val="00EA4183"/>
    <w:rsid w:val="00EB483B"/>
    <w:rsid w:val="00EB4C70"/>
    <w:rsid w:val="00ED18B6"/>
    <w:rsid w:val="00ED2E10"/>
    <w:rsid w:val="00EE65CF"/>
    <w:rsid w:val="00F034F9"/>
    <w:rsid w:val="00F05790"/>
    <w:rsid w:val="00F1329A"/>
    <w:rsid w:val="00F15291"/>
    <w:rsid w:val="00F22A67"/>
    <w:rsid w:val="00F263C1"/>
    <w:rsid w:val="00F408EE"/>
    <w:rsid w:val="00F464D3"/>
    <w:rsid w:val="00F518D3"/>
    <w:rsid w:val="00F57440"/>
    <w:rsid w:val="00F576BF"/>
    <w:rsid w:val="00F61625"/>
    <w:rsid w:val="00F70A1A"/>
    <w:rsid w:val="00FA06E6"/>
    <w:rsid w:val="00FA414E"/>
    <w:rsid w:val="00FB48D0"/>
    <w:rsid w:val="00FB5757"/>
    <w:rsid w:val="00FB7C7F"/>
    <w:rsid w:val="00FB7DE3"/>
    <w:rsid w:val="00FC3F1D"/>
    <w:rsid w:val="00FE427B"/>
    <w:rsid w:val="00FF0FB4"/>
    <w:rsid w:val="00FF5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D3180"/>
  <w15:chartTrackingRefBased/>
  <w15:docId w15:val="{B24E9ABD-3413-E24F-9173-C7568DD97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061E"/>
  </w:style>
  <w:style w:type="paragraph" w:styleId="Heading1">
    <w:name w:val="heading 1"/>
    <w:basedOn w:val="Normal"/>
    <w:next w:val="Normal"/>
    <w:link w:val="Heading1Char"/>
    <w:uiPriority w:val="9"/>
    <w:qFormat/>
    <w:rsid w:val="006C5D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5D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5D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D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D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D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D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D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D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D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5D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5D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D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D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D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D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D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D7F"/>
    <w:rPr>
      <w:rFonts w:eastAsiaTheme="majorEastAsia" w:cstheme="majorBidi"/>
      <w:color w:val="272727" w:themeColor="text1" w:themeTint="D8"/>
    </w:rPr>
  </w:style>
  <w:style w:type="paragraph" w:styleId="Title">
    <w:name w:val="Title"/>
    <w:basedOn w:val="Normal"/>
    <w:next w:val="Normal"/>
    <w:link w:val="TitleChar"/>
    <w:uiPriority w:val="10"/>
    <w:qFormat/>
    <w:rsid w:val="006C5D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D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D7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D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D7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C5D7F"/>
    <w:rPr>
      <w:i/>
      <w:iCs/>
      <w:color w:val="404040" w:themeColor="text1" w:themeTint="BF"/>
    </w:rPr>
  </w:style>
  <w:style w:type="paragraph" w:styleId="ListParagraph">
    <w:name w:val="List Paragraph"/>
    <w:basedOn w:val="Normal"/>
    <w:uiPriority w:val="34"/>
    <w:qFormat/>
    <w:rsid w:val="006C5D7F"/>
    <w:pPr>
      <w:ind w:left="720"/>
      <w:contextualSpacing/>
    </w:pPr>
  </w:style>
  <w:style w:type="character" w:styleId="IntenseEmphasis">
    <w:name w:val="Intense Emphasis"/>
    <w:basedOn w:val="DefaultParagraphFont"/>
    <w:uiPriority w:val="21"/>
    <w:qFormat/>
    <w:rsid w:val="006C5D7F"/>
    <w:rPr>
      <w:i/>
      <w:iCs/>
      <w:color w:val="0F4761" w:themeColor="accent1" w:themeShade="BF"/>
    </w:rPr>
  </w:style>
  <w:style w:type="paragraph" w:styleId="IntenseQuote">
    <w:name w:val="Intense Quote"/>
    <w:basedOn w:val="Normal"/>
    <w:next w:val="Normal"/>
    <w:link w:val="IntenseQuoteChar"/>
    <w:uiPriority w:val="30"/>
    <w:qFormat/>
    <w:rsid w:val="006C5D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D7F"/>
    <w:rPr>
      <w:i/>
      <w:iCs/>
      <w:color w:val="0F4761" w:themeColor="accent1" w:themeShade="BF"/>
    </w:rPr>
  </w:style>
  <w:style w:type="character" w:styleId="IntenseReference">
    <w:name w:val="Intense Reference"/>
    <w:basedOn w:val="DefaultParagraphFont"/>
    <w:uiPriority w:val="32"/>
    <w:qFormat/>
    <w:rsid w:val="006C5D7F"/>
    <w:rPr>
      <w:b/>
      <w:bCs/>
      <w:smallCaps/>
      <w:color w:val="0F4761" w:themeColor="accent1" w:themeShade="BF"/>
      <w:spacing w:val="5"/>
    </w:rPr>
  </w:style>
  <w:style w:type="paragraph" w:styleId="NormalWeb">
    <w:name w:val="Normal (Web)"/>
    <w:basedOn w:val="Normal"/>
    <w:uiPriority w:val="99"/>
    <w:semiHidden/>
    <w:unhideWhenUsed/>
    <w:rsid w:val="00E75B9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converted-space">
    <w:name w:val="apple-converted-space"/>
    <w:basedOn w:val="DefaultParagraphFont"/>
    <w:rsid w:val="00E75B95"/>
  </w:style>
  <w:style w:type="character" w:styleId="Strong">
    <w:name w:val="Strong"/>
    <w:basedOn w:val="DefaultParagraphFont"/>
    <w:uiPriority w:val="22"/>
    <w:qFormat/>
    <w:rsid w:val="00E75B95"/>
    <w:rPr>
      <w:b/>
      <w:bCs/>
    </w:rPr>
  </w:style>
  <w:style w:type="character" w:styleId="Emphasis">
    <w:name w:val="Emphasis"/>
    <w:basedOn w:val="DefaultParagraphFont"/>
    <w:uiPriority w:val="20"/>
    <w:qFormat/>
    <w:rsid w:val="00E75B95"/>
    <w:rPr>
      <w:i/>
      <w:iCs/>
    </w:rPr>
  </w:style>
  <w:style w:type="paragraph" w:styleId="HTMLPreformatted">
    <w:name w:val="HTML Preformatted"/>
    <w:basedOn w:val="Normal"/>
    <w:link w:val="HTMLPreformattedChar"/>
    <w:uiPriority w:val="99"/>
    <w:semiHidden/>
    <w:unhideWhenUsed/>
    <w:rsid w:val="00E75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75B9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75B95"/>
    <w:rPr>
      <w:rFonts w:ascii="Courier New" w:eastAsia="Times New Roman" w:hAnsi="Courier New" w:cs="Courier New"/>
      <w:sz w:val="20"/>
      <w:szCs w:val="20"/>
    </w:rPr>
  </w:style>
  <w:style w:type="character" w:styleId="PlaceholderText">
    <w:name w:val="Placeholder Text"/>
    <w:basedOn w:val="DefaultParagraphFont"/>
    <w:uiPriority w:val="99"/>
    <w:semiHidden/>
    <w:rsid w:val="00E75B95"/>
    <w:rPr>
      <w:color w:val="666666"/>
    </w:rPr>
  </w:style>
  <w:style w:type="character" w:styleId="Hyperlink">
    <w:name w:val="Hyperlink"/>
    <w:basedOn w:val="DefaultParagraphFont"/>
    <w:uiPriority w:val="99"/>
    <w:semiHidden/>
    <w:unhideWhenUsed/>
    <w:rsid w:val="00932C29"/>
    <w:rPr>
      <w:color w:val="0000FF"/>
      <w:u w:val="single"/>
    </w:rPr>
  </w:style>
  <w:style w:type="paragraph" w:customStyle="1" w:styleId="p1">
    <w:name w:val="p1"/>
    <w:basedOn w:val="Normal"/>
    <w:rsid w:val="00E96CC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s1">
    <w:name w:val="s1"/>
    <w:basedOn w:val="DefaultParagraphFont"/>
    <w:rsid w:val="00AC7E80"/>
  </w:style>
  <w:style w:type="table" w:styleId="TableGridLight">
    <w:name w:val="Grid Table Light"/>
    <w:basedOn w:val="TableNormal"/>
    <w:uiPriority w:val="40"/>
    <w:rsid w:val="00F408E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F408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408E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408E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408E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408E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A08F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284</TotalTime>
  <Pages>22</Pages>
  <Words>8115</Words>
  <Characters>46258</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Andrews</dc:creator>
  <cp:keywords/>
  <dc:description/>
  <cp:lastModifiedBy>Jesse Andrews</cp:lastModifiedBy>
  <cp:revision>242</cp:revision>
  <dcterms:created xsi:type="dcterms:W3CDTF">2025-09-04T15:53:00Z</dcterms:created>
  <dcterms:modified xsi:type="dcterms:W3CDTF">2025-09-09T23:23:00Z</dcterms:modified>
</cp:coreProperties>
</file>